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440055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2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8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0"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26"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97155</wp:posOffset>
            </wp:positionV>
            <wp:extent cx="78867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BIOGEN INC.</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20"/>
          </w:cols>
          <w:pgMar w:left="320" w:top="784" w:right="359" w:bottom="1440" w:gutter="0" w:footer="0" w:header="0"/>
        </w:sectPr>
      </w:pPr>
    </w:p>
    <w:p>
      <w:pPr>
        <w:spacing w:after="0" w:line="122"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35" w:lineRule="exact"/>
        <w:rPr>
          <w:sz w:val="24"/>
          <w:szCs w:val="24"/>
          <w:color w:val="auto"/>
        </w:rPr>
      </w:pPr>
    </w:p>
    <w:p>
      <w:pPr>
        <w:sectPr>
          <w:pgSz w:w="11900" w:h="16838" w:orient="portrait"/>
          <w:cols w:equalWidth="0" w:num="2">
            <w:col w:w="7380" w:space="720"/>
            <w:col w:w="3120"/>
          </w:cols>
          <w:pgMar w:left="320" w:top="784" w:right="359" w:bottom="1440" w:gutter="0" w:footer="0" w:header="0"/>
          <w:type w:val="continuous"/>
        </w:sectPr>
      </w:pPr>
    </w:p>
    <w:p>
      <w:pPr>
        <w:ind w:left="1860"/>
        <w:spacing w:after="0"/>
        <w:rPr>
          <w:sz w:val="20"/>
          <w:szCs w:val="20"/>
          <w:color w:val="auto"/>
        </w:rPr>
      </w:pPr>
      <w:r>
        <w:rPr>
          <w:rFonts w:ascii="Arial" w:cs="Arial" w:eastAsia="Arial" w:hAnsi="Arial"/>
          <w:sz w:val="14"/>
          <w:szCs w:val="14"/>
          <w:i w:val="1"/>
          <w:iCs w:val="1"/>
          <w:color w:val="auto"/>
        </w:rPr>
        <w:t>(State or other jurisdiction of</w:t>
      </w:r>
    </w:p>
    <w:p>
      <w:pPr>
        <w:ind w:left="1820"/>
        <w:spacing w:after="0"/>
        <w:rPr>
          <w:sz w:val="20"/>
          <w:szCs w:val="20"/>
          <w:color w:val="auto"/>
        </w:rPr>
      </w:pPr>
      <w:r>
        <w:rPr>
          <w:rFonts w:ascii="Arial" w:cs="Arial" w:eastAsia="Arial" w:hAnsi="Arial"/>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4"/>
          <w:szCs w:val="14"/>
          <w:i w:val="1"/>
          <w:iCs w:val="1"/>
          <w:color w:val="auto"/>
        </w:rPr>
        <w:t>Identification No.)</w:t>
      </w:r>
    </w:p>
    <w:p>
      <w:pPr>
        <w:spacing w:after="0" w:line="108" w:lineRule="exact"/>
        <w:rPr>
          <w:sz w:val="24"/>
          <w:szCs w:val="24"/>
          <w:color w:val="auto"/>
        </w:rPr>
      </w:pPr>
    </w:p>
    <w:p>
      <w:pPr>
        <w:sectPr>
          <w:pgSz w:w="11900" w:h="16838" w:orient="portrait"/>
          <w:cols w:equalWidth="0" w:num="2">
            <w:col w:w="7300" w:space="720"/>
            <w:col w:w="3200"/>
          </w:cols>
          <w:pgMar w:left="320" w:top="784"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225 Binney Street, Cambridge, MA 02142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679-2000</w:t>
      </w:r>
    </w:p>
    <w:p>
      <w:pPr>
        <w:sectPr>
          <w:pgSz w:w="11900" w:h="16838" w:orient="portrait"/>
          <w:cols w:equalWidth="0" w:num="1">
            <w:col w:w="11220"/>
          </w:cols>
          <w:pgMar w:left="320" w:top="784" w:right="359" w:bottom="1440" w:gutter="0" w:footer="0" w:header="0"/>
          <w:type w:val="continuous"/>
        </w:sectPr>
      </w:pP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including zip code, and telephone number, including</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area code, of registrant’s principal executive offices)</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784" w:right="359" w:bottom="1440" w:gutter="0" w:footer="0" w:header="0"/>
          <w:type w:val="continuous"/>
        </w:sectPr>
      </w:pP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Name of each exchange on which registered</w:t>
      </w:r>
    </w:p>
    <w:p>
      <w:pPr>
        <w:spacing w:after="0" w:line="33" w:lineRule="exact"/>
        <w:rPr>
          <w:sz w:val="24"/>
          <w:szCs w:val="24"/>
          <w:color w:val="auto"/>
        </w:rPr>
      </w:pPr>
    </w:p>
    <w:p>
      <w:pPr>
        <w:sectPr>
          <w:pgSz w:w="11900" w:h="16838" w:orient="portrait"/>
          <w:cols w:equalWidth="0" w:num="3">
            <w:col w:w="3660" w:space="720"/>
            <w:col w:w="1800" w:space="720"/>
            <w:col w:w="4320"/>
          </w:cols>
          <w:pgMar w:left="320" w:top="784" w:right="359" w:bottom="1440" w:gutter="0" w:footer="0" w:header="0"/>
          <w:type w:val="continuous"/>
        </w:sectPr>
      </w:pPr>
    </w:p>
    <w:p>
      <w:pPr>
        <w:ind w:left="580"/>
        <w:spacing w:after="0"/>
        <w:rPr>
          <w:sz w:val="20"/>
          <w:szCs w:val="20"/>
          <w:color w:val="auto"/>
        </w:rPr>
      </w:pPr>
      <w:r>
        <w:rPr>
          <w:rFonts w:ascii="Arial" w:cs="Arial" w:eastAsia="Arial" w:hAnsi="Arial"/>
          <w:sz w:val="17"/>
          <w:szCs w:val="17"/>
          <w:b w:val="1"/>
          <w:bCs w:val="1"/>
          <w:color w:val="auto"/>
        </w:rPr>
        <w:t>Common Stock, $0.0005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BIIB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Global Select Market</w:t>
      </w:r>
    </w:p>
    <w:p>
      <w:pPr>
        <w:spacing w:after="0" w:line="129" w:lineRule="exact"/>
        <w:rPr>
          <w:sz w:val="24"/>
          <w:szCs w:val="24"/>
          <w:color w:val="auto"/>
        </w:rPr>
      </w:pPr>
    </w:p>
    <w:p>
      <w:pPr>
        <w:sectPr>
          <w:pgSz w:w="11900" w:h="16838" w:orient="portrait"/>
          <w:cols w:equalWidth="0" w:num="3">
            <w:col w:w="4220" w:space="720"/>
            <w:col w:w="1600" w:space="720"/>
            <w:col w:w="3960"/>
          </w:cols>
          <w:pgMar w:left="320" w:top="784" w:right="359" w:bottom="1440" w:gutter="0" w:footer="0" w:header="0"/>
          <w:type w:val="continuous"/>
        </w:sectPr>
      </w:pPr>
    </w:p>
    <w:p>
      <w:pPr>
        <w:ind w:right="240" w:firstLine="445"/>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ind w:firstLine="445"/>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76" w:lineRule="exact"/>
        <w:rPr>
          <w:sz w:val="24"/>
          <w:szCs w:val="24"/>
          <w:color w:val="auto"/>
        </w:rPr>
      </w:pPr>
    </w:p>
    <w:p>
      <w:pPr>
        <w:ind w:right="4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0"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400"/>
              <w:spacing w:after="0"/>
              <w:rPr>
                <w:sz w:val="20"/>
                <w:szCs w:val="20"/>
                <w:color w:val="auto"/>
              </w:rPr>
            </w:pPr>
            <w:r>
              <w:rPr>
                <w:rFonts w:ascii="Arial" w:cs="Arial" w:eastAsia="Arial" w:hAnsi="Arial"/>
                <w:sz w:val="18"/>
                <w:szCs w:val="18"/>
                <w:color w:val="auto"/>
              </w:rPr>
              <w:t>x</w:t>
            </w:r>
          </w:p>
        </w:tc>
        <w:tc>
          <w:tcPr>
            <w:tcW w:w="51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51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57" w:lineRule="exact"/>
        <w:rPr>
          <w:sz w:val="24"/>
          <w:szCs w:val="24"/>
          <w:color w:val="auto"/>
        </w:rPr>
      </w:pPr>
    </w:p>
    <w:p>
      <w:pPr>
        <w:ind w:right="600" w:firstLine="445"/>
        <w:spacing w:after="0" w:line="27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 w:lineRule="exact"/>
        <w:rPr>
          <w:sz w:val="24"/>
          <w:szCs w:val="24"/>
          <w:color w:val="auto"/>
        </w:rPr>
      </w:pPr>
    </w:p>
    <w:p>
      <w:pPr>
        <w:ind w:left="460"/>
        <w:spacing w:after="0" w:line="242" w:lineRule="exact"/>
        <w:tabs>
          <w:tab w:leader="none" w:pos="9620" w:val="left"/>
          <w:tab w:leader="none" w:pos="104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No x</w:t>
      </w:r>
    </w:p>
    <w:p>
      <w:pPr>
        <w:spacing w:after="0" w:line="172" w:lineRule="exact"/>
        <w:rPr>
          <w:sz w:val="24"/>
          <w:szCs w:val="24"/>
          <w:color w:val="auto"/>
        </w:rPr>
      </w:pPr>
    </w:p>
    <w:p>
      <w:pPr>
        <w:ind w:right="560" w:firstLine="445"/>
        <w:spacing w:after="0" w:line="275" w:lineRule="auto"/>
        <w:rPr>
          <w:sz w:val="20"/>
          <w:szCs w:val="20"/>
          <w:color w:val="auto"/>
        </w:rPr>
      </w:pPr>
      <w:r>
        <w:rPr>
          <w:rFonts w:ascii="Arial" w:cs="Arial" w:eastAsia="Arial" w:hAnsi="Arial"/>
          <w:sz w:val="18"/>
          <w:szCs w:val="18"/>
          <w:color w:val="auto"/>
        </w:rPr>
        <w:t>The number of shares of the issuer’s Common Stock, $0.0005 par value, outstanding as of November 7, 2023, was 144,898,112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BIOGEN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FORM 10-Q — Quarterly Report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B7F"/>
        </w:rPr>
        <w:t>For the Quarterly Period Ended September 30, 2023</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70C0"/>
        </w:rPr>
        <w:t>TABLE OF CONTENTS</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80" w:type="dxa"/>
            <w:vAlign w:val="bottom"/>
            <w:gridSpan w:val="11"/>
            <w:vMerge w:val="restart"/>
          </w:tcPr>
          <w:p>
            <w:pPr>
              <w:ind w:left="780"/>
              <w:spacing w:after="0"/>
              <w:rPr>
                <w:sz w:val="20"/>
                <w:szCs w:val="20"/>
                <w:color w:val="auto"/>
              </w:rPr>
            </w:pPr>
            <w:r>
              <w:rPr>
                <w:rFonts w:ascii="Arial" w:cs="Arial" w:eastAsia="Arial" w:hAnsi="Arial"/>
                <w:sz w:val="16"/>
                <w:szCs w:val="16"/>
                <w:b w:val="1"/>
                <w:bCs w:val="1"/>
                <w:color w:val="auto"/>
              </w:rPr>
              <w:t xml:space="preserve">PART I — </w:t>
            </w:r>
            <w:r>
              <w:rPr>
                <w:rFonts w:ascii="Arial" w:cs="Arial" w:eastAsia="Arial" w:hAnsi="Arial"/>
                <w:sz w:val="16"/>
                <w:szCs w:val="16"/>
                <w:b w:val="1"/>
                <w:bCs w:val="1"/>
                <w:color w:val="0000FF"/>
              </w:rPr>
              <w:t>FINANCIAL INFORMATION</w:t>
            </w:r>
          </w:p>
        </w:tc>
        <w:tc>
          <w:tcPr>
            <w:tcW w:w="112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80" w:type="dxa"/>
            <w:vAlign w:val="bottom"/>
            <w:gridSpan w:val="11"/>
            <w:vMerge w:val="continue"/>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3920" w:type="dxa"/>
            <w:vAlign w:val="bottom"/>
            <w:gridSpan w:val="4"/>
          </w:tcPr>
          <w:p>
            <w:pPr>
              <w:spacing w:after="0"/>
              <w:rPr>
                <w:sz w:val="20"/>
                <w:szCs w:val="20"/>
                <w:color w:val="auto"/>
              </w:rPr>
            </w:pPr>
            <w:r>
              <w:rPr>
                <w:rFonts w:ascii="Arial" w:cs="Arial" w:eastAsia="Arial" w:hAnsi="Arial"/>
                <w:sz w:val="16"/>
                <w:szCs w:val="16"/>
                <w:color w:val="0000FF"/>
              </w:rPr>
              <w:t>Financial Statements (unaudited)</w:t>
            </w:r>
          </w:p>
        </w:tc>
        <w:tc>
          <w:tcPr>
            <w:tcW w:w="2040" w:type="dxa"/>
            <w:vAlign w:val="bottom"/>
            <w:tcBorders>
              <w:top w:val="single" w:sz="8" w:color="0000FF"/>
            </w:tcBorders>
            <w:gridSpan w:val="3"/>
          </w:tcPr>
          <w:p>
            <w:pPr>
              <w:spacing w:after="0"/>
              <w:rPr>
                <w:sz w:val="21"/>
                <w:szCs w:val="21"/>
                <w:color w:val="auto"/>
              </w:rPr>
            </w:pPr>
          </w:p>
        </w:tc>
        <w:tc>
          <w:tcPr>
            <w:tcW w:w="308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Income — For the Three and Nine Months Ended September 30, 2023 and 2022</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Comprehensive Income — For the Three and Nine Months Ended September 30,</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08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2023 and 2022</w:t>
            </w:r>
          </w:p>
        </w:tc>
        <w:tc>
          <w:tcPr>
            <w:tcW w:w="7660" w:type="dxa"/>
            <w:vAlign w:val="bottom"/>
            <w:tcBorders>
              <w:top w:val="single" w:sz="8" w:color="0000FF"/>
            </w:tcBorders>
            <w:gridSpan w:val="12"/>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sz w:val="20"/>
                <w:szCs w:val="20"/>
                <w:color w:val="auto"/>
              </w:rPr>
            </w:pPr>
            <w:r>
              <w:rPr>
                <w:rFonts w:ascii="Arial" w:cs="Arial" w:eastAsia="Arial" w:hAnsi="Arial"/>
                <w:sz w:val="16"/>
                <w:szCs w:val="16"/>
                <w:color w:val="0000FF"/>
              </w:rPr>
              <w:t>Condensed Consolidated Balance Sheets — As of September 30, 2023 and December 31, 2022</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140" w:type="dxa"/>
            <w:vAlign w:val="bottom"/>
            <w:gridSpan w:val="10"/>
          </w:tcPr>
          <w:p>
            <w:pPr>
              <w:spacing w:after="0"/>
              <w:rPr>
                <w:sz w:val="20"/>
                <w:szCs w:val="20"/>
                <w:color w:val="auto"/>
              </w:rPr>
            </w:pPr>
            <w:r>
              <w:rPr>
                <w:rFonts w:ascii="Arial" w:cs="Arial" w:eastAsia="Arial" w:hAnsi="Arial"/>
                <w:sz w:val="16"/>
                <w:szCs w:val="16"/>
                <w:color w:val="0000FF"/>
              </w:rPr>
              <w:t>Condensed Consolidated Statements of Cash Flow — For the Nine Months Ended September 30, 2023 and 2022</w:t>
            </w:r>
          </w:p>
        </w:tc>
        <w:tc>
          <w:tcPr>
            <w:tcW w:w="900" w:type="dxa"/>
            <w:vAlign w:val="bottom"/>
            <w:gridSpan w:val="4"/>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sz w:val="20"/>
                <w:szCs w:val="20"/>
                <w:color w:val="auto"/>
              </w:rPr>
            </w:pPr>
            <w:r>
              <w:rPr>
                <w:rFonts w:ascii="Arial" w:cs="Arial" w:eastAsia="Arial" w:hAnsi="Arial"/>
                <w:sz w:val="16"/>
                <w:szCs w:val="16"/>
                <w:color w:val="0000FF"/>
              </w:rPr>
              <w:t>Condensed Consolidated Statements of Equity — For the Three and Nine Months Ended September 30, 2023 and 2022</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020" w:type="dxa"/>
            <w:vAlign w:val="bottom"/>
            <w:gridSpan w:val="5"/>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4580" w:type="dxa"/>
            <w:vAlign w:val="bottom"/>
            <w:gridSpan w:val="6"/>
          </w:tcPr>
          <w:p>
            <w:pPr>
              <w:spacing w:after="0"/>
              <w:rPr>
                <w:sz w:val="21"/>
                <w:szCs w:val="21"/>
                <w:color w:val="auto"/>
              </w:rPr>
            </w:pPr>
          </w:p>
        </w:tc>
        <w:tc>
          <w:tcPr>
            <w:tcW w:w="440" w:type="dxa"/>
            <w:vAlign w:val="bottom"/>
            <w:gridSpan w:val="3"/>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040" w:type="dxa"/>
            <w:vAlign w:val="bottom"/>
            <w:gridSpan w:val="14"/>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gridSpan w:val="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2"/>
          </w:tcPr>
          <w:p>
            <w:pPr>
              <w:spacing w:after="0"/>
              <w:rPr>
                <w:sz w:val="21"/>
                <w:szCs w:val="21"/>
                <w:color w:val="auto"/>
              </w:rPr>
            </w:pPr>
          </w:p>
        </w:tc>
        <w:tc>
          <w:tcPr>
            <w:tcW w:w="2680" w:type="dxa"/>
            <w:vAlign w:val="bottom"/>
            <w:gridSpan w:val="6"/>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gridSpan w:val="6"/>
          </w:tcPr>
          <w:p>
            <w:pPr>
              <w:spacing w:after="0"/>
              <w:rPr>
                <w:sz w:val="20"/>
                <w:szCs w:val="20"/>
                <w:color w:val="auto"/>
              </w:rPr>
            </w:pPr>
            <w:r>
              <w:rPr>
                <w:rFonts w:ascii="Arial" w:cs="Arial" w:eastAsia="Arial" w:hAnsi="Arial"/>
                <w:sz w:val="16"/>
                <w:szCs w:val="16"/>
                <w:color w:val="0000FF"/>
              </w:rPr>
              <w:t>Controls and Procedures</w:t>
            </w:r>
          </w:p>
        </w:tc>
        <w:tc>
          <w:tcPr>
            <w:tcW w:w="4800" w:type="dxa"/>
            <w:vAlign w:val="bottom"/>
            <w:gridSpan w:val="8"/>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0000FF"/>
              </w:rPr>
              <w:t>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500" w:type="dxa"/>
            <w:vAlign w:val="bottom"/>
            <w:gridSpan w:val="4"/>
          </w:tcPr>
          <w:p>
            <w:pPr>
              <w:ind w:left="1940"/>
              <w:spacing w:after="0"/>
              <w:rPr>
                <w:sz w:val="20"/>
                <w:szCs w:val="20"/>
                <w:color w:val="auto"/>
              </w:rPr>
            </w:pPr>
            <w:r>
              <w:rPr>
                <w:rFonts w:ascii="Arial" w:cs="Arial" w:eastAsia="Arial" w:hAnsi="Arial"/>
                <w:sz w:val="16"/>
                <w:szCs w:val="16"/>
                <w:b w:val="1"/>
                <w:bCs w:val="1"/>
                <w:color w:val="auto"/>
              </w:rPr>
              <w:t xml:space="preserve">PART II — </w:t>
            </w:r>
            <w:r>
              <w:rPr>
                <w:rFonts w:ascii="Arial" w:cs="Arial" w:eastAsia="Arial" w:hAnsi="Arial"/>
                <w:sz w:val="16"/>
                <w:szCs w:val="16"/>
                <w:b w:val="1"/>
                <w:bCs w:val="1"/>
                <w:color w:val="0000FF"/>
              </w:rPr>
              <w:t>OTHER INFORMATION</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gridSpan w:val="4"/>
          </w:tcPr>
          <w:p>
            <w:pPr>
              <w:spacing w:after="0"/>
              <w:rPr>
                <w:sz w:val="20"/>
                <w:szCs w:val="20"/>
                <w:color w:val="auto"/>
              </w:rPr>
            </w:pPr>
            <w:r>
              <w:rPr>
                <w:rFonts w:ascii="Arial" w:cs="Arial" w:eastAsia="Arial" w:hAnsi="Arial"/>
                <w:sz w:val="16"/>
                <w:szCs w:val="16"/>
                <w:color w:val="0000FF"/>
                <w:w w:val="99"/>
              </w:rPr>
              <w:t>Legal Proceedings</w:t>
            </w:r>
          </w:p>
        </w:tc>
        <w:tc>
          <w:tcPr>
            <w:tcW w:w="2740" w:type="dxa"/>
            <w:vAlign w:val="bottom"/>
          </w:tcPr>
          <w:p>
            <w:pPr>
              <w:spacing w:after="0"/>
              <w:rPr>
                <w:sz w:val="21"/>
                <w:szCs w:val="21"/>
                <w:color w:val="auto"/>
              </w:rPr>
            </w:pPr>
          </w:p>
        </w:tc>
        <w:tc>
          <w:tcPr>
            <w:tcW w:w="1740" w:type="dxa"/>
            <w:vAlign w:val="bottom"/>
            <w:tcBorders>
              <w:top w:val="single" w:sz="8" w:color="0000FF"/>
            </w:tcBorders>
            <w:gridSpan w:val="2"/>
          </w:tcPr>
          <w:p>
            <w:pPr>
              <w:spacing w:after="0"/>
              <w:rPr>
                <w:sz w:val="21"/>
                <w:szCs w:val="21"/>
                <w:color w:val="auto"/>
              </w:rPr>
            </w:pPr>
          </w:p>
        </w:tc>
        <w:tc>
          <w:tcPr>
            <w:tcW w:w="2020" w:type="dxa"/>
            <w:vAlign w:val="bottom"/>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83</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gridSpan w:val="2"/>
          </w:tcPr>
          <w:p>
            <w:pPr>
              <w:spacing w:after="0"/>
              <w:rPr>
                <w:sz w:val="20"/>
                <w:szCs w:val="20"/>
                <w:color w:val="auto"/>
              </w:rPr>
            </w:pPr>
            <w:r>
              <w:rPr>
                <w:rFonts w:ascii="Arial" w:cs="Arial" w:eastAsia="Arial" w:hAnsi="Arial"/>
                <w:sz w:val="16"/>
                <w:szCs w:val="16"/>
                <w:color w:val="0000FF"/>
                <w:w w:val="98"/>
              </w:rPr>
              <w:t>Risk Factors</w:t>
            </w:r>
          </w:p>
        </w:tc>
        <w:tc>
          <w:tcPr>
            <w:tcW w:w="440" w:type="dxa"/>
            <w:vAlign w:val="bottom"/>
            <w:gridSpan w:val="2"/>
          </w:tcPr>
          <w:p>
            <w:pPr>
              <w:spacing w:after="0"/>
              <w:rPr>
                <w:sz w:val="21"/>
                <w:szCs w:val="21"/>
                <w:color w:val="auto"/>
              </w:rPr>
            </w:pPr>
          </w:p>
        </w:tc>
        <w:tc>
          <w:tcPr>
            <w:tcW w:w="6500" w:type="dxa"/>
            <w:vAlign w:val="bottom"/>
            <w:gridSpan w:val="4"/>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83</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4360" w:type="dxa"/>
            <w:vAlign w:val="bottom"/>
            <w:gridSpan w:val="6"/>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3480" w:type="dxa"/>
            <w:vAlign w:val="bottom"/>
            <w:gridSpan w:val="2"/>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98</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5.</w:t>
            </w:r>
          </w:p>
        </w:tc>
        <w:tc>
          <w:tcPr>
            <w:tcW w:w="1260" w:type="dxa"/>
            <w:vAlign w:val="bottom"/>
            <w:gridSpan w:val="3"/>
          </w:tcPr>
          <w:p>
            <w:pPr>
              <w:spacing w:after="0"/>
              <w:rPr>
                <w:sz w:val="20"/>
                <w:szCs w:val="20"/>
                <w:color w:val="auto"/>
              </w:rPr>
            </w:pPr>
            <w:r>
              <w:rPr>
                <w:rFonts w:ascii="Arial" w:cs="Arial" w:eastAsia="Arial" w:hAnsi="Arial"/>
                <w:sz w:val="16"/>
                <w:szCs w:val="16"/>
                <w:color w:val="0000FF"/>
                <w:w w:val="99"/>
              </w:rPr>
              <w:t>Other Information</w:t>
            </w:r>
          </w:p>
        </w:tc>
        <w:tc>
          <w:tcPr>
            <w:tcW w:w="3100" w:type="dxa"/>
            <w:vAlign w:val="bottom"/>
            <w:gridSpan w:val="3"/>
          </w:tcPr>
          <w:p>
            <w:pPr>
              <w:spacing w:after="0"/>
              <w:rPr>
                <w:sz w:val="21"/>
                <w:szCs w:val="21"/>
                <w:color w:val="auto"/>
              </w:rPr>
            </w:pPr>
          </w:p>
        </w:tc>
        <w:tc>
          <w:tcPr>
            <w:tcW w:w="3480" w:type="dxa"/>
            <w:vAlign w:val="bottom"/>
            <w:gridSpan w:val="2"/>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98</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58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560" w:type="dxa"/>
            <w:vAlign w:val="bottom"/>
          </w:tcPr>
          <w:p>
            <w:pPr>
              <w:spacing w:after="0"/>
              <w:rPr>
                <w:sz w:val="20"/>
                <w:szCs w:val="20"/>
                <w:color w:val="auto"/>
              </w:rPr>
            </w:pPr>
            <w:r>
              <w:rPr>
                <w:rFonts w:ascii="Arial" w:cs="Arial" w:eastAsia="Arial" w:hAnsi="Arial"/>
                <w:sz w:val="16"/>
                <w:szCs w:val="16"/>
                <w:color w:val="0000FF"/>
                <w:w w:val="96"/>
              </w:rPr>
              <w:t>Exhibits</w:t>
            </w:r>
          </w:p>
        </w:tc>
        <w:tc>
          <w:tcPr>
            <w:tcW w:w="700" w:type="dxa"/>
            <w:vAlign w:val="bottom"/>
            <w:gridSpan w:val="2"/>
          </w:tcPr>
          <w:p>
            <w:pPr>
              <w:spacing w:after="0"/>
              <w:rPr>
                <w:sz w:val="21"/>
                <w:szCs w:val="21"/>
                <w:color w:val="auto"/>
              </w:rPr>
            </w:pPr>
          </w:p>
        </w:tc>
        <w:tc>
          <w:tcPr>
            <w:tcW w:w="6580" w:type="dxa"/>
            <w:vAlign w:val="bottom"/>
            <w:gridSpan w:val="5"/>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99</w:t>
            </w:r>
          </w:p>
        </w:tc>
      </w:tr>
      <w:tr>
        <w:trPr>
          <w:trHeight w:val="20"/>
        </w:trPr>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0000FF"/>
              </w:rPr>
              <w:t>Signatures</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color w:val="0000FF"/>
              </w:rPr>
              <w:t>100</w:t>
            </w:r>
          </w:p>
        </w:tc>
      </w:tr>
      <w:tr>
        <w:trPr>
          <w:trHeight w:val="20"/>
        </w:trPr>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FORWARD-LOOKING STATEMENTS</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“estimate,” “expect,” “forecast,” "goal," “intend,” “may,” “plan,” “potential,” “possible,” “will,” “would” and other words and terms of similar meaning. Reference is made in particular to forward-looking statements regarding:</w:t>
      </w:r>
    </w:p>
    <w:p>
      <w:pPr>
        <w:spacing w:after="0" w:line="84" w:lineRule="exact"/>
        <w:rPr>
          <w:sz w:val="20"/>
          <w:szCs w:val="20"/>
          <w:color w:val="auto"/>
        </w:rPr>
      </w:pPr>
    </w:p>
    <w:p>
      <w:pPr>
        <w:ind w:left="420" w:hanging="331"/>
        <w:spacing w:after="0" w:line="278"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79" w:lineRule="exact"/>
        <w:rPr>
          <w:rFonts w:ascii="Arial" w:cs="Arial" w:eastAsia="Arial" w:hAnsi="Arial"/>
          <w:sz w:val="17"/>
          <w:szCs w:val="17"/>
          <w:color w:val="auto"/>
        </w:rPr>
      </w:pPr>
    </w:p>
    <w:p>
      <w:pPr>
        <w:ind w:left="420" w:right="160" w:hanging="331"/>
        <w:spacing w:after="0" w:line="27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plans and prospects relating to product approvals, sales, pricing, growth, reimbursement and launch of our marketed and pipeline products;</w:t>
      </w:r>
    </w:p>
    <w:p>
      <w:pPr>
        <w:spacing w:after="0" w:line="79" w:lineRule="exact"/>
        <w:rPr>
          <w:rFonts w:ascii="Arial" w:cs="Arial" w:eastAsia="Arial" w:hAnsi="Arial"/>
          <w:sz w:val="18"/>
          <w:szCs w:val="18"/>
          <w:color w:val="auto"/>
        </w:rPr>
      </w:pPr>
    </w:p>
    <w:p>
      <w:pPr>
        <w:ind w:left="420" w:right="36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 or competing products;</w:t>
      </w:r>
    </w:p>
    <w:p>
      <w:pPr>
        <w:spacing w:after="0" w:line="102"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periods of regulatory exclusivity;</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investments in our portfolio as well as implementation of our corporate strategy;</w:t>
      </w:r>
    </w:p>
    <w:p>
      <w:pPr>
        <w:spacing w:after="0" w:line="130" w:lineRule="exact"/>
        <w:rPr>
          <w:rFonts w:ascii="Arial" w:cs="Arial" w:eastAsia="Arial" w:hAnsi="Arial"/>
          <w:sz w:val="18"/>
          <w:szCs w:val="18"/>
          <w:color w:val="auto"/>
        </w:rPr>
      </w:pPr>
    </w:p>
    <w:p>
      <w:pPr>
        <w:ind w:left="420" w:right="420" w:hanging="331"/>
        <w:spacing w:after="0" w:line="285"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drivers for growing our business, including our plans and intention to commit resources relating to discovery, research and development programs and business development opportunities as well as the potential benefits and results of, and the anticipated completion of, certain business development transactions and cost-reduction measures, including our Fit for Growth program;</w:t>
      </w:r>
    </w:p>
    <w:p>
      <w:pPr>
        <w:spacing w:after="0" w:line="86" w:lineRule="exact"/>
        <w:rPr>
          <w:rFonts w:ascii="Arial" w:cs="Arial" w:eastAsia="Arial" w:hAnsi="Arial"/>
          <w:sz w:val="17"/>
          <w:szCs w:val="17"/>
          <w:color w:val="auto"/>
        </w:rPr>
      </w:pPr>
    </w:p>
    <w:p>
      <w:pPr>
        <w:ind w:left="420" w:right="6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regulatory filings and approvals, of our products, drug candidates and pipeline programs, including collaborations with third-parties, as well as the potential therapeutic scope of the development and commercialization of our and our collaborators’ pipeline products;</w:t>
      </w:r>
    </w:p>
    <w:p>
      <w:pPr>
        <w:spacing w:after="0" w:line="89" w:lineRule="exact"/>
        <w:rPr>
          <w:rFonts w:ascii="Arial" w:cs="Arial" w:eastAsia="Arial" w:hAnsi="Arial"/>
          <w:sz w:val="18"/>
          <w:szCs w:val="18"/>
          <w:color w:val="auto"/>
        </w:rPr>
      </w:pPr>
    </w:p>
    <w:p>
      <w:pPr>
        <w:ind w:left="420" w:right="34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89"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44" w:lineRule="exact"/>
        <w:rPr>
          <w:rFonts w:ascii="Arial" w:cs="Arial" w:eastAsia="Arial" w:hAnsi="Arial"/>
          <w:sz w:val="18"/>
          <w:szCs w:val="18"/>
          <w:color w:val="auto"/>
        </w:rPr>
      </w:pPr>
    </w:p>
    <w:p>
      <w:pPr>
        <w:ind w:left="420" w:right="160" w:hanging="331"/>
        <w:spacing w:after="0" w:line="27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events involving our marketed or pipeline products, generic or biosimilar versions of our marketed products or any other products from the same class as one of our products;</w:t>
      </w:r>
    </w:p>
    <w:p>
      <w:pPr>
        <w:spacing w:after="0" w:line="79" w:lineRule="exact"/>
        <w:rPr>
          <w:rFonts w:ascii="Arial" w:cs="Arial" w:eastAsia="Arial" w:hAnsi="Arial"/>
          <w:sz w:val="18"/>
          <w:szCs w:val="18"/>
          <w:color w:val="auto"/>
        </w:rPr>
      </w:pPr>
    </w:p>
    <w:p>
      <w:pPr>
        <w:ind w:left="420" w:right="24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regions affected by Russia's invasion of Ukraine and the military conflict in the Middle East;</w:t>
      </w:r>
    </w:p>
    <w:p>
      <w:pPr>
        <w:spacing w:after="0" w:line="89" w:lineRule="exact"/>
        <w:rPr>
          <w:rFonts w:ascii="Arial" w:cs="Arial" w:eastAsia="Arial" w:hAnsi="Arial"/>
          <w:sz w:val="18"/>
          <w:szCs w:val="18"/>
          <w:color w:val="auto"/>
        </w:rPr>
      </w:pPr>
    </w:p>
    <w:p>
      <w:pPr>
        <w:ind w:left="420" w:right="26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and indirect impact of the COVID-19 pandemic and other global health outbreaks on our business and operations, including sales, expense, reserves and allowances, the supply chain, manufacturing, cyber-attacks or other privacy or data security incidents, research and development costs, clinical trials and employees;</w:t>
      </w:r>
    </w:p>
    <w:p>
      <w:pPr>
        <w:spacing w:after="0" w:line="102" w:lineRule="exact"/>
        <w:rPr>
          <w:rFonts w:ascii="Arial" w:cs="Arial" w:eastAsia="Arial" w:hAnsi="Arial"/>
          <w:sz w:val="18"/>
          <w:szCs w:val="18"/>
          <w:color w:val="auto"/>
        </w:rPr>
      </w:pPr>
    </w:p>
    <w:p>
      <w:pPr>
        <w:ind w:left="420" w:right="360" w:hanging="331"/>
        <w:spacing w:after="0" w:line="27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potential impacts of the conflict in Ukraine, including impacts on our operations, sales and the possible disruptions or delays in our plans to conduct clinical trial activities in affected regions;</w:t>
      </w:r>
    </w:p>
    <w:p>
      <w:pPr>
        <w:spacing w:after="0" w:line="79" w:lineRule="exact"/>
        <w:rPr>
          <w:rFonts w:ascii="Arial" w:cs="Arial" w:eastAsia="Arial" w:hAnsi="Arial"/>
          <w:sz w:val="18"/>
          <w:szCs w:val="18"/>
          <w:color w:val="auto"/>
        </w:rPr>
      </w:pPr>
    </w:p>
    <w:p>
      <w:pPr>
        <w:ind w:left="420" w:right="660" w:hanging="331"/>
        <w:spacing w:after="0" w:line="263"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U.S., including the IRA, and measures being taken worldwide designed to reduce healthcare costs and limit the overall level of government expenditures, including the impact of pricing actions and reduced reimbursement for our products;</w:t>
      </w:r>
    </w:p>
    <w:p>
      <w:pPr>
        <w:spacing w:after="0" w:line="89" w:lineRule="exact"/>
        <w:rPr>
          <w:rFonts w:ascii="Arial" w:cs="Arial" w:eastAsia="Arial" w:hAnsi="Arial"/>
          <w:sz w:val="18"/>
          <w:szCs w:val="18"/>
          <w:color w:val="auto"/>
        </w:rPr>
      </w:pPr>
    </w:p>
    <w:p>
      <w:pPr>
        <w:ind w:left="420" w:right="800" w:hanging="331"/>
        <w:spacing w:after="0" w:line="275"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activities in new or existing manufacturing facilities and the expected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0" w:right="140"/>
        <w:spacing w:after="0" w:line="275" w:lineRule="auto"/>
        <w:rPr>
          <w:sz w:val="20"/>
          <w:szCs w:val="20"/>
          <w:color w:val="auto"/>
        </w:rPr>
      </w:pPr>
      <w:r>
        <w:rPr>
          <w:rFonts w:ascii="Arial" w:cs="Arial" w:eastAsia="Arial" w:hAnsi="Arial"/>
          <w:sz w:val="18"/>
          <w:szCs w:val="18"/>
          <w:color w:val="auto"/>
        </w:rPr>
        <w:t>timeline for the remaining portion of the Solothurn manufacturing facility to begin manufacturing products or product candidates and for the gene therapy manufacturing facility in RTP, North Carolina to be operational;</w:t>
      </w:r>
    </w:p>
    <w:p>
      <w:pPr>
        <w:spacing w:after="0" w:line="93" w:lineRule="exact"/>
        <w:rPr>
          <w:sz w:val="20"/>
          <w:szCs w:val="20"/>
          <w:color w:val="auto"/>
        </w:rPr>
      </w:pPr>
    </w:p>
    <w:p>
      <w:pPr>
        <w:ind w:left="420" w:right="780" w:hanging="331"/>
        <w:spacing w:after="0" w:line="275"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collection of accounts receivable in such countries;</w:t>
      </w:r>
    </w:p>
    <w:p>
      <w:pPr>
        <w:spacing w:after="0" w:line="79" w:lineRule="exact"/>
        <w:rPr>
          <w:rFonts w:ascii="Arial" w:cs="Arial" w:eastAsia="Arial" w:hAnsi="Arial"/>
          <w:sz w:val="18"/>
          <w:szCs w:val="18"/>
          <w:color w:val="auto"/>
        </w:rPr>
      </w:pPr>
    </w:p>
    <w:p>
      <w:pPr>
        <w:ind w:left="360" w:hanging="27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new laws (including tax), regulatory requirements, judicial decisions and accounting standards.</w:t>
      </w:r>
    </w:p>
    <w:p>
      <w:pPr>
        <w:spacing w:after="0" w:line="11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COMPANY AND PRODUCT REFERENCES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report to:</w:t>
      </w:r>
    </w:p>
    <w:p>
      <w:pPr>
        <w:spacing w:after="0" w:line="117" w:lineRule="exact"/>
        <w:rPr>
          <w:sz w:val="20"/>
          <w:szCs w:val="20"/>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17" w:lineRule="exact"/>
        <w:rPr>
          <w:rFonts w:ascii="Arial" w:cs="Arial" w:eastAsia="Arial" w:hAnsi="Arial"/>
          <w:sz w:val="18"/>
          <w:szCs w:val="18"/>
          <w:color w:val="auto"/>
        </w:rPr>
      </w:pPr>
    </w:p>
    <w:p>
      <w:pPr>
        <w:ind w:left="420" w:right="280" w:hanging="331"/>
        <w:spacing w:after="0" w:line="275"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197"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TRADEMARKS</w:t>
      </w:r>
    </w:p>
    <w:p>
      <w:pPr>
        <w:spacing w:after="0" w:line="135"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color w:val="auto"/>
        </w:rPr>
        <w:t>ADUHELM®, AVONEX®, BYOOVIZ®, PLEGRIDY®, QALSODY®, RITUXAN®, RITUXAN HYCELA®, SKYCLARYS®, SPINRAZA®, TECFIDERA®, TYSABRI® and VUMERITY® are registered trademarks of Biogen.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BENEPALI™, FLIXABI™, FUMADERM™, IMRALDI™ and TOFIDENCE™ are trademarks of Biogen.</w:t>
      </w:r>
    </w:p>
    <w:p>
      <w:pPr>
        <w:spacing w:after="0" w:line="117" w:lineRule="exact"/>
        <w:rPr>
          <w:sz w:val="20"/>
          <w:szCs w:val="20"/>
          <w:color w:val="auto"/>
        </w:rPr>
      </w:pPr>
    </w:p>
    <w:p>
      <w:pPr>
        <w:ind w:right="920"/>
        <w:spacing w:after="0" w:line="306" w:lineRule="auto"/>
        <w:rPr>
          <w:sz w:val="20"/>
          <w:szCs w:val="20"/>
          <w:color w:val="auto"/>
        </w:rPr>
      </w:pPr>
      <w:r>
        <w:rPr>
          <w:rFonts w:ascii="Arial" w:cs="Arial" w:eastAsia="Arial" w:hAnsi="Arial"/>
          <w:sz w:val="17"/>
          <w:szCs w:val="17"/>
          <w:color w:val="auto"/>
        </w:rPr>
        <w:t>ACTEMRA®, ENBREL®, EYLEA®, FAMPYRA™, GAZYVA®, LEQEMBI®, HUMIRA®, LUCENTIS®, LUNSUMIO®, OCREVUS®, REMICADE®, ZURZUVAE™ and other trademarks referenced in this report are the property of their respective owners.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20" w:type="dxa"/>
            <w:vAlign w:val="bottom"/>
          </w:tcPr>
          <w:p>
            <w:pPr>
              <w:spacing w:after="0"/>
              <w:rPr>
                <w:sz w:val="24"/>
                <w:szCs w:val="24"/>
                <w:color w:val="auto"/>
              </w:rPr>
            </w:pPr>
          </w:p>
        </w:tc>
        <w:tc>
          <w:tcPr>
            <w:tcW w:w="3220" w:type="dxa"/>
            <w:vAlign w:val="bottom"/>
            <w:tcBorders>
              <w:bottom w:val="single" w:sz="8" w:color="0070C0"/>
            </w:tcBorders>
          </w:tcPr>
          <w:p>
            <w:pPr>
              <w:spacing w:after="0"/>
              <w:rPr>
                <w:sz w:val="24"/>
                <w:szCs w:val="24"/>
                <w:color w:val="auto"/>
              </w:rPr>
            </w:pPr>
          </w:p>
        </w:tc>
        <w:tc>
          <w:tcPr>
            <w:tcW w:w="7980" w:type="dxa"/>
            <w:vAlign w:val="bottom"/>
            <w:tcBorders>
              <w:bottom w:val="single" w:sz="8" w:color="0070C0"/>
            </w:tcBorders>
          </w:tcPr>
          <w:p>
            <w:pPr>
              <w:ind w:left="1360"/>
              <w:spacing w:after="0"/>
              <w:rPr>
                <w:sz w:val="20"/>
                <w:szCs w:val="20"/>
                <w:color w:val="auto"/>
              </w:rPr>
            </w:pPr>
            <w:r>
              <w:rPr>
                <w:rFonts w:ascii="Arial" w:cs="Arial" w:eastAsia="Arial" w:hAnsi="Arial"/>
                <w:sz w:val="25"/>
                <w:szCs w:val="25"/>
                <w:color w:val="0070C0"/>
              </w:rPr>
              <w:t>DEFINED TERMS</w:t>
            </w:r>
          </w:p>
        </w:tc>
        <w:tc>
          <w:tcPr>
            <w:tcW w:w="2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2022 Form 10-K</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2022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2020 Share Repurchase Program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Board of Directors authorized program to repurchase up to $5.0 billion of our common stock</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300 Binney Street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300 Binney Street, Cambridge, MA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Artificial Intelligence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Amyotrophic Lateral Sclerosis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AOCI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ASU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Accounting Standards Update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ATV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Antibody Transport Vehicle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Biologics License Application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Blackstone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Blackstone Life Sciences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California Consumer Privacy Act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cGMP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current Good Manufacturing Practices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CJEU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Court of Justice of the European Union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Cutaneous Lupus Erythematosus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Chronic Lymphocytic Leukemia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Centers for Medicare &amp; Medicaid Services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Convergence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Convergence Pharmaceuticals Ltd.</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Complete Response Letter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CROs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Contract Research Organizations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Drug Enforcement Agency</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Denali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Denali Therapeutics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DPN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Diabetic Painful Neuropathy</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Commission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Eisai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Eisai Co., Ltd.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Medicines Agency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ERISA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Employee Retirement Income Security Act of 1974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Union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Friedreich's Ataxia</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FASB</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Financial Accounting Standards Board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Foreign Corrupt Practices Act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Food and Drug Administration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Federal Deposit Insurance Corporation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Fit for Growth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Cost saving program initiated in 2023</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Genentech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Genentech,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GILTI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Intangible Low Tax Income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GloBE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Anti-Base Erosion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Good Manufacturing Practice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Humana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Humana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IPR&amp;D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In-process Research and Development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Ionis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Ionis Pharmaceuticals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Inflation Reduction Act of 2022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DBDBDB"/>
          </w:tcPr>
          <w:p>
            <w:pPr>
              <w:ind w:left="20"/>
              <w:spacing w:after="0"/>
              <w:rPr>
                <w:sz w:val="20"/>
                <w:szCs w:val="20"/>
                <w:color w:val="auto"/>
              </w:rPr>
            </w:pPr>
            <w:r>
              <w:rPr>
                <w:rFonts w:ascii="Arial" w:cs="Arial" w:eastAsia="Arial" w:hAnsi="Arial"/>
                <w:sz w:val="16"/>
                <w:szCs w:val="16"/>
                <w:color w:val="0070C0"/>
              </w:rPr>
              <w:t>LRRK2</w:t>
            </w:r>
          </w:p>
        </w:tc>
        <w:tc>
          <w:tcPr>
            <w:tcW w:w="8000" w:type="dxa"/>
            <w:vAlign w:val="bottom"/>
            <w:gridSpan w:val="2"/>
          </w:tcPr>
          <w:p>
            <w:pPr>
              <w:ind w:left="20"/>
              <w:spacing w:after="0"/>
              <w:rPr>
                <w:sz w:val="20"/>
                <w:szCs w:val="20"/>
                <w:color w:val="auto"/>
              </w:rPr>
            </w:pPr>
            <w:r>
              <w:rPr>
                <w:rFonts w:ascii="Arial" w:cs="Arial" w:eastAsia="Arial" w:hAnsi="Arial"/>
                <w:sz w:val="16"/>
                <w:szCs w:val="16"/>
                <w:color w:val="auto"/>
              </w:rPr>
              <w:t>Leucine-Rich Repeat Kinase 2</w:t>
            </w:r>
          </w:p>
        </w:tc>
      </w:tr>
      <w:tr>
        <w:trPr>
          <w:trHeight w:val="860"/>
        </w:trPr>
        <w:tc>
          <w:tcPr>
            <w:tcW w:w="20" w:type="dxa"/>
            <w:vAlign w:val="bottom"/>
          </w:tcPr>
          <w:p>
            <w:pPr>
              <w:spacing w:after="0"/>
              <w:rPr>
                <w:sz w:val="24"/>
                <w:szCs w:val="24"/>
                <w:color w:val="auto"/>
              </w:rPr>
            </w:pPr>
          </w:p>
        </w:tc>
        <w:tc>
          <w:tcPr>
            <w:tcW w:w="3220" w:type="dxa"/>
            <w:vAlign w:val="bottom"/>
            <w:tcBorders>
              <w:top w:val="single" w:sz="8" w:color="0070C0"/>
            </w:tcBorders>
          </w:tcPr>
          <w:p>
            <w:pPr>
              <w:spacing w:after="0"/>
              <w:rPr>
                <w:sz w:val="24"/>
                <w:szCs w:val="24"/>
                <w:color w:val="auto"/>
              </w:rPr>
            </w:pPr>
          </w:p>
        </w:tc>
        <w:tc>
          <w:tcPr>
            <w:tcW w:w="7980" w:type="dxa"/>
            <w:vAlign w:val="bottom"/>
            <w:tcBorders>
              <w:top w:val="single" w:sz="8" w:color="0070C0"/>
            </w:tcBorders>
          </w:tcPr>
          <w:p>
            <w:pPr>
              <w:ind w:left="23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20" w:type="dxa"/>
            <w:vAlign w:val="bottom"/>
          </w:tcPr>
          <w:p>
            <w:pPr>
              <w:spacing w:after="0"/>
              <w:rPr>
                <w:sz w:val="24"/>
                <w:szCs w:val="24"/>
                <w:color w:val="auto"/>
              </w:rPr>
            </w:pPr>
          </w:p>
        </w:tc>
        <w:tc>
          <w:tcPr>
            <w:tcW w:w="3220" w:type="dxa"/>
            <w:vAlign w:val="bottom"/>
            <w:tcBorders>
              <w:bottom w:val="single" w:sz="8" w:color="0070C0"/>
            </w:tcBorders>
          </w:tcPr>
          <w:p>
            <w:pPr>
              <w:spacing w:after="0"/>
              <w:rPr>
                <w:sz w:val="24"/>
                <w:szCs w:val="24"/>
                <w:color w:val="auto"/>
              </w:rPr>
            </w:pPr>
          </w:p>
        </w:tc>
        <w:tc>
          <w:tcPr>
            <w:tcW w:w="7980" w:type="dxa"/>
            <w:vAlign w:val="bottom"/>
            <w:tcBorders>
              <w:bottom w:val="single" w:sz="8" w:color="0070C0"/>
            </w:tcBorders>
          </w:tcPr>
          <w:p>
            <w:pPr>
              <w:ind w:left="700"/>
              <w:spacing w:after="0"/>
              <w:rPr>
                <w:sz w:val="20"/>
                <w:szCs w:val="20"/>
                <w:color w:val="auto"/>
              </w:rPr>
            </w:pPr>
            <w:r>
              <w:rPr>
                <w:rFonts w:ascii="Arial" w:cs="Arial" w:eastAsia="Arial" w:hAnsi="Arial"/>
                <w:sz w:val="25"/>
                <w:szCs w:val="25"/>
                <w:color w:val="0070C0"/>
              </w:rPr>
              <w:t>DEFINED TERMS (continued)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MAA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Marketing Authorization Application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MDD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Major Depressive Disorder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MHRA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Medicines and Healthcare products Regulatory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Multiple Sclerosis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Mylan Ireland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Mylan Ireland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Coverage Decision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Application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Submission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Neurimmune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Neurimmune SubOne AG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Medicinal Products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OECD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Organization for Economic Co-operation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Polpharma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Polpharma Biologics 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PPACA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Patient Protection and Affordable Care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Postpartum Depression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Primary Progressive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Reata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Reata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Relapsing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RTP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Triangle Park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Sage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Sage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Bioepis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Bioepis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BioLogics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BioLogics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Sangamo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Sangamo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SG&amp;A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Systemic Lupus Erythematosus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Spinal Muscular Atrophy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SOD1</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Superoxide Dismutase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SVB</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Silicon Valley Bank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SWISSMEDIC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Swiss Agency for Therapeutic Products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TGN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Trigeminal Neuralgia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2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0070C0"/>
              </w:rPr>
              <w:t>Transition Toll Tax</w:t>
            </w:r>
          </w:p>
        </w:tc>
        <w:tc>
          <w:tcPr>
            <w:tcW w:w="80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 one-time mandatory deemed repatriation tax on accumulated foreign subsidiaries' previously untaxed foreign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20" w:type="dxa"/>
            <w:vAlign w:val="bottom"/>
            <w:vMerge w:val="continue"/>
            <w:shd w:val="clear" w:color="auto" w:fill="DBDBDB"/>
          </w:tcPr>
          <w:p>
            <w:pPr>
              <w:spacing w:after="0"/>
              <w:rPr>
                <w:sz w:val="10"/>
                <w:szCs w:val="10"/>
                <w:color w:val="auto"/>
              </w:rPr>
            </w:pPr>
          </w:p>
        </w:tc>
        <w:tc>
          <w:tcPr>
            <w:tcW w:w="7980" w:type="dxa"/>
            <w:vAlign w:val="bottom"/>
            <w:vMerge w:val="restart"/>
          </w:tcPr>
          <w:p>
            <w:pPr>
              <w:ind w:left="20"/>
              <w:spacing w:after="0"/>
              <w:rPr>
                <w:sz w:val="20"/>
                <w:szCs w:val="20"/>
                <w:color w:val="auto"/>
              </w:rPr>
            </w:pPr>
            <w:r>
              <w:rPr>
                <w:rFonts w:ascii="Arial" w:cs="Arial" w:eastAsia="Arial" w:hAnsi="Arial"/>
                <w:sz w:val="16"/>
                <w:szCs w:val="16"/>
                <w:color w:val="auto"/>
              </w:rPr>
              <w:t>earnings</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220" w:type="dxa"/>
            <w:vAlign w:val="bottom"/>
            <w:tcBorders>
              <w:bottom w:val="single" w:sz="8" w:color="0070C0"/>
            </w:tcBorders>
            <w:shd w:val="clear" w:color="auto" w:fill="DBDBDB"/>
          </w:tcPr>
          <w:p>
            <w:pPr>
              <w:spacing w:after="0"/>
              <w:rPr>
                <w:sz w:val="7"/>
                <w:szCs w:val="7"/>
                <w:color w:val="auto"/>
              </w:rPr>
            </w:pPr>
          </w:p>
        </w:tc>
        <w:tc>
          <w:tcPr>
            <w:tcW w:w="7980" w:type="dxa"/>
            <w:vAlign w:val="bottom"/>
            <w:tcBorders>
              <w:bottom w:val="single" w:sz="8" w:color="0070C0"/>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U.K.</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shd w:val="clear" w:color="auto" w:fill="DBDBDB"/>
          </w:tcPr>
          <w:p>
            <w:pPr>
              <w:ind w:left="20"/>
              <w:spacing w:after="0"/>
              <w:rPr>
                <w:sz w:val="20"/>
                <w:szCs w:val="20"/>
                <w:color w:val="auto"/>
              </w:rPr>
            </w:pPr>
            <w:r>
              <w:rPr>
                <w:rFonts w:ascii="Arial" w:cs="Arial" w:eastAsia="Arial" w:hAnsi="Arial"/>
                <w:sz w:val="16"/>
                <w:szCs w:val="16"/>
                <w:color w:val="0070C0"/>
              </w:rPr>
              <w:t>U.S. GAAP</w:t>
            </w:r>
          </w:p>
        </w:tc>
        <w:tc>
          <w:tcPr>
            <w:tcW w:w="8000" w:type="dxa"/>
            <w:vAlign w:val="bottom"/>
            <w:gridSpan w:val="2"/>
          </w:tcPr>
          <w:p>
            <w:pPr>
              <w:ind w:left="20"/>
              <w:spacing w:after="0"/>
              <w:rPr>
                <w:sz w:val="20"/>
                <w:szCs w:val="20"/>
                <w:color w:val="auto"/>
              </w:rPr>
            </w:pPr>
            <w:r>
              <w:rPr>
                <w:rFonts w:ascii="Arial" w:cs="Arial" w:eastAsia="Arial" w:hAnsi="Arial"/>
                <w:sz w:val="16"/>
                <w:szCs w:val="16"/>
                <w:color w:val="auto"/>
              </w:rPr>
              <w:t>Accounting Principles Generally Accepted in the U.S.</w:t>
            </w:r>
          </w:p>
        </w:tc>
        <w:tc>
          <w:tcPr>
            <w:tcW w:w="0" w:type="dxa"/>
            <w:vAlign w:val="bottom"/>
          </w:tcPr>
          <w:p>
            <w:pPr>
              <w:spacing w:after="0"/>
              <w:rPr>
                <w:sz w:val="1"/>
                <w:szCs w:val="1"/>
                <w:color w:val="auto"/>
              </w:rPr>
            </w:pPr>
          </w:p>
        </w:tc>
      </w:tr>
      <w:tr>
        <w:trPr>
          <w:trHeight w:val="861"/>
        </w:trPr>
        <w:tc>
          <w:tcPr>
            <w:tcW w:w="20" w:type="dxa"/>
            <w:vAlign w:val="bottom"/>
          </w:tcPr>
          <w:p>
            <w:pPr>
              <w:spacing w:after="0"/>
              <w:rPr>
                <w:sz w:val="24"/>
                <w:szCs w:val="24"/>
                <w:color w:val="auto"/>
              </w:rPr>
            </w:pPr>
          </w:p>
        </w:tc>
        <w:tc>
          <w:tcPr>
            <w:tcW w:w="3220" w:type="dxa"/>
            <w:vAlign w:val="bottom"/>
            <w:tcBorders>
              <w:top w:val="single" w:sz="8" w:color="0070C0"/>
            </w:tcBorders>
          </w:tcPr>
          <w:p>
            <w:pPr>
              <w:spacing w:after="0"/>
              <w:rPr>
                <w:sz w:val="24"/>
                <w:szCs w:val="24"/>
                <w:color w:val="auto"/>
              </w:rPr>
            </w:pPr>
          </w:p>
        </w:tc>
        <w:tc>
          <w:tcPr>
            <w:tcW w:w="7980" w:type="dxa"/>
            <w:vAlign w:val="bottom"/>
            <w:tcBorders>
              <w:top w:val="single" w:sz="8" w:color="0070C0"/>
            </w:tcBorders>
          </w:tcPr>
          <w:p>
            <w:pPr>
              <w:ind w:left="23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7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PART I FINANCIAL INFORMATION</w:t>
      </w:r>
    </w:p>
    <w:p>
      <w:pPr>
        <w:spacing w:after="0" w:line="247" w:lineRule="exact"/>
        <w:rPr>
          <w:sz w:val="20"/>
          <w:szCs w:val="20"/>
          <w:color w:val="auto"/>
        </w:rPr>
      </w:pPr>
    </w:p>
    <w:p>
      <w:pPr>
        <w:jc w:val="center"/>
        <w:spacing w:after="0" w:line="272" w:lineRule="auto"/>
        <w:rPr>
          <w:sz w:val="20"/>
          <w:szCs w:val="20"/>
          <w:color w:val="auto"/>
        </w:rPr>
      </w:pPr>
      <w:r>
        <w:rPr>
          <w:rFonts w:ascii="Arial" w:cs="Arial" w:eastAsia="Arial" w:hAnsi="Arial"/>
          <w:sz w:val="22"/>
          <w:szCs w:val="22"/>
          <w:b w:val="1"/>
          <w:bCs w:val="1"/>
          <w:color w:val="1C5A7D"/>
        </w:rPr>
        <w:t>BIOGEN INC. AND SUBSIDIARIES CONDENSED CONSOLIDATED STATEMENTS OF INCOME (unaudited, in millions, except per share amounts)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5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For the Nine Months Ended</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25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590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120" w:type="dxa"/>
            <w:vAlign w:val="bottom"/>
            <w:tcBorders>
              <w:top w:val="single" w:sz="8" w:color="auto"/>
              <w:bottom w:val="single" w:sz="8" w:color="auto"/>
            </w:tcBorders>
            <w:shd w:val="clear" w:color="auto" w:fill="DDDDDD"/>
          </w:tcPr>
          <w:p>
            <w:pPr>
              <w:spacing w:after="0"/>
              <w:rPr>
                <w:sz w:val="18"/>
                <w:szCs w:val="18"/>
                <w:color w:val="auto"/>
              </w:rPr>
            </w:pPr>
          </w:p>
        </w:tc>
        <w:tc>
          <w:tcPr>
            <w:tcW w:w="1140" w:type="dxa"/>
            <w:vAlign w:val="bottom"/>
            <w:tcBorders>
              <w:top w:val="single" w:sz="8" w:color="auto"/>
              <w:bottom w:val="single" w:sz="8" w:color="auto"/>
              <w:right w:val="single" w:sz="8" w:color="DDDDDD"/>
            </w:tcBorders>
            <w:shd w:val="clear" w:color="auto" w:fill="DDDDDD"/>
          </w:tcPr>
          <w:p>
            <w:pPr>
              <w:jc w:val="right"/>
              <w:ind w:right="379"/>
              <w:spacing w:after="0"/>
              <w:rPr>
                <w:sz w:val="20"/>
                <w:szCs w:val="20"/>
                <w:color w:val="auto"/>
              </w:rPr>
            </w:pPr>
            <w:r>
              <w:rPr>
                <w:rFonts w:ascii="Arial" w:cs="Arial" w:eastAsia="Arial" w:hAnsi="Arial"/>
                <w:sz w:val="16"/>
                <w:szCs w:val="16"/>
                <w:b w:val="1"/>
                <w:bCs w:val="1"/>
                <w:color w:val="257ACB"/>
              </w:rPr>
              <w:t>2023</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DDDDDD"/>
          </w:tcPr>
          <w:p>
            <w:pPr>
              <w:spacing w:after="0"/>
              <w:rPr>
                <w:sz w:val="18"/>
                <w:szCs w:val="18"/>
                <w:color w:val="auto"/>
              </w:rPr>
            </w:pPr>
          </w:p>
        </w:tc>
        <w:tc>
          <w:tcPr>
            <w:tcW w:w="1140" w:type="dxa"/>
            <w:vAlign w:val="bottom"/>
            <w:tcBorders>
              <w:top w:val="single" w:sz="8" w:color="auto"/>
              <w:bottom w:val="single" w:sz="8" w:color="auto"/>
              <w:right w:val="single" w:sz="8" w:color="DDDDDD"/>
            </w:tcBorders>
            <w:shd w:val="clear" w:color="auto" w:fill="DDDDDD"/>
          </w:tcPr>
          <w:p>
            <w:pPr>
              <w:jc w:val="right"/>
              <w:ind w:right="379"/>
              <w:spacing w:after="0"/>
              <w:rPr>
                <w:sz w:val="20"/>
                <w:szCs w:val="20"/>
                <w:color w:val="auto"/>
              </w:rPr>
            </w:pPr>
            <w:r>
              <w:rPr>
                <w:rFonts w:ascii="Arial" w:cs="Arial" w:eastAsia="Arial" w:hAnsi="Arial"/>
                <w:sz w:val="16"/>
                <w:szCs w:val="16"/>
                <w:b w:val="1"/>
                <w:bCs w:val="1"/>
                <w:color w:val="257ACB"/>
              </w:rPr>
              <w:t>2023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0"/>
        </w:trPr>
        <w:tc>
          <w:tcPr>
            <w:tcW w:w="5900" w:type="dxa"/>
            <w:vAlign w:val="bottom"/>
            <w:vMerge w:val="continue"/>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tcBorders>
              <w:right w:val="single" w:sz="8" w:color="DBDBDB"/>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40" w:type="dxa"/>
            <w:vAlign w:val="bottom"/>
            <w:tcBorders>
              <w:right w:val="single" w:sz="8" w:color="DBDBDB"/>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Product, net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1,805.2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1,962.1</w:t>
            </w:r>
          </w:p>
        </w:tc>
        <w:tc>
          <w:tcPr>
            <w:tcW w:w="10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5,414.3</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6,083.3</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420.9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416.9</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1,253.8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1,252.6</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Contract manufacturing, royalty and other revenue</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304.2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781.2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09"/>
        </w:trPr>
        <w:tc>
          <w:tcPr>
            <w:tcW w:w="590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2,530.3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2,508.5</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7,449.3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7,629.4</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20"/>
                <w:szCs w:val="20"/>
                <w:color w:val="auto"/>
              </w:rPr>
            </w:pPr>
            <w:r>
              <w:rPr>
                <w:rFonts w:ascii="Arial" w:cs="Arial" w:eastAsia="Arial" w:hAnsi="Arial"/>
                <w:sz w:val="16"/>
                <w:szCs w:val="16"/>
                <w:color w:val="auto"/>
              </w:rPr>
              <w:t>Cost and expense:</w:t>
            </w:r>
          </w:p>
        </w:tc>
        <w:tc>
          <w:tcPr>
            <w:tcW w:w="120" w:type="dxa"/>
            <w:vAlign w:val="bottom"/>
            <w:shd w:val="clear" w:color="auto" w:fill="DBDBDB"/>
          </w:tcPr>
          <w:p>
            <w:pPr>
              <w:spacing w:after="0"/>
              <w:rPr>
                <w:sz w:val="17"/>
                <w:szCs w:val="17"/>
                <w:color w:val="auto"/>
              </w:rPr>
            </w:pPr>
          </w:p>
        </w:tc>
        <w:tc>
          <w:tcPr>
            <w:tcW w:w="1140" w:type="dxa"/>
            <w:vAlign w:val="bottom"/>
            <w:tcBorders>
              <w:right w:val="single" w:sz="8" w:color="DBDBDB"/>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tcBorders>
              <w:right w:val="single" w:sz="8" w:color="DBDBDB"/>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900" w:type="dxa"/>
            <w:vAlign w:val="bottom"/>
          </w:tcPr>
          <w:p>
            <w:pPr>
              <w:ind w:left="120"/>
              <w:spacing w:after="0" w:line="171" w:lineRule="exact"/>
              <w:rPr>
                <w:sz w:val="20"/>
                <w:szCs w:val="20"/>
                <w:color w:val="auto"/>
              </w:rPr>
            </w:pPr>
            <w:r>
              <w:rPr>
                <w:rFonts w:ascii="Arial" w:cs="Arial" w:eastAsia="Arial" w:hAnsi="Arial"/>
                <w:sz w:val="16"/>
                <w:szCs w:val="16"/>
                <w:color w:val="auto"/>
              </w:rPr>
              <w:t>Cost of sales, excluding amortization and impairment of acquired intangible</w:t>
            </w:r>
          </w:p>
        </w:tc>
        <w:tc>
          <w:tcPr>
            <w:tcW w:w="120" w:type="dxa"/>
            <w:vAlign w:val="bottom"/>
            <w:shd w:val="clear" w:color="auto" w:fill="DBDBDB"/>
          </w:tcPr>
          <w:p>
            <w:pPr>
              <w:spacing w:after="0"/>
              <w:rPr>
                <w:sz w:val="14"/>
                <w:szCs w:val="14"/>
                <w:color w:val="auto"/>
              </w:rPr>
            </w:pPr>
          </w:p>
        </w:tc>
        <w:tc>
          <w:tcPr>
            <w:tcW w:w="114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6"/>
                <w:szCs w:val="16"/>
                <w:color w:val="257ACB"/>
              </w:rPr>
              <w:t>659.6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469.5</w:t>
            </w:r>
          </w:p>
        </w:tc>
        <w:tc>
          <w:tcPr>
            <w:tcW w:w="100" w:type="dxa"/>
            <w:vAlign w:val="bottom"/>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4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6"/>
                <w:szCs w:val="16"/>
                <w:color w:val="257ACB"/>
              </w:rPr>
              <w:t>1,915.1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1,707.4</w:t>
            </w:r>
          </w:p>
        </w:tc>
        <w:tc>
          <w:tcPr>
            <w:tcW w:w="0" w:type="dxa"/>
            <w:vAlign w:val="bottom"/>
          </w:tcPr>
          <w:p>
            <w:pPr>
              <w:spacing w:after="0"/>
              <w:rPr>
                <w:sz w:val="1"/>
                <w:szCs w:val="1"/>
                <w:color w:val="auto"/>
              </w:rPr>
            </w:pPr>
          </w:p>
        </w:tc>
      </w:tr>
      <w:tr>
        <w:trPr>
          <w:trHeight w:val="207"/>
        </w:trPr>
        <w:tc>
          <w:tcPr>
            <w:tcW w:w="5900" w:type="dxa"/>
            <w:vAlign w:val="bottom"/>
          </w:tcPr>
          <w:p>
            <w:pPr>
              <w:ind w:left="12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DBDBDB"/>
          </w:tcPr>
          <w:p>
            <w:pPr>
              <w:spacing w:after="0"/>
              <w:rPr>
                <w:sz w:val="17"/>
                <w:szCs w:val="17"/>
                <w:color w:val="auto"/>
              </w:rPr>
            </w:pPr>
          </w:p>
        </w:tc>
        <w:tc>
          <w:tcPr>
            <w:tcW w:w="1140" w:type="dxa"/>
            <w:vAlign w:val="bottom"/>
            <w:tcBorders>
              <w:right w:val="single" w:sz="8" w:color="DBDBDB"/>
            </w:tcBorders>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tcBorders>
              <w:right w:val="single" w:sz="8" w:color="DBDBDB"/>
            </w:tcBorders>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736.3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549.2</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1,891.1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1,629.5</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788.2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563.3</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1,941.2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1,770.8</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60.9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164.0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Collaboration profit sharing/(loss reimbursement)</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50.5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164.5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76.0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Gain on sale of building</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(503.7)</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(503.7)</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300.0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248.2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09"/>
        </w:trPr>
        <w:tc>
          <w:tcPr>
            <w:tcW w:w="5900" w:type="dxa"/>
            <w:vAlign w:val="bottom"/>
          </w:tcPr>
          <w:p>
            <w:pPr>
              <w:ind w:left="340"/>
              <w:spacing w:after="0"/>
              <w:rPr>
                <w:sz w:val="20"/>
                <w:szCs w:val="20"/>
                <w:color w:val="auto"/>
              </w:rPr>
            </w:pPr>
            <w:r>
              <w:rPr>
                <w:rFonts w:ascii="Arial" w:cs="Arial" w:eastAsia="Arial" w:hAnsi="Arial"/>
                <w:sz w:val="16"/>
                <w:szCs w:val="16"/>
                <w:color w:val="auto"/>
              </w:rPr>
              <w:t>Total cost and expense</w:t>
            </w: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2,671.5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1,137.4</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6,444.1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4,641.4</w:t>
            </w:r>
          </w:p>
        </w:tc>
        <w:tc>
          <w:tcPr>
            <w:tcW w:w="0" w:type="dxa"/>
            <w:vAlign w:val="bottom"/>
          </w:tcPr>
          <w:p>
            <w:pPr>
              <w:spacing w:after="0"/>
              <w:rPr>
                <w:sz w:val="1"/>
                <w:szCs w:val="1"/>
                <w:color w:val="auto"/>
              </w:rPr>
            </w:pPr>
          </w:p>
        </w:tc>
      </w:tr>
      <w:tr>
        <w:trPr>
          <w:trHeight w:val="151"/>
        </w:trPr>
        <w:tc>
          <w:tcPr>
            <w:tcW w:w="5900" w:type="dxa"/>
            <w:vAlign w:val="bottom"/>
          </w:tcPr>
          <w:p>
            <w:pPr>
              <w:spacing w:after="0" w:line="152" w:lineRule="exact"/>
              <w:rPr>
                <w:sz w:val="20"/>
                <w:szCs w:val="20"/>
                <w:color w:val="auto"/>
              </w:rPr>
            </w:pPr>
            <w:r>
              <w:rPr>
                <w:rFonts w:ascii="Arial" w:cs="Arial" w:eastAsia="Arial" w:hAnsi="Arial"/>
                <w:sz w:val="16"/>
                <w:szCs w:val="16"/>
                <w:color w:val="auto"/>
              </w:rPr>
              <w:t>Income (loss) before income tax (benefit) expense and equity in loss of investee,</w:t>
            </w:r>
          </w:p>
        </w:tc>
        <w:tc>
          <w:tcPr>
            <w:tcW w:w="120" w:type="dxa"/>
            <w:vAlign w:val="bottom"/>
            <w:shd w:val="clear" w:color="auto" w:fill="DBDBDB"/>
          </w:tcPr>
          <w:p>
            <w:pPr>
              <w:spacing w:after="0"/>
              <w:rPr>
                <w:sz w:val="13"/>
                <w:szCs w:val="13"/>
                <w:color w:val="auto"/>
              </w:rPr>
            </w:pPr>
          </w:p>
        </w:tc>
        <w:tc>
          <w:tcPr>
            <w:tcW w:w="114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6"/>
                <w:szCs w:val="16"/>
                <w:color w:val="257ACB"/>
              </w:rPr>
              <w:t>(141.2)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1,371.1</w:t>
            </w:r>
          </w:p>
        </w:tc>
        <w:tc>
          <w:tcPr>
            <w:tcW w:w="100" w:type="dxa"/>
            <w:vAlign w:val="bottom"/>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4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6"/>
                <w:szCs w:val="16"/>
                <w:color w:val="257ACB"/>
              </w:rPr>
              <w:t>1,005.2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2,988.0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6"/>
                <w:szCs w:val="16"/>
                <w:color w:val="auto"/>
              </w:rPr>
              <w:t>net of tax</w:t>
            </w:r>
          </w:p>
        </w:tc>
        <w:tc>
          <w:tcPr>
            <w:tcW w:w="120" w:type="dxa"/>
            <w:vAlign w:val="bottom"/>
            <w:shd w:val="clear" w:color="auto" w:fill="DBDBDB"/>
          </w:tcPr>
          <w:p>
            <w:pPr>
              <w:spacing w:after="0"/>
              <w:rPr>
                <w:sz w:val="17"/>
                <w:szCs w:val="17"/>
                <w:color w:val="auto"/>
              </w:rPr>
            </w:pPr>
          </w:p>
        </w:tc>
        <w:tc>
          <w:tcPr>
            <w:tcW w:w="1140" w:type="dxa"/>
            <w:vAlign w:val="bottom"/>
            <w:tcBorders>
              <w:right w:val="single" w:sz="8" w:color="DBDBDB"/>
            </w:tcBorders>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40" w:type="dxa"/>
            <w:vAlign w:val="bottom"/>
            <w:tcBorders>
              <w:right w:val="single" w:sz="8" w:color="DBDBDB"/>
            </w:tcBorders>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(72.9)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236.2</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92.6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578.5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6"/>
                <w:szCs w:val="16"/>
                <w:color w:val="auto"/>
              </w:rPr>
              <w:t>Equity in (income) loss of investee, net of tax</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shd w:val="clear" w:color="auto" w:fill="DBDBDB"/>
          </w:tcPr>
          <w:p>
            <w:pPr>
              <w:spacing w:after="0"/>
              <w:rPr>
                <w:sz w:val="18"/>
                <w:szCs w:val="18"/>
                <w:color w:val="auto"/>
              </w:rPr>
            </w:pPr>
          </w:p>
        </w:tc>
        <w:tc>
          <w:tcPr>
            <w:tcW w:w="1140" w:type="dxa"/>
            <w:vAlign w:val="bottom"/>
            <w:tcBorders>
              <w:top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(68.3)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1,134.9</w:t>
            </w:r>
          </w:p>
        </w:tc>
        <w:tc>
          <w:tcPr>
            <w:tcW w:w="100" w:type="dxa"/>
            <w:vAlign w:val="bottom"/>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1140" w:type="dxa"/>
            <w:vAlign w:val="bottom"/>
            <w:tcBorders>
              <w:top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912.6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2,412.1</w:t>
            </w:r>
          </w:p>
        </w:tc>
        <w:tc>
          <w:tcPr>
            <w:tcW w:w="0" w:type="dxa"/>
            <w:vAlign w:val="bottom"/>
          </w:tcPr>
          <w:p>
            <w:pPr>
              <w:spacing w:after="0"/>
              <w:rPr>
                <w:sz w:val="1"/>
                <w:szCs w:val="1"/>
                <w:color w:val="auto"/>
              </w:rPr>
            </w:pPr>
          </w:p>
        </w:tc>
      </w:tr>
      <w:tr>
        <w:trPr>
          <w:trHeight w:val="219"/>
        </w:trPr>
        <w:tc>
          <w:tcPr>
            <w:tcW w:w="590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net of tax</w:t>
            </w:r>
          </w:p>
        </w:tc>
        <w:tc>
          <w:tcPr>
            <w:tcW w:w="1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(0.2)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53"/>
        </w:trPr>
        <w:tc>
          <w:tcPr>
            <w:tcW w:w="5900" w:type="dxa"/>
            <w:vAlign w:val="bottom"/>
          </w:tcPr>
          <w:p>
            <w:pPr>
              <w:spacing w:after="0"/>
              <w:rPr>
                <w:sz w:val="20"/>
                <w:szCs w:val="20"/>
                <w:color w:val="auto"/>
              </w:rPr>
            </w:pPr>
            <w:r>
              <w:rPr>
                <w:rFonts w:ascii="Arial" w:cs="Arial" w:eastAsia="Arial" w:hAnsi="Arial"/>
                <w:sz w:val="16"/>
                <w:szCs w:val="16"/>
                <w:color w:val="auto"/>
              </w:rPr>
              <w:t>Net income (loss)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(68.1)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1,134.7</w:t>
            </w:r>
          </w:p>
        </w:tc>
        <w:tc>
          <w:tcPr>
            <w:tcW w:w="100" w:type="dxa"/>
            <w:vAlign w:val="bottom"/>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911.4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2,496.5</w:t>
            </w:r>
          </w:p>
        </w:tc>
        <w:tc>
          <w:tcPr>
            <w:tcW w:w="0" w:type="dxa"/>
            <w:vAlign w:val="bottom"/>
          </w:tcPr>
          <w:p>
            <w:pPr>
              <w:spacing w:after="0"/>
              <w:rPr>
                <w:sz w:val="1"/>
                <w:szCs w:val="1"/>
                <w:color w:val="auto"/>
              </w:rPr>
            </w:pPr>
          </w:p>
        </w:tc>
      </w:tr>
      <w:tr>
        <w:trPr>
          <w:trHeight w:val="446"/>
        </w:trPr>
        <w:tc>
          <w:tcPr>
            <w:tcW w:w="5900" w:type="dxa"/>
            <w:vAlign w:val="bottom"/>
          </w:tcPr>
          <w:p>
            <w:pPr>
              <w:spacing w:after="0"/>
              <w:rPr>
                <w:sz w:val="20"/>
                <w:szCs w:val="20"/>
                <w:color w:val="auto"/>
              </w:rPr>
            </w:pPr>
            <w:r>
              <w:rPr>
                <w:rFonts w:ascii="Arial" w:cs="Arial" w:eastAsia="Arial" w:hAnsi="Arial"/>
                <w:sz w:val="16"/>
                <w:szCs w:val="16"/>
                <w:color w:val="auto"/>
              </w:rPr>
              <w:t>Net income (loss) per share:</w:t>
            </w:r>
          </w:p>
        </w:tc>
        <w:tc>
          <w:tcPr>
            <w:tcW w:w="120" w:type="dxa"/>
            <w:vAlign w:val="bottom"/>
            <w:tcBorders>
              <w:top w:val="single" w:sz="8" w:color="auto"/>
            </w:tcBorders>
            <w:shd w:val="clear" w:color="auto" w:fill="DBDBDB"/>
          </w:tcPr>
          <w:p>
            <w:pPr>
              <w:spacing w:after="0"/>
              <w:rPr>
                <w:sz w:val="24"/>
                <w:szCs w:val="24"/>
                <w:color w:val="auto"/>
              </w:rPr>
            </w:pPr>
          </w:p>
        </w:tc>
        <w:tc>
          <w:tcPr>
            <w:tcW w:w="1140" w:type="dxa"/>
            <w:vAlign w:val="bottom"/>
            <w:tcBorders>
              <w:top w:val="single" w:sz="8" w:color="auto"/>
              <w:right w:val="single" w:sz="8" w:color="DBDBDB"/>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shd w:val="clear" w:color="auto" w:fill="DBDBDB"/>
          </w:tcPr>
          <w:p>
            <w:pPr>
              <w:spacing w:after="0"/>
              <w:rPr>
                <w:sz w:val="24"/>
                <w:szCs w:val="24"/>
                <w:color w:val="auto"/>
              </w:rPr>
            </w:pPr>
          </w:p>
        </w:tc>
        <w:tc>
          <w:tcPr>
            <w:tcW w:w="1140" w:type="dxa"/>
            <w:vAlign w:val="bottom"/>
            <w:tcBorders>
              <w:top w:val="single" w:sz="8" w:color="auto"/>
              <w:right w:val="single" w:sz="8" w:color="DBDBDB"/>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Basic earnings (loss)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(0.47)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6.30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Diluted earnings (loss)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(0.47)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7.84</w:t>
            </w:r>
          </w:p>
        </w:tc>
        <w:tc>
          <w:tcPr>
            <w:tcW w:w="10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6.26</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486"/>
        </w:trPr>
        <w:tc>
          <w:tcPr>
            <w:tcW w:w="590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BDBDB"/>
          </w:tcPr>
          <w:p>
            <w:pPr>
              <w:spacing w:after="0"/>
              <w:rPr>
                <w:sz w:val="24"/>
                <w:szCs w:val="24"/>
                <w:color w:val="auto"/>
              </w:rPr>
            </w:pPr>
          </w:p>
        </w:tc>
        <w:tc>
          <w:tcPr>
            <w:tcW w:w="1140" w:type="dxa"/>
            <w:vAlign w:val="bottom"/>
            <w:tcBorders>
              <w:right w:val="single" w:sz="8" w:color="DBDBDB"/>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40" w:type="dxa"/>
            <w:vAlign w:val="bottom"/>
            <w:tcBorders>
              <w:right w:val="single" w:sz="8" w:color="DBDBDB"/>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6"/>
                <w:szCs w:val="16"/>
                <w:color w:val="auto"/>
              </w:rPr>
              <w:t>Basic earnings (loss) per share attributable to Biogen Inc.</w:t>
            </w: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144.8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144.7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145.8</w:t>
            </w:r>
          </w:p>
        </w:tc>
        <w:tc>
          <w:tcPr>
            <w:tcW w:w="0" w:type="dxa"/>
            <w:vAlign w:val="bottom"/>
          </w:tcPr>
          <w:p>
            <w:pPr>
              <w:spacing w:after="0"/>
              <w:rPr>
                <w:sz w:val="1"/>
                <w:szCs w:val="1"/>
                <w:color w:val="auto"/>
              </w:rPr>
            </w:pPr>
          </w:p>
        </w:tc>
      </w:tr>
      <w:tr>
        <w:trPr>
          <w:trHeight w:val="222"/>
        </w:trPr>
        <w:tc>
          <w:tcPr>
            <w:tcW w:w="5900" w:type="dxa"/>
            <w:vAlign w:val="bottom"/>
          </w:tcPr>
          <w:p>
            <w:pPr>
              <w:ind w:left="120"/>
              <w:spacing w:after="0"/>
              <w:rPr>
                <w:sz w:val="20"/>
                <w:szCs w:val="20"/>
                <w:color w:val="auto"/>
              </w:rPr>
            </w:pPr>
            <w:r>
              <w:rPr>
                <w:rFonts w:ascii="Arial" w:cs="Arial" w:eastAsia="Arial" w:hAnsi="Arial"/>
                <w:sz w:val="16"/>
                <w:szCs w:val="16"/>
                <w:color w:val="auto"/>
              </w:rPr>
              <w:t>Diluted earnings (loss) per share attributable to Biogen Inc.</w:t>
            </w:r>
          </w:p>
        </w:tc>
        <w:tc>
          <w:tcPr>
            <w:tcW w:w="120" w:type="dxa"/>
            <w:vAlign w:val="bottom"/>
            <w:shd w:val="clear" w:color="auto" w:fill="DBDBDB"/>
          </w:tcPr>
          <w:p>
            <w:pPr>
              <w:spacing w:after="0"/>
              <w:rPr>
                <w:sz w:val="19"/>
                <w:szCs w:val="19"/>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257ACB"/>
              </w:rPr>
              <w:t>145.5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CONDENSED 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(unaudited, in millions)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24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For the Nine Months Ended</w:t>
            </w:r>
          </w:p>
        </w:tc>
      </w:tr>
      <w:tr>
        <w:trPr>
          <w:trHeight w:val="216"/>
        </w:trPr>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24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5920" w:type="dxa"/>
            <w:vAlign w:val="bottom"/>
          </w:tcPr>
          <w:p>
            <w:pPr>
              <w:spacing w:after="0"/>
              <w:rPr>
                <w:sz w:val="18"/>
                <w:szCs w:val="18"/>
                <w:color w:val="auto"/>
              </w:rPr>
            </w:pPr>
          </w:p>
        </w:tc>
        <w:tc>
          <w:tcPr>
            <w:tcW w:w="140" w:type="dxa"/>
            <w:vAlign w:val="bottom"/>
            <w:tcBorders>
              <w:top w:val="single" w:sz="8" w:color="auto"/>
              <w:bottom w:val="single" w:sz="8" w:color="auto"/>
            </w:tcBorders>
            <w:shd w:val="clear" w:color="auto" w:fill="DDDDDD"/>
          </w:tcPr>
          <w:p>
            <w:pPr>
              <w:spacing w:after="0"/>
              <w:rPr>
                <w:sz w:val="18"/>
                <w:szCs w:val="18"/>
                <w:color w:val="auto"/>
              </w:rPr>
            </w:pPr>
          </w:p>
        </w:tc>
        <w:tc>
          <w:tcPr>
            <w:tcW w:w="1100" w:type="dxa"/>
            <w:vAlign w:val="bottom"/>
            <w:tcBorders>
              <w:top w:val="single" w:sz="8" w:color="auto"/>
              <w:bottom w:val="single" w:sz="8" w:color="auto"/>
            </w:tcBorders>
            <w:shd w:val="clear" w:color="auto" w:fill="DDDDDD"/>
          </w:tcPr>
          <w:p>
            <w:pPr>
              <w:jc w:val="right"/>
              <w:ind w:right="359"/>
              <w:spacing w:after="0"/>
              <w:rPr>
                <w:sz w:val="20"/>
                <w:szCs w:val="20"/>
                <w:color w:val="auto"/>
              </w:rPr>
            </w:pPr>
            <w:r>
              <w:rPr>
                <w:rFonts w:ascii="Arial" w:cs="Arial" w:eastAsia="Arial" w:hAnsi="Arial"/>
                <w:sz w:val="16"/>
                <w:szCs w:val="16"/>
                <w:b w:val="1"/>
                <w:bCs w:val="1"/>
                <w:color w:val="257ACB"/>
              </w:rPr>
              <w:t>2023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shd w:val="clear" w:color="auto" w:fill="DDDDDD"/>
          </w:tcPr>
          <w:p>
            <w:pPr>
              <w:spacing w:after="0"/>
              <w:rPr>
                <w:sz w:val="18"/>
                <w:szCs w:val="18"/>
                <w:color w:val="auto"/>
              </w:rPr>
            </w:pPr>
          </w:p>
        </w:tc>
        <w:tc>
          <w:tcPr>
            <w:tcW w:w="1060" w:type="dxa"/>
            <w:vAlign w:val="bottom"/>
            <w:tcBorders>
              <w:top w:val="single" w:sz="8" w:color="auto"/>
              <w:bottom w:val="single" w:sz="8" w:color="auto"/>
            </w:tcBorders>
            <w:shd w:val="clear" w:color="auto" w:fill="DDDDDD"/>
          </w:tcPr>
          <w:p>
            <w:pPr>
              <w:jc w:val="right"/>
              <w:ind w:right="359"/>
              <w:spacing w:after="0"/>
              <w:rPr>
                <w:sz w:val="20"/>
                <w:szCs w:val="20"/>
                <w:color w:val="auto"/>
              </w:rPr>
            </w:pPr>
            <w:r>
              <w:rPr>
                <w:rFonts w:ascii="Arial" w:cs="Arial" w:eastAsia="Arial" w:hAnsi="Arial"/>
                <w:sz w:val="16"/>
                <w:szCs w:val="16"/>
                <w:b w:val="1"/>
                <w:bCs w:val="1"/>
                <w:color w:val="257ACB"/>
              </w:rPr>
              <w:t>2023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r>
      <w:tr>
        <w:trPr>
          <w:trHeight w:val="203"/>
        </w:trPr>
        <w:tc>
          <w:tcPr>
            <w:tcW w:w="5920" w:type="dxa"/>
            <w:vAlign w:val="bottom"/>
          </w:tcPr>
          <w:p>
            <w:pPr>
              <w:spacing w:after="0"/>
              <w:rPr>
                <w:sz w:val="20"/>
                <w:szCs w:val="20"/>
                <w:color w:val="auto"/>
              </w:rPr>
            </w:pPr>
            <w:r>
              <w:rPr>
                <w:rFonts w:ascii="Arial" w:cs="Arial" w:eastAsia="Arial" w:hAnsi="Arial"/>
                <w:sz w:val="16"/>
                <w:szCs w:val="16"/>
                <w:color w:val="auto"/>
              </w:rPr>
              <w:t>Net income (loss) attributable to Biogen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(68.1)</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1,134.7</w:t>
            </w:r>
          </w:p>
        </w:tc>
        <w:tc>
          <w:tcPr>
            <w:tcW w:w="120" w:type="dxa"/>
            <w:vAlign w:val="bottom"/>
          </w:tcPr>
          <w:p>
            <w:pPr>
              <w:spacing w:after="0"/>
              <w:rPr>
                <w:sz w:val="17"/>
                <w:szCs w:val="17"/>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911.4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2,496.5</w:t>
            </w:r>
          </w:p>
        </w:tc>
      </w:tr>
      <w:tr>
        <w:trPr>
          <w:trHeight w:val="216"/>
        </w:trPr>
        <w:tc>
          <w:tcPr>
            <w:tcW w:w="59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20" w:type="dxa"/>
            <w:vAlign w:val="bottom"/>
          </w:tcPr>
          <w:p>
            <w:pPr>
              <w:ind w:left="160"/>
              <w:spacing w:after="0"/>
              <w:rPr>
                <w:sz w:val="20"/>
                <w:szCs w:val="20"/>
                <w:color w:val="auto"/>
              </w:rPr>
            </w:pPr>
            <w:r>
              <w:rPr>
                <w:rFonts w:ascii="Arial" w:cs="Arial" w:eastAsia="Arial" w:hAnsi="Arial"/>
                <w:sz w:val="16"/>
                <w:szCs w:val="16"/>
                <w:color w:val="auto"/>
              </w:rPr>
              <w:t>Unrealized gains (losses) on securities available for sale, net of tax</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216"/>
        </w:trPr>
        <w:tc>
          <w:tcPr>
            <w:tcW w:w="5920" w:type="dxa"/>
            <w:vAlign w:val="bottom"/>
          </w:tcPr>
          <w:p>
            <w:pPr>
              <w:ind w:left="160"/>
              <w:spacing w:after="0"/>
              <w:rPr>
                <w:sz w:val="20"/>
                <w:szCs w:val="20"/>
                <w:color w:val="auto"/>
              </w:rPr>
            </w:pPr>
            <w:r>
              <w:rPr>
                <w:rFonts w:ascii="Arial" w:cs="Arial" w:eastAsia="Arial" w:hAnsi="Arial"/>
                <w:sz w:val="16"/>
                <w:szCs w:val="16"/>
                <w:color w:val="auto"/>
              </w:rPr>
              <w:t>Unrealized gains (losses) on cash flow hedges, net of tax</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16"/>
        </w:trPr>
        <w:tc>
          <w:tcPr>
            <w:tcW w:w="5920" w:type="dxa"/>
            <w:vAlign w:val="bottom"/>
          </w:tcPr>
          <w:p>
            <w:pPr>
              <w:ind w:left="160"/>
              <w:spacing w:after="0"/>
              <w:rPr>
                <w:sz w:val="20"/>
                <w:szCs w:val="20"/>
                <w:color w:val="auto"/>
              </w:rPr>
            </w:pPr>
            <w:r>
              <w:rPr>
                <w:rFonts w:ascii="Arial" w:cs="Arial" w:eastAsia="Arial" w:hAnsi="Arial"/>
                <w:sz w:val="16"/>
                <w:szCs w:val="16"/>
                <w:color w:val="auto"/>
              </w:rPr>
              <w:t>Gains (losses) on net investment hedges, net of tax</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6"/>
        </w:trPr>
        <w:tc>
          <w:tcPr>
            <w:tcW w:w="5920" w:type="dxa"/>
            <w:vAlign w:val="bottom"/>
          </w:tcPr>
          <w:p>
            <w:pPr>
              <w:ind w:left="160"/>
              <w:spacing w:after="0"/>
              <w:rPr>
                <w:sz w:val="20"/>
                <w:szCs w:val="20"/>
                <w:color w:val="auto"/>
              </w:rPr>
            </w:pPr>
            <w:r>
              <w:rPr>
                <w:rFonts w:ascii="Arial" w:cs="Arial" w:eastAsia="Arial" w:hAnsi="Arial"/>
                <w:sz w:val="16"/>
                <w:szCs w:val="16"/>
                <w:color w:val="auto"/>
              </w:rPr>
              <w:t>Unrealized gains (losses) on pension benefit obligation, net of tax</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5920" w:type="dxa"/>
            <w:vAlign w:val="bottom"/>
          </w:tcPr>
          <w:p>
            <w:pPr>
              <w:ind w:left="160"/>
              <w:spacing w:after="0"/>
              <w:rPr>
                <w:sz w:val="20"/>
                <w:szCs w:val="20"/>
                <w:color w:val="auto"/>
              </w:rPr>
            </w:pPr>
            <w:r>
              <w:rPr>
                <w:rFonts w:ascii="Arial" w:cs="Arial" w:eastAsia="Arial" w:hAnsi="Arial"/>
                <w:sz w:val="16"/>
                <w:szCs w:val="16"/>
                <w:color w:val="auto"/>
              </w:rPr>
              <w:t>Currency translation adjustment</w:t>
            </w:r>
          </w:p>
        </w:tc>
        <w:tc>
          <w:tcPr>
            <w:tcW w:w="1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(30.5)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r>
      <w:tr>
        <w:trPr>
          <w:trHeight w:val="209"/>
        </w:trPr>
        <w:tc>
          <w:tcPr>
            <w:tcW w:w="592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1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13.5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w:t>
            </w:r>
          </w:p>
        </w:tc>
      </w:tr>
      <w:tr>
        <w:trPr>
          <w:trHeight w:val="209"/>
        </w:trPr>
        <w:tc>
          <w:tcPr>
            <w:tcW w:w="5920" w:type="dxa"/>
            <w:vAlign w:val="bottom"/>
          </w:tcPr>
          <w:p>
            <w:pPr>
              <w:spacing w:after="0"/>
              <w:rPr>
                <w:sz w:val="20"/>
                <w:szCs w:val="20"/>
                <w:color w:val="auto"/>
              </w:rPr>
            </w:pPr>
            <w:r>
              <w:rPr>
                <w:rFonts w:ascii="Arial" w:cs="Arial" w:eastAsia="Arial" w:hAnsi="Arial"/>
                <w:sz w:val="16"/>
                <w:szCs w:val="16"/>
                <w:color w:val="auto"/>
              </w:rPr>
              <w:t>Comprehensive income (loss) attributable to Biogen Inc.</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1,081.5</w:t>
            </w:r>
          </w:p>
        </w:tc>
        <w:tc>
          <w:tcPr>
            <w:tcW w:w="120" w:type="dxa"/>
            <w:vAlign w:val="bottom"/>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917.0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2,439.6</w:t>
            </w:r>
          </w:p>
        </w:tc>
      </w:tr>
      <w:tr>
        <w:trPr>
          <w:trHeight w:val="219"/>
        </w:trPr>
        <w:tc>
          <w:tcPr>
            <w:tcW w:w="5920" w:type="dxa"/>
            <w:vAlign w:val="bottom"/>
          </w:tcPr>
          <w:p>
            <w:pPr>
              <w:spacing w:after="0"/>
              <w:rPr>
                <w:sz w:val="20"/>
                <w:szCs w:val="20"/>
                <w:color w:val="auto"/>
              </w:rPr>
            </w:pPr>
            <w:r>
              <w:rPr>
                <w:rFonts w:ascii="Arial" w:cs="Arial" w:eastAsia="Arial" w:hAnsi="Arial"/>
                <w:sz w:val="16"/>
                <w:szCs w:val="16"/>
                <w:color w:val="auto"/>
              </w:rPr>
              <w:t>Comprehensive income (loss) attributable to noncontrolling interests, net of tax</w:t>
            </w:r>
          </w:p>
        </w:tc>
        <w:tc>
          <w:tcPr>
            <w:tcW w:w="1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(0.2)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r>
      <w:tr>
        <w:trPr>
          <w:trHeight w:val="233"/>
        </w:trPr>
        <w:tc>
          <w:tcPr>
            <w:tcW w:w="592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(54.8)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1,081.7</w:t>
            </w:r>
          </w:p>
        </w:tc>
        <w:tc>
          <w:tcPr>
            <w:tcW w:w="120" w:type="dxa"/>
            <w:vAlign w:val="bottom"/>
          </w:tcPr>
          <w:p>
            <w:pPr>
              <w:spacing w:after="0"/>
              <w:rPr>
                <w:sz w:val="20"/>
                <w:szCs w:val="20"/>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918.2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2,355.2</w:t>
            </w:r>
          </w:p>
        </w:tc>
      </w:tr>
      <w:tr>
        <w:trPr>
          <w:trHeight w:val="20"/>
        </w:trPr>
        <w:tc>
          <w:tcPr>
            <w:tcW w:w="5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1C5A7D"/>
        </w:rPr>
        <w:t>CONDENSED CONSOLIDATED BALANCE SHEETS</w:t>
      </w:r>
    </w:p>
    <w:p>
      <w:pPr>
        <w:spacing w:after="0" w:line="4"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1C5A7D"/>
        </w:rPr>
        <w:t>(unaudited, in millions, except per share amounts)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780" w:type="dxa"/>
            <w:vAlign w:val="bottom"/>
            <w:shd w:val="clear" w:color="auto" w:fill="DBDBDB"/>
          </w:tcPr>
          <w:p>
            <w:pPr>
              <w:jc w:val="right"/>
              <w:ind w:right="99"/>
              <w:spacing w:after="0"/>
              <w:rPr>
                <w:sz w:val="20"/>
                <w:szCs w:val="20"/>
                <w:color w:val="auto"/>
              </w:rPr>
            </w:pPr>
            <w:r>
              <w:rPr>
                <w:rFonts w:ascii="Arial" w:cs="Arial" w:eastAsia="Arial" w:hAnsi="Arial"/>
                <w:sz w:val="16"/>
                <w:szCs w:val="16"/>
                <w:b w:val="1"/>
                <w:bCs w:val="1"/>
                <w:color w:val="026DCE"/>
              </w:rPr>
              <w:t>As of 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16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9"/>
              </w:rPr>
              <w:t>ASSETS</w:t>
            </w: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b w:val="1"/>
                <w:bCs w:val="1"/>
                <w:color w:val="026DCE"/>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412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3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160" w:type="dxa"/>
            <w:vAlign w:val="bottom"/>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2,287.9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3,419.3</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1,473.5</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1,781.4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1,705.0</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428.3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2,982.4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1,344.4</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16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974.1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1,417.6</w:t>
            </w:r>
          </w:p>
        </w:tc>
        <w:tc>
          <w:tcPr>
            <w:tcW w:w="0" w:type="dxa"/>
            <w:vAlign w:val="bottom"/>
          </w:tcPr>
          <w:p>
            <w:pPr>
              <w:spacing w:after="0"/>
              <w:rPr>
                <w:sz w:val="1"/>
                <w:szCs w:val="1"/>
                <w:color w:val="auto"/>
              </w:rPr>
            </w:pPr>
          </w:p>
        </w:tc>
      </w:tr>
      <w:tr>
        <w:trPr>
          <w:trHeight w:val="209"/>
        </w:trPr>
        <w:tc>
          <w:tcPr>
            <w:tcW w:w="41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8,454.1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9,791.2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Marketable securities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3,301.6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3,298.6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Operating lease assets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403.9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Intangible assets, net</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7,344.6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1,850.1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Goodwill</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6,807.5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5,749.0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Deferred tax asset</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1,069.8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1,226.4</w:t>
            </w:r>
          </w:p>
        </w:tc>
        <w:tc>
          <w:tcPr>
            <w:tcW w:w="0" w:type="dxa"/>
            <w:vAlign w:val="bottom"/>
          </w:tcPr>
          <w:p>
            <w:pPr>
              <w:spacing w:after="0"/>
              <w:rPr>
                <w:sz w:val="1"/>
                <w:szCs w:val="1"/>
                <w:color w:val="auto"/>
              </w:rPr>
            </w:pPr>
          </w:p>
        </w:tc>
      </w:tr>
      <w:tr>
        <w:trPr>
          <w:trHeight w:val="219"/>
        </w:trPr>
        <w:tc>
          <w:tcPr>
            <w:tcW w:w="412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3160" w:type="dxa"/>
            <w:vAlign w:val="bottom"/>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754.6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1,529.2</w:t>
            </w:r>
          </w:p>
        </w:tc>
        <w:tc>
          <w:tcPr>
            <w:tcW w:w="0" w:type="dxa"/>
            <w:vAlign w:val="bottom"/>
          </w:tcPr>
          <w:p>
            <w:pPr>
              <w:spacing w:after="0"/>
              <w:rPr>
                <w:sz w:val="1"/>
                <w:szCs w:val="1"/>
                <w:color w:val="auto"/>
              </w:rPr>
            </w:pPr>
          </w:p>
        </w:tc>
      </w:tr>
      <w:tr>
        <w:trPr>
          <w:trHeight w:val="233"/>
        </w:trPr>
        <w:tc>
          <w:tcPr>
            <w:tcW w:w="412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160" w:type="dxa"/>
            <w:vAlign w:val="bottom"/>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28,193.2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316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20" w:type="dxa"/>
            <w:vAlign w:val="bottom"/>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Current portion of term loan</w:t>
            </w:r>
          </w:p>
        </w:tc>
        <w:tc>
          <w:tcPr>
            <w:tcW w:w="3160" w:type="dxa"/>
            <w:vAlign w:val="bottom"/>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500.0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440.1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491.5</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316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3,838.4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2,521.4</w:t>
            </w:r>
          </w:p>
        </w:tc>
        <w:tc>
          <w:tcPr>
            <w:tcW w:w="0" w:type="dxa"/>
            <w:vAlign w:val="bottom"/>
          </w:tcPr>
          <w:p>
            <w:pPr>
              <w:spacing w:after="0"/>
              <w:rPr>
                <w:sz w:val="1"/>
                <w:szCs w:val="1"/>
                <w:color w:val="auto"/>
              </w:rPr>
            </w:pPr>
          </w:p>
        </w:tc>
      </w:tr>
      <w:tr>
        <w:trPr>
          <w:trHeight w:val="209"/>
        </w:trPr>
        <w:tc>
          <w:tcPr>
            <w:tcW w:w="412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5,022.3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3,272.8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Notes payable and term loan</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6,786.4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6,281.0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728.1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16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747.9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944.2</w:t>
            </w:r>
          </w:p>
        </w:tc>
        <w:tc>
          <w:tcPr>
            <w:tcW w:w="0" w:type="dxa"/>
            <w:vAlign w:val="bottom"/>
          </w:tcPr>
          <w:p>
            <w:pPr>
              <w:spacing w:after="0"/>
              <w:rPr>
                <w:sz w:val="1"/>
                <w:szCs w:val="1"/>
                <w:color w:val="auto"/>
              </w:rPr>
            </w:pPr>
          </w:p>
        </w:tc>
      </w:tr>
      <w:tr>
        <w:trPr>
          <w:trHeight w:val="210"/>
        </w:trPr>
        <w:tc>
          <w:tcPr>
            <w:tcW w:w="412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16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13,713.5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11,165.7</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20"/>
                <w:szCs w:val="20"/>
                <w:color w:val="auto"/>
              </w:rPr>
            </w:pPr>
            <w:r>
              <w:rPr>
                <w:rFonts w:ascii="Arial" w:cs="Arial" w:eastAsia="Arial" w:hAnsi="Arial"/>
                <w:sz w:val="16"/>
                <w:szCs w:val="16"/>
                <w:color w:val="auto"/>
              </w:rPr>
              <w:t>Commitments, contingencies and guarantees</w:t>
            </w:r>
          </w:p>
        </w:tc>
        <w:tc>
          <w:tcPr>
            <w:tcW w:w="316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Equity:</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17,377.9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16,466.5</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6"/>
                <w:szCs w:val="16"/>
                <w:color w:val="auto"/>
              </w:rPr>
              <w:t>Treasury stock, at cost</w:t>
            </w:r>
          </w:p>
        </w:tc>
        <w:tc>
          <w:tcPr>
            <w:tcW w:w="316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(2,977.1)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10"/>
        </w:trPr>
        <w:tc>
          <w:tcPr>
            <w:tcW w:w="4120" w:type="dxa"/>
            <w:vAlign w:val="bottom"/>
          </w:tcPr>
          <w:p>
            <w:pPr>
              <w:ind w:left="340"/>
              <w:spacing w:after="0"/>
              <w:rPr>
                <w:sz w:val="20"/>
                <w:szCs w:val="20"/>
                <w:color w:val="auto"/>
              </w:rPr>
            </w:pPr>
            <w:r>
              <w:rPr>
                <w:rFonts w:ascii="Arial" w:cs="Arial" w:eastAsia="Arial" w:hAnsi="Arial"/>
                <w:sz w:val="16"/>
                <w:szCs w:val="16"/>
                <w:color w:val="auto"/>
              </w:rPr>
              <w:t>Total Biogen Inc. shareholders’ equity</w:t>
            </w:r>
          </w:p>
        </w:tc>
        <w:tc>
          <w:tcPr>
            <w:tcW w:w="316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14,483.8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13,397.9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316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(4.1)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412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316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14,479.7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13,388.4</w:t>
            </w:r>
          </w:p>
        </w:tc>
        <w:tc>
          <w:tcPr>
            <w:tcW w:w="0" w:type="dxa"/>
            <w:vAlign w:val="bottom"/>
          </w:tcPr>
          <w:p>
            <w:pPr>
              <w:spacing w:after="0"/>
              <w:rPr>
                <w:sz w:val="1"/>
                <w:szCs w:val="1"/>
                <w:color w:val="auto"/>
              </w:rPr>
            </w:pPr>
          </w:p>
        </w:tc>
      </w:tr>
      <w:tr>
        <w:trPr>
          <w:trHeight w:val="233"/>
        </w:trPr>
        <w:tc>
          <w:tcPr>
            <w:tcW w:w="412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3160" w:type="dxa"/>
            <w:vAlign w:val="bottom"/>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28,193.2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22"/>
          <w:szCs w:val="22"/>
          <w:b w:val="1"/>
          <w:bCs w:val="1"/>
          <w:color w:val="1C5A7D"/>
        </w:rPr>
        <w:t>BIOGEN INC. AND SUBSIDIARIES CONDENSED CONSOLIDATED STATEMENTS OF CASH FLOW (unaudited, in millions)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3660" w:type="dxa"/>
            <w:vAlign w:val="bottom"/>
            <w:tcBorders>
              <w:bottom w:val="single" w:sz="8" w:color="auto"/>
            </w:tcBorders>
            <w:gridSpan w:val="5"/>
          </w:tcPr>
          <w:p>
            <w:pPr>
              <w:jc w:val="right"/>
              <w:ind w:right="203"/>
              <w:spacing w:after="0"/>
              <w:rPr>
                <w:sz w:val="20"/>
                <w:szCs w:val="20"/>
                <w:color w:val="auto"/>
              </w:rPr>
            </w:pPr>
            <w:r>
              <w:rPr>
                <w:rFonts w:ascii="Arial" w:cs="Arial" w:eastAsia="Arial" w:hAnsi="Arial"/>
                <w:sz w:val="15"/>
                <w:szCs w:val="15"/>
                <w:b w:val="1"/>
                <w:bCs w:val="1"/>
                <w:color w:val="auto"/>
              </w:rPr>
              <w:t>For the Nine Months Ended September 30,</w:t>
            </w:r>
          </w:p>
        </w:tc>
        <w:tc>
          <w:tcPr>
            <w:tcW w:w="0" w:type="dxa"/>
            <w:vAlign w:val="bottom"/>
          </w:tcPr>
          <w:p>
            <w:pPr>
              <w:spacing w:after="0"/>
              <w:rPr>
                <w:sz w:val="1"/>
                <w:szCs w:val="1"/>
                <w:color w:val="auto"/>
              </w:rPr>
            </w:pPr>
          </w:p>
        </w:tc>
      </w:tr>
      <w:tr>
        <w:trPr>
          <w:trHeight w:val="196"/>
        </w:trPr>
        <w:tc>
          <w:tcPr>
            <w:tcW w:w="7560" w:type="dxa"/>
            <w:vAlign w:val="bottom"/>
            <w:vMerge w:val="restart"/>
          </w:tcPr>
          <w:p>
            <w:pPr>
              <w:spacing w:after="0"/>
              <w:rPr>
                <w:sz w:val="20"/>
                <w:szCs w:val="20"/>
                <w:color w:val="auto"/>
              </w:rPr>
            </w:pPr>
            <w:r>
              <w:rPr>
                <w:rFonts w:ascii="Arial" w:cs="Arial" w:eastAsia="Arial" w:hAnsi="Arial"/>
                <w:sz w:val="15"/>
                <w:szCs w:val="15"/>
                <w:b w:val="1"/>
                <w:bCs w:val="1"/>
                <w:color w:val="auto"/>
              </w:rPr>
              <w:t>Cash flow from operating activities:</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b w:val="1"/>
                <w:bCs w:val="1"/>
                <w:color w:val="257ACB"/>
              </w:rPr>
              <w:t>2023</w:t>
            </w:r>
          </w:p>
        </w:tc>
        <w:tc>
          <w:tcPr>
            <w:tcW w:w="68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81"/>
        </w:trPr>
        <w:tc>
          <w:tcPr>
            <w:tcW w:w="7560" w:type="dxa"/>
            <w:vAlign w:val="bottom"/>
            <w:vMerge w:val="continue"/>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20"/>
              <w:spacing w:after="0"/>
              <w:rPr>
                <w:sz w:val="20"/>
                <w:szCs w:val="20"/>
                <w:color w:val="auto"/>
              </w:rPr>
            </w:pPr>
            <w:r>
              <w:rPr>
                <w:rFonts w:ascii="Arial" w:cs="Arial" w:eastAsia="Arial" w:hAnsi="Arial"/>
                <w:sz w:val="15"/>
                <w:szCs w:val="15"/>
                <w:color w:val="auto"/>
              </w:rPr>
              <w:t>Net income</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257ACB"/>
                <w:w w:val="95"/>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912.6</w:t>
            </w:r>
          </w:p>
        </w:tc>
        <w:tc>
          <w:tcPr>
            <w:tcW w:w="500" w:type="dxa"/>
            <w:vAlign w:val="bottom"/>
            <w:gridSpan w:val="2"/>
          </w:tcPr>
          <w:p>
            <w:pPr>
              <w:jc w:val="right"/>
              <w:ind w:right="223"/>
              <w:spacing w:after="0"/>
              <w:rPr>
                <w:sz w:val="20"/>
                <w:szCs w:val="20"/>
                <w:color w:val="auto"/>
              </w:rPr>
            </w:pPr>
            <w:r>
              <w:rPr>
                <w:rFonts w:ascii="Arial" w:cs="Arial" w:eastAsia="Arial" w:hAnsi="Arial"/>
                <w:sz w:val="15"/>
                <w:szCs w:val="15"/>
                <w:color w:val="auto"/>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2,412.1</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Adjustments to reconcile net income to net cash flow from operating activities: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354.7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398.6</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Excess and obsolescence charges related to inventory</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62.1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321.6</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Share-based compensation</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209.3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202"/>
        </w:trPr>
        <w:tc>
          <w:tcPr>
            <w:tcW w:w="7560" w:type="dxa"/>
            <w:vAlign w:val="bottom"/>
          </w:tcPr>
          <w:p>
            <w:pPr>
              <w:ind w:left="220"/>
              <w:spacing w:after="0"/>
              <w:rPr>
                <w:sz w:val="20"/>
                <w:szCs w:val="20"/>
                <w:color w:val="auto"/>
              </w:rPr>
            </w:pPr>
            <w:r>
              <w:rPr>
                <w:rFonts w:ascii="Arial" w:cs="Arial" w:eastAsia="Arial" w:hAnsi="Arial"/>
                <w:sz w:val="15"/>
                <w:szCs w:val="15"/>
                <w:color w:val="auto"/>
              </w:rPr>
              <w:t>Contingent consideration</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Deferred income taxes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(377.7)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(139.8)</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(Gain) loss on strategic investments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275.7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160.3</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(Gain) loss on equity method investments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Gain on sale of equity interest in Samsung Bioepis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(1,505.4)</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Gain on sale of building</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(503.7)</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Other</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98.6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147.8</w:t>
            </w:r>
          </w:p>
        </w:tc>
        <w:tc>
          <w:tcPr>
            <w:tcW w:w="0" w:type="dxa"/>
            <w:vAlign w:val="bottom"/>
          </w:tcPr>
          <w:p>
            <w:pPr>
              <w:spacing w:after="0"/>
              <w:rPr>
                <w:sz w:val="1"/>
                <w:szCs w:val="1"/>
                <w:color w:val="auto"/>
              </w:rPr>
            </w:pPr>
          </w:p>
        </w:tc>
      </w:tr>
      <w:tr>
        <w:trPr>
          <w:trHeight w:val="203"/>
        </w:trPr>
        <w:tc>
          <w:tcPr>
            <w:tcW w:w="75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 net of effects of business acquired:</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Accounts receivable</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(76.5)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(109.5)</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Due from anti-CD20 therapeutic programs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Inventory</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(34.9)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(338.3)</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Accrued expense and other current liabilities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293.9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632.3</w:t>
            </w:r>
          </w:p>
        </w:tc>
        <w:tc>
          <w:tcPr>
            <w:tcW w:w="0" w:type="dxa"/>
            <w:vAlign w:val="bottom"/>
          </w:tcPr>
          <w:p>
            <w:pPr>
              <w:spacing w:after="0"/>
              <w:rPr>
                <w:sz w:val="1"/>
                <w:szCs w:val="1"/>
                <w:color w:val="auto"/>
              </w:rPr>
            </w:pPr>
          </w:p>
        </w:tc>
      </w:tr>
      <w:tr>
        <w:trPr>
          <w:trHeight w:val="203"/>
        </w:trPr>
        <w:tc>
          <w:tcPr>
            <w:tcW w:w="7560" w:type="dxa"/>
            <w:vAlign w:val="bottom"/>
          </w:tcPr>
          <w:p>
            <w:pPr>
              <w:ind w:left="320"/>
              <w:spacing w:after="0"/>
              <w:rPr>
                <w:sz w:val="20"/>
                <w:szCs w:val="20"/>
                <w:color w:val="auto"/>
              </w:rPr>
            </w:pPr>
            <w:r>
              <w:rPr>
                <w:rFonts w:ascii="Arial" w:cs="Arial" w:eastAsia="Arial" w:hAnsi="Arial"/>
                <w:sz w:val="15"/>
                <w:szCs w:val="15"/>
                <w:color w:val="auto"/>
              </w:rPr>
              <w:t>Income tax assets and liabilities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(114.8)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(100.2)</w:t>
            </w:r>
          </w:p>
        </w:tc>
        <w:tc>
          <w:tcPr>
            <w:tcW w:w="0" w:type="dxa"/>
            <w:vAlign w:val="bottom"/>
          </w:tcPr>
          <w:p>
            <w:pPr>
              <w:spacing w:after="0"/>
              <w:rPr>
                <w:sz w:val="1"/>
                <w:szCs w:val="1"/>
                <w:color w:val="auto"/>
              </w:rPr>
            </w:pPr>
          </w:p>
        </w:tc>
      </w:tr>
      <w:tr>
        <w:trPr>
          <w:trHeight w:val="204"/>
        </w:trPr>
        <w:tc>
          <w:tcPr>
            <w:tcW w:w="7560" w:type="dxa"/>
            <w:vAlign w:val="bottom"/>
          </w:tcPr>
          <w:p>
            <w:pPr>
              <w:ind w:left="320"/>
              <w:spacing w:after="0"/>
              <w:rPr>
                <w:sz w:val="20"/>
                <w:szCs w:val="20"/>
                <w:color w:val="auto"/>
              </w:rPr>
            </w:pPr>
            <w:r>
              <w:rPr>
                <w:rFonts w:ascii="Arial" w:cs="Arial" w:eastAsia="Arial" w:hAnsi="Arial"/>
                <w:sz w:val="15"/>
                <w:szCs w:val="15"/>
                <w:color w:val="auto"/>
              </w:rPr>
              <w:t>Other changes in operating assets and liabilities, net</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(71.4)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96"/>
        </w:trPr>
        <w:tc>
          <w:tcPr>
            <w:tcW w:w="7560" w:type="dxa"/>
            <w:vAlign w:val="bottom"/>
          </w:tcPr>
          <w:p>
            <w:pPr>
              <w:ind w:left="440"/>
              <w:spacing w:after="0"/>
              <w:rPr>
                <w:sz w:val="20"/>
                <w:szCs w:val="20"/>
                <w:color w:val="auto"/>
              </w:rPr>
            </w:pPr>
            <w:r>
              <w:rPr>
                <w:rFonts w:ascii="Arial" w:cs="Arial" w:eastAsia="Arial" w:hAnsi="Arial"/>
                <w:sz w:val="15"/>
                <w:szCs w:val="15"/>
                <w:color w:val="auto"/>
              </w:rPr>
              <w:t>Net cash flow provided by (used in) operating activities</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1,534.7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1,559.3</w:t>
            </w:r>
          </w:p>
        </w:tc>
        <w:tc>
          <w:tcPr>
            <w:tcW w:w="0" w:type="dxa"/>
            <w:vAlign w:val="bottom"/>
          </w:tcPr>
          <w:p>
            <w:pPr>
              <w:spacing w:after="0"/>
              <w:rPr>
                <w:sz w:val="1"/>
                <w:szCs w:val="1"/>
                <w:color w:val="auto"/>
              </w:rPr>
            </w:pPr>
          </w:p>
        </w:tc>
      </w:tr>
      <w:tr>
        <w:trPr>
          <w:trHeight w:val="189"/>
        </w:trPr>
        <w:tc>
          <w:tcPr>
            <w:tcW w:w="7560" w:type="dxa"/>
            <w:vAlign w:val="bottom"/>
          </w:tcPr>
          <w:p>
            <w:pPr>
              <w:spacing w:after="0"/>
              <w:rPr>
                <w:sz w:val="20"/>
                <w:szCs w:val="20"/>
                <w:color w:val="auto"/>
              </w:rPr>
            </w:pPr>
            <w:r>
              <w:rPr>
                <w:rFonts w:ascii="Arial" w:cs="Arial" w:eastAsia="Arial" w:hAnsi="Arial"/>
                <w:sz w:val="15"/>
                <w:szCs w:val="15"/>
                <w:b w:val="1"/>
                <w:bCs w:val="1"/>
                <w:color w:val="auto"/>
              </w:rPr>
              <w:t>Cash flow from investing activities:</w:t>
            </w:r>
          </w:p>
        </w:tc>
        <w:tc>
          <w:tcPr>
            <w:tcW w:w="11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20"/>
              <w:spacing w:after="0"/>
              <w:rPr>
                <w:sz w:val="20"/>
                <w:szCs w:val="20"/>
                <w:color w:val="auto"/>
              </w:rPr>
            </w:pPr>
            <w:r>
              <w:rPr>
                <w:rFonts w:ascii="Arial" w:cs="Arial" w:eastAsia="Arial" w:hAnsi="Arial"/>
                <w:sz w:val="15"/>
                <w:szCs w:val="15"/>
                <w:color w:val="auto"/>
              </w:rPr>
              <w:t>Purchases of property, plant and equipment</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(211.8)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(153.9)</w:t>
            </w:r>
          </w:p>
        </w:tc>
        <w:tc>
          <w:tcPr>
            <w:tcW w:w="0" w:type="dxa"/>
            <w:vAlign w:val="bottom"/>
          </w:tcPr>
          <w:p>
            <w:pPr>
              <w:spacing w:after="0"/>
              <w:rPr>
                <w:sz w:val="1"/>
                <w:szCs w:val="1"/>
                <w:color w:val="auto"/>
              </w:rPr>
            </w:pPr>
          </w:p>
        </w:tc>
      </w:tr>
      <w:tr>
        <w:trPr>
          <w:trHeight w:val="201"/>
        </w:trPr>
        <w:tc>
          <w:tcPr>
            <w:tcW w:w="7560" w:type="dxa"/>
            <w:vAlign w:val="bottom"/>
          </w:tcPr>
          <w:p>
            <w:pPr>
              <w:ind w:left="120"/>
              <w:spacing w:after="0"/>
              <w:rPr>
                <w:sz w:val="20"/>
                <w:szCs w:val="20"/>
                <w:color w:val="auto"/>
              </w:rPr>
            </w:pPr>
            <w:r>
              <w:rPr>
                <w:rFonts w:ascii="Arial" w:cs="Arial" w:eastAsia="Arial" w:hAnsi="Arial"/>
                <w:sz w:val="15"/>
                <w:szCs w:val="15"/>
                <w:color w:val="auto"/>
              </w:rPr>
              <w:t>Proceeds from sales and maturities of marketable securities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7,380.8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3,104.7</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Purchases of marketable securities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(5,140.7)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(2,805.9)</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Acquisition of Reata, net of cash acquired</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(6,335.6)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0E32E1"/>
              </w:rPr>
              <w:t>—</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Proceeds from sale of equity interest in Samsung Bioepis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788.1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990.3</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Proceeds from sale of building</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582.6</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Acquisitions of intangible assets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(34.4)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Proceeds from sales of strategic investments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106.2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7560" w:type="dxa"/>
            <w:vAlign w:val="bottom"/>
          </w:tcPr>
          <w:p>
            <w:pPr>
              <w:ind w:left="120"/>
              <w:spacing w:after="0"/>
              <w:rPr>
                <w:sz w:val="20"/>
                <w:szCs w:val="20"/>
                <w:color w:val="auto"/>
              </w:rPr>
            </w:pPr>
            <w:r>
              <w:rPr>
                <w:rFonts w:ascii="Arial" w:cs="Arial" w:eastAsia="Arial" w:hAnsi="Arial"/>
                <w:sz w:val="15"/>
                <w:szCs w:val="15"/>
                <w:color w:val="auto"/>
              </w:rPr>
              <w:t>Other</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96"/>
        </w:trPr>
        <w:tc>
          <w:tcPr>
            <w:tcW w:w="7560" w:type="dxa"/>
            <w:vAlign w:val="bottom"/>
          </w:tcPr>
          <w:p>
            <w:pPr>
              <w:ind w:left="340"/>
              <w:spacing w:after="0"/>
              <w:rPr>
                <w:sz w:val="20"/>
                <w:szCs w:val="20"/>
                <w:color w:val="auto"/>
              </w:rPr>
            </w:pPr>
            <w:r>
              <w:rPr>
                <w:rFonts w:ascii="Arial" w:cs="Arial" w:eastAsia="Arial" w:hAnsi="Arial"/>
                <w:sz w:val="15"/>
                <w:szCs w:val="15"/>
                <w:color w:val="auto"/>
              </w:rPr>
              <w:t>Net cash flow provided by (used in) investing activities</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(3,448.7)</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1,717.7</w:t>
            </w:r>
          </w:p>
        </w:tc>
        <w:tc>
          <w:tcPr>
            <w:tcW w:w="0" w:type="dxa"/>
            <w:vAlign w:val="bottom"/>
          </w:tcPr>
          <w:p>
            <w:pPr>
              <w:spacing w:after="0"/>
              <w:rPr>
                <w:sz w:val="1"/>
                <w:szCs w:val="1"/>
                <w:color w:val="auto"/>
              </w:rPr>
            </w:pPr>
          </w:p>
        </w:tc>
      </w:tr>
      <w:tr>
        <w:trPr>
          <w:trHeight w:val="189"/>
        </w:trPr>
        <w:tc>
          <w:tcPr>
            <w:tcW w:w="7560" w:type="dxa"/>
            <w:vAlign w:val="bottom"/>
          </w:tcPr>
          <w:p>
            <w:pPr>
              <w:spacing w:after="0"/>
              <w:rPr>
                <w:sz w:val="20"/>
                <w:szCs w:val="20"/>
                <w:color w:val="auto"/>
              </w:rPr>
            </w:pPr>
            <w:r>
              <w:rPr>
                <w:rFonts w:ascii="Arial" w:cs="Arial" w:eastAsia="Arial" w:hAnsi="Arial"/>
                <w:sz w:val="15"/>
                <w:szCs w:val="15"/>
                <w:b w:val="1"/>
                <w:bCs w:val="1"/>
                <w:color w:val="auto"/>
              </w:rPr>
              <w:t>Cash flow from financing activities:</w:t>
            </w:r>
          </w:p>
        </w:tc>
        <w:tc>
          <w:tcPr>
            <w:tcW w:w="11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20"/>
              <w:spacing w:after="0"/>
              <w:rPr>
                <w:sz w:val="20"/>
                <w:szCs w:val="20"/>
                <w:color w:val="auto"/>
              </w:rPr>
            </w:pPr>
            <w:r>
              <w:rPr>
                <w:rFonts w:ascii="Arial" w:cs="Arial" w:eastAsia="Arial" w:hAnsi="Arial"/>
                <w:sz w:val="15"/>
                <w:szCs w:val="15"/>
                <w:color w:val="auto"/>
              </w:rPr>
              <w:t>Purchases of treasury stock</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(750.0)</w:t>
            </w:r>
          </w:p>
        </w:tc>
        <w:tc>
          <w:tcPr>
            <w:tcW w:w="0" w:type="dxa"/>
            <w:vAlign w:val="bottom"/>
          </w:tcPr>
          <w:p>
            <w:pPr>
              <w:spacing w:after="0"/>
              <w:rPr>
                <w:sz w:val="1"/>
                <w:szCs w:val="1"/>
                <w:color w:val="auto"/>
              </w:rPr>
            </w:pPr>
          </w:p>
        </w:tc>
      </w:tr>
      <w:tr>
        <w:trPr>
          <w:trHeight w:val="201"/>
        </w:trPr>
        <w:tc>
          <w:tcPr>
            <w:tcW w:w="7560" w:type="dxa"/>
            <w:vAlign w:val="bottom"/>
          </w:tcPr>
          <w:p>
            <w:pPr>
              <w:ind w:left="120"/>
              <w:spacing w:after="0"/>
              <w:rPr>
                <w:sz w:val="20"/>
                <w:szCs w:val="20"/>
                <w:color w:val="auto"/>
              </w:rPr>
            </w:pPr>
            <w:r>
              <w:rPr>
                <w:rFonts w:ascii="Arial" w:cs="Arial" w:eastAsia="Arial" w:hAnsi="Arial"/>
                <w:sz w:val="15"/>
                <w:szCs w:val="15"/>
                <w:color w:val="auto"/>
              </w:rPr>
              <w:t>Payments related to issuance of stock for share-based compensation arrangements, net</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(48.0)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Repayment of borrowings and premiums paid</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(159.9)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(1,002.2)</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Proceeds from borrowings, net</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997.2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0E32E1"/>
              </w:rPr>
              <w:t>—</w:t>
            </w:r>
          </w:p>
        </w:tc>
        <w:tc>
          <w:tcPr>
            <w:tcW w:w="0" w:type="dxa"/>
            <w:vAlign w:val="bottom"/>
          </w:tcPr>
          <w:p>
            <w:pPr>
              <w:spacing w:after="0"/>
              <w:rPr>
                <w:sz w:val="1"/>
                <w:szCs w:val="1"/>
                <w:color w:val="auto"/>
              </w:rPr>
            </w:pPr>
          </w:p>
        </w:tc>
      </w:tr>
      <w:tr>
        <w:trPr>
          <w:trHeight w:val="203"/>
        </w:trPr>
        <w:tc>
          <w:tcPr>
            <w:tcW w:w="7560" w:type="dxa"/>
            <w:vAlign w:val="bottom"/>
          </w:tcPr>
          <w:p>
            <w:pPr>
              <w:ind w:left="120"/>
              <w:spacing w:after="0"/>
              <w:rPr>
                <w:sz w:val="20"/>
                <w:szCs w:val="20"/>
                <w:color w:val="auto"/>
              </w:rPr>
            </w:pPr>
            <w:r>
              <w:rPr>
                <w:rFonts w:ascii="Arial" w:cs="Arial" w:eastAsia="Arial" w:hAnsi="Arial"/>
                <w:sz w:val="15"/>
                <w:szCs w:val="15"/>
                <w:color w:val="auto"/>
              </w:rPr>
              <w:t>Net (distribution) contribution to noncontrolling interest</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12.2</w:t>
            </w:r>
          </w:p>
        </w:tc>
        <w:tc>
          <w:tcPr>
            <w:tcW w:w="0" w:type="dxa"/>
            <w:vAlign w:val="bottom"/>
          </w:tcPr>
          <w:p>
            <w:pPr>
              <w:spacing w:after="0"/>
              <w:rPr>
                <w:sz w:val="1"/>
                <w:szCs w:val="1"/>
                <w:color w:val="auto"/>
              </w:rPr>
            </w:pPr>
          </w:p>
        </w:tc>
      </w:tr>
      <w:tr>
        <w:trPr>
          <w:trHeight w:val="204"/>
        </w:trPr>
        <w:tc>
          <w:tcPr>
            <w:tcW w:w="7560" w:type="dxa"/>
            <w:vAlign w:val="bottom"/>
          </w:tcPr>
          <w:p>
            <w:pPr>
              <w:ind w:left="120"/>
              <w:spacing w:after="0"/>
              <w:rPr>
                <w:sz w:val="20"/>
                <w:szCs w:val="20"/>
                <w:color w:val="auto"/>
              </w:rPr>
            </w:pPr>
            <w:r>
              <w:rPr>
                <w:rFonts w:ascii="Arial" w:cs="Arial" w:eastAsia="Arial" w:hAnsi="Arial"/>
                <w:sz w:val="15"/>
                <w:szCs w:val="15"/>
                <w:color w:val="auto"/>
              </w:rPr>
              <w:t>Other</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1.9</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96"/>
        </w:trPr>
        <w:tc>
          <w:tcPr>
            <w:tcW w:w="7560" w:type="dxa"/>
            <w:vAlign w:val="bottom"/>
          </w:tcPr>
          <w:p>
            <w:pPr>
              <w:ind w:left="340"/>
              <w:spacing w:after="0"/>
              <w:rPr>
                <w:sz w:val="20"/>
                <w:szCs w:val="20"/>
                <w:color w:val="auto"/>
              </w:rPr>
            </w:pPr>
            <w:r>
              <w:rPr>
                <w:rFonts w:ascii="Arial" w:cs="Arial" w:eastAsia="Arial" w:hAnsi="Arial"/>
                <w:sz w:val="15"/>
                <w:szCs w:val="15"/>
                <w:color w:val="auto"/>
              </w:rPr>
              <w:t>Net cash flow provided by (used in) financing activities</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795.4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(1,739.9)</w:t>
            </w:r>
          </w:p>
        </w:tc>
        <w:tc>
          <w:tcPr>
            <w:tcW w:w="0" w:type="dxa"/>
            <w:vAlign w:val="bottom"/>
          </w:tcPr>
          <w:p>
            <w:pPr>
              <w:spacing w:after="0"/>
              <w:rPr>
                <w:sz w:val="1"/>
                <w:szCs w:val="1"/>
                <w:color w:val="auto"/>
              </w:rPr>
            </w:pPr>
          </w:p>
        </w:tc>
      </w:tr>
      <w:tr>
        <w:trPr>
          <w:trHeight w:val="196"/>
        </w:trPr>
        <w:tc>
          <w:tcPr>
            <w:tcW w:w="7560" w:type="dxa"/>
            <w:vAlign w:val="bottom"/>
          </w:tcPr>
          <w:p>
            <w:pPr>
              <w:spacing w:after="0"/>
              <w:rPr>
                <w:sz w:val="20"/>
                <w:szCs w:val="20"/>
                <w:color w:val="auto"/>
              </w:rPr>
            </w:pPr>
            <w:r>
              <w:rPr>
                <w:rFonts w:ascii="Arial" w:cs="Arial" w:eastAsia="Arial" w:hAnsi="Arial"/>
                <w:sz w:val="15"/>
                <w:szCs w:val="15"/>
                <w:color w:val="auto"/>
              </w:rPr>
              <w:t>Net increase (decrease) in cash and cash equivalents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(1,118.6)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1,537.1</w:t>
            </w:r>
          </w:p>
        </w:tc>
        <w:tc>
          <w:tcPr>
            <w:tcW w:w="0" w:type="dxa"/>
            <w:vAlign w:val="bottom"/>
          </w:tcPr>
          <w:p>
            <w:pPr>
              <w:spacing w:after="0"/>
              <w:rPr>
                <w:sz w:val="1"/>
                <w:szCs w:val="1"/>
                <w:color w:val="auto"/>
              </w:rPr>
            </w:pPr>
          </w:p>
        </w:tc>
      </w:tr>
      <w:tr>
        <w:trPr>
          <w:trHeight w:val="201"/>
        </w:trPr>
        <w:tc>
          <w:tcPr>
            <w:tcW w:w="7560" w:type="dxa"/>
            <w:vAlign w:val="bottom"/>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5"/>
                <w:szCs w:val="15"/>
                <w:color w:val="257ACB"/>
              </w:rPr>
              <w:t>(12.8)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(122.9)</w:t>
            </w:r>
          </w:p>
        </w:tc>
        <w:tc>
          <w:tcPr>
            <w:tcW w:w="0" w:type="dxa"/>
            <w:vAlign w:val="bottom"/>
          </w:tcPr>
          <w:p>
            <w:pPr>
              <w:spacing w:after="0"/>
              <w:rPr>
                <w:sz w:val="1"/>
                <w:szCs w:val="1"/>
                <w:color w:val="auto"/>
              </w:rPr>
            </w:pPr>
          </w:p>
        </w:tc>
      </w:tr>
      <w:tr>
        <w:trPr>
          <w:trHeight w:val="207"/>
        </w:trPr>
        <w:tc>
          <w:tcPr>
            <w:tcW w:w="7560" w:type="dxa"/>
            <w:vAlign w:val="bottom"/>
          </w:tcPr>
          <w:p>
            <w:pPr>
              <w:spacing w:after="0"/>
              <w:rPr>
                <w:sz w:val="20"/>
                <w:szCs w:val="20"/>
                <w:color w:val="auto"/>
              </w:rPr>
            </w:pPr>
            <w:r>
              <w:rPr>
                <w:rFonts w:ascii="Arial" w:cs="Arial" w:eastAsia="Arial" w:hAnsi="Arial"/>
                <w:sz w:val="15"/>
                <w:szCs w:val="15"/>
                <w:color w:val="auto"/>
              </w:rPr>
              <w:t>Cash and cash equivalents, beginning of the period</w:t>
            </w:r>
          </w:p>
        </w:tc>
        <w:tc>
          <w:tcPr>
            <w:tcW w:w="1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3,419.3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2,261.4</w:t>
            </w:r>
          </w:p>
        </w:tc>
        <w:tc>
          <w:tcPr>
            <w:tcW w:w="0" w:type="dxa"/>
            <w:vAlign w:val="bottom"/>
          </w:tcPr>
          <w:p>
            <w:pPr>
              <w:spacing w:after="0"/>
              <w:rPr>
                <w:sz w:val="1"/>
                <w:szCs w:val="1"/>
                <w:color w:val="auto"/>
              </w:rPr>
            </w:pPr>
          </w:p>
        </w:tc>
      </w:tr>
      <w:tr>
        <w:trPr>
          <w:trHeight w:val="220"/>
        </w:trPr>
        <w:tc>
          <w:tcPr>
            <w:tcW w:w="7560" w:type="dxa"/>
            <w:vAlign w:val="bottom"/>
          </w:tcPr>
          <w:p>
            <w:pPr>
              <w:spacing w:after="0"/>
              <w:rPr>
                <w:sz w:val="20"/>
                <w:szCs w:val="20"/>
                <w:color w:val="auto"/>
              </w:rPr>
            </w:pPr>
            <w:r>
              <w:rPr>
                <w:rFonts w:ascii="Arial" w:cs="Arial" w:eastAsia="Arial" w:hAnsi="Arial"/>
                <w:sz w:val="15"/>
                <w:szCs w:val="15"/>
                <w:color w:val="auto"/>
              </w:rPr>
              <w:t>Cash and cash equivalents, end of the period</w:t>
            </w:r>
          </w:p>
        </w:tc>
        <w:tc>
          <w:tcPr>
            <w:tcW w:w="1100" w:type="dxa"/>
            <w:vAlign w:val="bottom"/>
            <w:tcBorders>
              <w:bottom w:val="single" w:sz="8" w:color="auto"/>
            </w:tcBorders>
            <w:shd w:val="clear" w:color="auto" w:fill="DBDBDB"/>
          </w:tcPr>
          <w:p>
            <w:pPr>
              <w:jc w:val="right"/>
              <w:ind w:right="923"/>
              <w:spacing w:after="0"/>
              <w:rPr>
                <w:sz w:val="20"/>
                <w:szCs w:val="20"/>
                <w:color w:val="auto"/>
              </w:rPr>
            </w:pPr>
            <w:r>
              <w:rPr>
                <w:rFonts w:ascii="Arial" w:cs="Arial" w:eastAsia="Arial" w:hAnsi="Arial"/>
                <w:sz w:val="15"/>
                <w:szCs w:val="15"/>
                <w:color w:val="257ACB"/>
                <w:w w:val="95"/>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257ACB"/>
              </w:rPr>
              <w:t>2,287.9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3,675.6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2660"/>
        <w:spacing w:after="0" w:line="266" w:lineRule="auto"/>
        <w:rPr>
          <w:sz w:val="20"/>
          <w:szCs w:val="20"/>
          <w:color w:val="auto"/>
        </w:rPr>
      </w:pPr>
      <w:r>
        <w:rPr>
          <w:rFonts w:ascii="Arial" w:cs="Arial" w:eastAsia="Arial" w:hAnsi="Arial"/>
          <w:sz w:val="22"/>
          <w:szCs w:val="22"/>
          <w:b w:val="1"/>
          <w:bCs w:val="1"/>
          <w:color w:val="1C5A7D"/>
        </w:rPr>
        <w:t>BIOGEN INC. AND SUBSIDIARIES CONDENSED CONSOLIDATED STATEMENTS OF EQUITY (unaudited, in millions)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1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0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6"/>
            <w:vMerge w:val="continue"/>
          </w:tcPr>
          <w:p>
            <w:pPr>
              <w:spacing w:after="0"/>
              <w:rPr>
                <w:sz w:val="9"/>
                <w:szCs w:val="9"/>
                <w:color w:val="auto"/>
              </w:rPr>
            </w:pPr>
          </w:p>
        </w:tc>
        <w:tc>
          <w:tcPr>
            <w:tcW w:w="8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11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Biogen Inc.</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50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800" w:type="dxa"/>
            <w:vAlign w:val="bottom"/>
            <w:gridSpan w:val="2"/>
            <w:vMerge w:val="continue"/>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DBDBDB"/>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Borders>
              <w:bottom w:val="single" w:sz="8" w:color="DBDBDB"/>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DBDBDB"/>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equity</w:t>
            </w: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DBDBDB"/>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15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June 30,</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340" w:type="dxa"/>
            <w:vAlign w:val="bottom"/>
            <w:gridSpan w:val="3"/>
            <w:vMerge w:val="restart"/>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620" w:type="dxa"/>
            <w:vAlign w:val="bottom"/>
            <w:gridSpan w:val="3"/>
            <w:vMerge w:val="restart"/>
            <w:shd w:val="clear" w:color="auto" w:fill="DBDBDB"/>
          </w:tcPr>
          <w:p>
            <w:pPr>
              <w:jc w:val="right"/>
              <w:spacing w:after="0"/>
              <w:rPr>
                <w:sz w:val="20"/>
                <w:szCs w:val="20"/>
                <w:color w:val="auto"/>
              </w:rPr>
            </w:pPr>
            <w:r>
              <w:rPr>
                <w:rFonts w:ascii="Arial" w:cs="Arial" w:eastAsia="Arial" w:hAnsi="Arial"/>
                <w:sz w:val="13"/>
                <w:szCs w:val="13"/>
                <w:color w:val="2573BA"/>
              </w:rPr>
              <w:t>168.6</w:t>
            </w:r>
          </w:p>
        </w:tc>
        <w:tc>
          <w:tcPr>
            <w:tcW w:w="320" w:type="dxa"/>
            <w:vAlign w:val="bottom"/>
            <w:gridSpan w:val="3"/>
            <w:vMerge w:val="restart"/>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0.1</w:t>
            </w:r>
          </w:p>
        </w:tc>
        <w:tc>
          <w:tcPr>
            <w:tcW w:w="80" w:type="dxa"/>
            <w:vAlign w:val="bottom"/>
            <w:shd w:val="clear" w:color="auto" w:fill="DBDBDB"/>
          </w:tcPr>
          <w:p>
            <w:pPr>
              <w:spacing w:after="0"/>
              <w:rPr>
                <w:sz w:val="11"/>
                <w:szCs w:val="11"/>
                <w:color w:val="auto"/>
              </w:rPr>
            </w:pPr>
          </w:p>
        </w:tc>
        <w:tc>
          <w:tcPr>
            <w:tcW w:w="100" w:type="dxa"/>
            <w:vAlign w:val="bottom"/>
            <w:vMerge w:val="restart"/>
            <w:shd w:val="clear" w:color="auto" w:fill="DBDBDB"/>
          </w:tcPr>
          <w:p>
            <w:pPr>
              <w:spacing w:after="0"/>
              <w:rPr>
                <w:sz w:val="20"/>
                <w:szCs w:val="20"/>
                <w:color w:val="auto"/>
              </w:rPr>
            </w:pPr>
            <w:r>
              <w:rPr>
                <w:rFonts w:ascii="Arial" w:cs="Arial" w:eastAsia="Arial" w:hAnsi="Arial"/>
                <w:sz w:val="13"/>
                <w:szCs w:val="13"/>
                <w:color w:val="2573BA"/>
              </w:rPr>
              <w:t>$</w:t>
            </w:r>
          </w:p>
        </w:tc>
        <w:tc>
          <w:tcPr>
            <w:tcW w:w="64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170.7</w:t>
            </w:r>
          </w:p>
        </w:tc>
        <w:tc>
          <w:tcPr>
            <w:tcW w:w="8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(172.8)</w:t>
            </w:r>
          </w:p>
        </w:tc>
        <w:tc>
          <w:tcPr>
            <w:tcW w:w="8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$ 17,446.0</w:t>
            </w:r>
          </w:p>
        </w:tc>
        <w:tc>
          <w:tcPr>
            <w:tcW w:w="80" w:type="dxa"/>
            <w:vAlign w:val="bottom"/>
            <w:shd w:val="clear" w:color="auto" w:fill="DBDBDB"/>
          </w:tcPr>
          <w:p>
            <w:pPr>
              <w:spacing w:after="0"/>
              <w:rPr>
                <w:sz w:val="11"/>
                <w:szCs w:val="11"/>
                <w:color w:val="auto"/>
              </w:rPr>
            </w:pPr>
          </w:p>
        </w:tc>
        <w:tc>
          <w:tcPr>
            <w:tcW w:w="560" w:type="dxa"/>
            <w:vAlign w:val="bottom"/>
            <w:vMerge w:val="restart"/>
            <w:shd w:val="clear" w:color="auto" w:fill="DBDBDB"/>
          </w:tcPr>
          <w:p>
            <w:pPr>
              <w:ind w:left="180"/>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14,466.9</w:t>
            </w:r>
          </w:p>
        </w:tc>
        <w:tc>
          <w:tcPr>
            <w:tcW w:w="80" w:type="dxa"/>
            <w:vAlign w:val="bottom"/>
            <w:shd w:val="clear" w:color="auto" w:fill="DBDBDB"/>
          </w:tcPr>
          <w:p>
            <w:pPr>
              <w:spacing w:after="0"/>
              <w:rPr>
                <w:sz w:val="11"/>
                <w:szCs w:val="11"/>
                <w:color w:val="auto"/>
              </w:rPr>
            </w:pPr>
          </w:p>
        </w:tc>
        <w:tc>
          <w:tcPr>
            <w:tcW w:w="16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(6.4)</w:t>
            </w:r>
          </w:p>
        </w:tc>
        <w:tc>
          <w:tcPr>
            <w:tcW w:w="8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$ 14,460.5</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500" w:type="dxa"/>
            <w:vAlign w:val="bottom"/>
            <w:vMerge w:val="continue"/>
            <w:shd w:val="clear" w:color="auto" w:fill="DBDBDB"/>
          </w:tcPr>
          <w:p>
            <w:pPr>
              <w:spacing w:after="0"/>
              <w:rPr>
                <w:sz w:val="16"/>
                <w:szCs w:val="16"/>
                <w:color w:val="auto"/>
              </w:rPr>
            </w:pPr>
          </w:p>
        </w:tc>
        <w:tc>
          <w:tcPr>
            <w:tcW w:w="340" w:type="dxa"/>
            <w:vAlign w:val="bottom"/>
            <w:gridSpan w:val="3"/>
            <w:vMerge w:val="continue"/>
            <w:shd w:val="clear" w:color="auto" w:fill="DBDBDB"/>
          </w:tcPr>
          <w:p>
            <w:pPr>
              <w:spacing w:after="0"/>
              <w:rPr>
                <w:sz w:val="16"/>
                <w:szCs w:val="16"/>
                <w:color w:val="auto"/>
              </w:rPr>
            </w:pPr>
          </w:p>
        </w:tc>
        <w:tc>
          <w:tcPr>
            <w:tcW w:w="320" w:type="dxa"/>
            <w:vAlign w:val="bottom"/>
            <w:vMerge w:val="continue"/>
            <w:shd w:val="clear" w:color="auto" w:fill="DBDBDB"/>
          </w:tcPr>
          <w:p>
            <w:pPr>
              <w:spacing w:after="0"/>
              <w:rPr>
                <w:sz w:val="16"/>
                <w:szCs w:val="16"/>
                <w:color w:val="auto"/>
              </w:rPr>
            </w:pPr>
          </w:p>
        </w:tc>
        <w:tc>
          <w:tcPr>
            <w:tcW w:w="620" w:type="dxa"/>
            <w:vAlign w:val="bottom"/>
            <w:gridSpan w:val="3"/>
            <w:vMerge w:val="continue"/>
            <w:shd w:val="clear" w:color="auto" w:fill="DBDBDB"/>
          </w:tcPr>
          <w:p>
            <w:pPr>
              <w:spacing w:after="0"/>
              <w:rPr>
                <w:sz w:val="16"/>
                <w:szCs w:val="16"/>
                <w:color w:val="auto"/>
              </w:rPr>
            </w:pPr>
          </w:p>
        </w:tc>
        <w:tc>
          <w:tcPr>
            <w:tcW w:w="320" w:type="dxa"/>
            <w:vAlign w:val="bottom"/>
            <w:gridSpan w:val="3"/>
            <w:vMerge w:val="continue"/>
            <w:shd w:val="clear" w:color="auto" w:fill="DBDBDB"/>
          </w:tcPr>
          <w:p>
            <w:pPr>
              <w:spacing w:after="0"/>
              <w:rPr>
                <w:sz w:val="16"/>
                <w:szCs w:val="16"/>
                <w:color w:val="auto"/>
              </w:rPr>
            </w:pPr>
          </w:p>
        </w:tc>
        <w:tc>
          <w:tcPr>
            <w:tcW w:w="38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vMerge w:val="continue"/>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vMerge w:val="continue"/>
            <w:shd w:val="clear" w:color="auto" w:fill="DBDBDB"/>
          </w:tcPr>
          <w:p>
            <w:pPr>
              <w:spacing w:after="0"/>
              <w:rPr>
                <w:sz w:val="16"/>
                <w:szCs w:val="16"/>
                <w:color w:val="auto"/>
              </w:rPr>
            </w:pPr>
          </w:p>
        </w:tc>
        <w:tc>
          <w:tcPr>
            <w:tcW w:w="10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8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vMerge w:val="continue"/>
            <w:shd w:val="clear" w:color="auto" w:fill="DBDBDB"/>
          </w:tcPr>
          <w:p>
            <w:pPr>
              <w:spacing w:after="0"/>
              <w:rPr>
                <w:sz w:val="16"/>
                <w:szCs w:val="16"/>
                <w:color w:val="auto"/>
              </w:rPr>
            </w:pPr>
          </w:p>
        </w:tc>
        <w:tc>
          <w:tcPr>
            <w:tcW w:w="90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vMerge w:val="continue"/>
            <w:shd w:val="clear" w:color="auto" w:fill="DBDBDB"/>
          </w:tcPr>
          <w:p>
            <w:pPr>
              <w:spacing w:after="0"/>
              <w:rPr>
                <w:sz w:val="16"/>
                <w:szCs w:val="16"/>
                <w:color w:val="auto"/>
              </w:rPr>
            </w:pPr>
          </w:p>
        </w:tc>
        <w:tc>
          <w:tcPr>
            <w:tcW w:w="90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00" w:type="dxa"/>
            <w:vAlign w:val="bottom"/>
          </w:tcPr>
          <w:p>
            <w:pPr>
              <w:spacing w:after="0"/>
              <w:rPr>
                <w:sz w:val="20"/>
                <w:szCs w:val="20"/>
                <w:color w:val="auto"/>
              </w:rPr>
            </w:pPr>
            <w:r>
              <w:rPr>
                <w:rFonts w:ascii="Arial" w:cs="Arial" w:eastAsia="Arial" w:hAnsi="Arial"/>
                <w:sz w:val="14"/>
                <w:szCs w:val="14"/>
                <w:color w:val="auto"/>
              </w:rPr>
              <w:t>Net loss</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(68.1)</w:t>
            </w:r>
          </w:p>
        </w:tc>
        <w:tc>
          <w:tcPr>
            <w:tcW w:w="80" w:type="dxa"/>
            <w:vAlign w:val="bottom"/>
            <w:shd w:val="clear" w:color="auto" w:fill="DBDBDB"/>
          </w:tcPr>
          <w:p>
            <w:pPr>
              <w:spacing w:after="0"/>
              <w:rPr>
                <w:sz w:val="16"/>
                <w:szCs w:val="16"/>
                <w:color w:val="auto"/>
              </w:rPr>
            </w:pP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(68.1)</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(0.2)</w:t>
            </w:r>
          </w:p>
        </w:tc>
        <w:tc>
          <w:tcPr>
            <w:tcW w:w="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(68.3)</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Other comprehensive</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income (loss), net of</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13.5</w:t>
            </w:r>
          </w:p>
        </w:tc>
        <w:tc>
          <w:tcPr>
            <w:tcW w:w="80" w:type="dxa"/>
            <w:vAlign w:val="bottom"/>
            <w:shd w:val="clear" w:color="auto" w:fill="DBDBDB"/>
          </w:tcPr>
          <w:p>
            <w:pPr>
              <w:spacing w:after="0"/>
              <w:rPr>
                <w:sz w:val="15"/>
                <w:szCs w:val="15"/>
                <w:color w:val="auto"/>
              </w:rPr>
            </w:pP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13.5</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13.5</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Capital contribution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from noncontrolling</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interest</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2.5</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2.5</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Issuance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line="149" w:lineRule="exact"/>
              <w:rPr>
                <w:sz w:val="20"/>
                <w:szCs w:val="20"/>
                <w:color w:val="auto"/>
              </w:rPr>
            </w:pPr>
            <w:r>
              <w:rPr>
                <w:rFonts w:ascii="Arial" w:cs="Arial" w:eastAsia="Arial" w:hAnsi="Arial"/>
                <w:sz w:val="14"/>
                <w:szCs w:val="14"/>
                <w:color w:val="auto"/>
              </w:rPr>
              <w:t>option and stock</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purchase plans</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9.3</w:t>
            </w: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9.3</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9.3</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Issuance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award plan</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(2.7)</w:t>
            </w: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(2.7)</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(2.7)</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Compensation related</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to share-based</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payments</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64.8</w:t>
            </w: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64.8</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64.8</w:t>
            </w:r>
          </w:p>
        </w:tc>
        <w:tc>
          <w:tcPr>
            <w:tcW w:w="0" w:type="dxa"/>
            <w:vAlign w:val="bottom"/>
          </w:tcPr>
          <w:p>
            <w:pPr>
              <w:spacing w:after="0"/>
              <w:rPr>
                <w:sz w:val="1"/>
                <w:szCs w:val="1"/>
                <w:color w:val="auto"/>
              </w:rPr>
            </w:pPr>
          </w:p>
        </w:tc>
      </w:tr>
      <w:tr>
        <w:trPr>
          <w:trHeight w:val="208"/>
        </w:trPr>
        <w:tc>
          <w:tcPr>
            <w:tcW w:w="15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3"/>
                <w:szCs w:val="13"/>
                <w:color w:val="2573BA"/>
              </w:rPr>
              <w:t>0.1</w:t>
            </w:r>
          </w:p>
        </w:tc>
        <w:tc>
          <w:tcPr>
            <w:tcW w:w="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3"/>
                <w:szCs w:val="13"/>
                <w:color w:val="2573BA"/>
              </w:rPr>
              <w:t>0.1</w:t>
            </w: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b w:val="1"/>
                <w:bCs w:val="1"/>
                <w:color w:val="auto"/>
              </w:rPr>
              <w:t>Balance, September</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168.7</w:t>
            </w:r>
          </w:p>
        </w:tc>
        <w:tc>
          <w:tcPr>
            <w:tcW w:w="20" w:type="dxa"/>
            <w:vAlign w:val="bottom"/>
            <w:shd w:val="clear" w:color="auto" w:fill="DBDBDB"/>
          </w:tcPr>
          <w:p>
            <w:pPr>
              <w:spacing w:after="0"/>
              <w:rPr>
                <w:sz w:val="11"/>
                <w:szCs w:val="11"/>
                <w:color w:val="auto"/>
              </w:rPr>
            </w:pPr>
          </w:p>
        </w:tc>
        <w:tc>
          <w:tcPr>
            <w:tcW w:w="3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0.1</w:t>
            </w:r>
          </w:p>
        </w:tc>
        <w:tc>
          <w:tcPr>
            <w:tcW w:w="80" w:type="dxa"/>
            <w:vAlign w:val="bottom"/>
            <w:shd w:val="clear" w:color="auto" w:fill="DBDBDB"/>
          </w:tcPr>
          <w:p>
            <w:pPr>
              <w:spacing w:after="0"/>
              <w:rPr>
                <w:sz w:val="11"/>
                <w:szCs w:val="11"/>
                <w:color w:val="auto"/>
              </w:rPr>
            </w:pPr>
          </w:p>
        </w:tc>
        <w:tc>
          <w:tcPr>
            <w:tcW w:w="100" w:type="dxa"/>
            <w:vAlign w:val="bottom"/>
            <w:vMerge w:val="restart"/>
            <w:shd w:val="clear" w:color="auto" w:fill="DBDBDB"/>
          </w:tcPr>
          <w:p>
            <w:pPr>
              <w:spacing w:after="0"/>
              <w:rPr>
                <w:sz w:val="20"/>
                <w:szCs w:val="20"/>
                <w:color w:val="auto"/>
              </w:rPr>
            </w:pPr>
            <w:r>
              <w:rPr>
                <w:rFonts w:ascii="Arial" w:cs="Arial" w:eastAsia="Arial" w:hAnsi="Arial"/>
                <w:sz w:val="13"/>
                <w:szCs w:val="13"/>
                <w:color w:val="2573BA"/>
              </w:rPr>
              <w:t>$</w:t>
            </w:r>
          </w:p>
        </w:tc>
        <w:tc>
          <w:tcPr>
            <w:tcW w:w="64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242.2</w:t>
            </w:r>
          </w:p>
        </w:tc>
        <w:tc>
          <w:tcPr>
            <w:tcW w:w="8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(159.3)</w:t>
            </w:r>
          </w:p>
        </w:tc>
        <w:tc>
          <w:tcPr>
            <w:tcW w:w="8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$ 17,377.9</w:t>
            </w:r>
          </w:p>
        </w:tc>
        <w:tc>
          <w:tcPr>
            <w:tcW w:w="80" w:type="dxa"/>
            <w:vAlign w:val="bottom"/>
            <w:shd w:val="clear" w:color="auto" w:fill="DBDBDB"/>
          </w:tcPr>
          <w:p>
            <w:pPr>
              <w:spacing w:after="0"/>
              <w:rPr>
                <w:sz w:val="11"/>
                <w:szCs w:val="11"/>
                <w:color w:val="auto"/>
              </w:rPr>
            </w:pPr>
          </w:p>
        </w:tc>
        <w:tc>
          <w:tcPr>
            <w:tcW w:w="560" w:type="dxa"/>
            <w:vAlign w:val="bottom"/>
            <w:vMerge w:val="restart"/>
            <w:shd w:val="clear" w:color="auto" w:fill="DBDBDB"/>
          </w:tcPr>
          <w:p>
            <w:pPr>
              <w:ind w:left="180"/>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14,483.8</w:t>
            </w:r>
          </w:p>
        </w:tc>
        <w:tc>
          <w:tcPr>
            <w:tcW w:w="80" w:type="dxa"/>
            <w:vAlign w:val="bottom"/>
            <w:shd w:val="clear" w:color="auto" w:fill="DBDBDB"/>
          </w:tcPr>
          <w:p>
            <w:pPr>
              <w:spacing w:after="0"/>
              <w:rPr>
                <w:sz w:val="11"/>
                <w:szCs w:val="11"/>
                <w:color w:val="auto"/>
              </w:rPr>
            </w:pPr>
          </w:p>
        </w:tc>
        <w:tc>
          <w:tcPr>
            <w:tcW w:w="16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(4.1)</w:t>
            </w:r>
          </w:p>
        </w:tc>
        <w:tc>
          <w:tcPr>
            <w:tcW w:w="8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$ 14,479.7</w:t>
            </w: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b w:val="1"/>
                <w:bCs w:val="1"/>
                <w:color w:val="auto"/>
              </w:rPr>
              <w:t>30, 2023</w:t>
            </w:r>
          </w:p>
        </w:tc>
        <w:tc>
          <w:tcPr>
            <w:tcW w:w="500" w:type="dxa"/>
            <w:vAlign w:val="bottom"/>
            <w:vMerge w:val="continue"/>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vMerge w:val="continue"/>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00" w:type="dxa"/>
            <w:vAlign w:val="bottom"/>
            <w:gridSpan w:val="2"/>
            <w:vMerge w:val="continue"/>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vMerge w:val="continue"/>
            <w:shd w:val="clear" w:color="auto" w:fill="DBDBDB"/>
          </w:tcPr>
          <w:p>
            <w:pPr>
              <w:spacing w:after="0"/>
              <w:rPr>
                <w:sz w:val="15"/>
                <w:szCs w:val="15"/>
                <w:color w:val="auto"/>
              </w:rPr>
            </w:pPr>
          </w:p>
        </w:tc>
        <w:tc>
          <w:tcPr>
            <w:tcW w:w="6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 w:type="dxa"/>
            <w:vAlign w:val="bottom"/>
            <w:vMerge w:val="continue"/>
            <w:shd w:val="clear" w:color="auto" w:fill="DBDBDB"/>
          </w:tcPr>
          <w:p>
            <w:pPr>
              <w:spacing w:after="0"/>
              <w:rPr>
                <w:sz w:val="15"/>
                <w:szCs w:val="15"/>
                <w:color w:val="auto"/>
              </w:rPr>
            </w:pPr>
          </w:p>
        </w:tc>
        <w:tc>
          <w:tcPr>
            <w:tcW w:w="10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6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8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 w:type="dxa"/>
            <w:vAlign w:val="bottom"/>
            <w:vMerge w:val="continue"/>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vMerge w:val="continue"/>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1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0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6"/>
            <w:vMerge w:val="continue"/>
          </w:tcPr>
          <w:p>
            <w:pPr>
              <w:spacing w:after="0"/>
              <w:rPr>
                <w:sz w:val="9"/>
                <w:szCs w:val="9"/>
                <w:color w:val="auto"/>
              </w:rPr>
            </w:pPr>
          </w:p>
        </w:tc>
        <w:tc>
          <w:tcPr>
            <w:tcW w:w="8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9"/>
                <w:szCs w:val="9"/>
                <w:color w:val="auto"/>
              </w:rPr>
            </w:pPr>
          </w:p>
        </w:tc>
        <w:tc>
          <w:tcPr>
            <w:tcW w:w="110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rPr>
              <w:t>other</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Biogen Inc.</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50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800" w:type="dxa"/>
            <w:vAlign w:val="bottom"/>
            <w:gridSpan w:val="2"/>
            <w:vMerge w:val="continue"/>
          </w:tcPr>
          <w:p>
            <w:pPr>
              <w:spacing w:after="0"/>
              <w:rPr>
                <w:sz w:val="12"/>
                <w:szCs w:val="12"/>
                <w:color w:val="auto"/>
              </w:rPr>
            </w:pP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3"/>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DBDBDB"/>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Borders>
              <w:bottom w:val="single" w:sz="8" w:color="DBDBDB"/>
            </w:tcBorders>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DBDBDB"/>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equity</w:t>
            </w: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interests</w:t>
            </w:r>
          </w:p>
        </w:tc>
        <w:tc>
          <w:tcPr>
            <w:tcW w:w="80" w:type="dxa"/>
            <w:vAlign w:val="bottom"/>
            <w:tcBorders>
              <w:bottom w:val="single" w:sz="8" w:color="DBDBDB"/>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15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340" w:type="dxa"/>
            <w:vAlign w:val="bottom"/>
            <w:gridSpan w:val="3"/>
            <w:vMerge w:val="restart"/>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620" w:type="dxa"/>
            <w:vAlign w:val="bottom"/>
            <w:gridSpan w:val="3"/>
            <w:vMerge w:val="restart"/>
            <w:shd w:val="clear" w:color="auto" w:fill="DBDBDB"/>
          </w:tcPr>
          <w:p>
            <w:pPr>
              <w:jc w:val="right"/>
              <w:spacing w:after="0"/>
              <w:rPr>
                <w:sz w:val="20"/>
                <w:szCs w:val="20"/>
                <w:color w:val="auto"/>
              </w:rPr>
            </w:pPr>
            <w:r>
              <w:rPr>
                <w:rFonts w:ascii="Arial" w:cs="Arial" w:eastAsia="Arial" w:hAnsi="Arial"/>
                <w:sz w:val="13"/>
                <w:szCs w:val="13"/>
                <w:color w:val="2573BA"/>
              </w:rPr>
              <w:t>167.9</w:t>
            </w:r>
          </w:p>
        </w:tc>
        <w:tc>
          <w:tcPr>
            <w:tcW w:w="320" w:type="dxa"/>
            <w:vAlign w:val="bottom"/>
            <w:gridSpan w:val="3"/>
            <w:vMerge w:val="restart"/>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0.1</w:t>
            </w:r>
          </w:p>
        </w:tc>
        <w:tc>
          <w:tcPr>
            <w:tcW w:w="80" w:type="dxa"/>
            <w:vAlign w:val="bottom"/>
            <w:shd w:val="clear" w:color="auto" w:fill="DBDBDB"/>
          </w:tcPr>
          <w:p>
            <w:pPr>
              <w:spacing w:after="0"/>
              <w:rPr>
                <w:sz w:val="11"/>
                <w:szCs w:val="11"/>
                <w:color w:val="auto"/>
              </w:rPr>
            </w:pPr>
          </w:p>
        </w:tc>
        <w:tc>
          <w:tcPr>
            <w:tcW w:w="100" w:type="dxa"/>
            <w:vAlign w:val="bottom"/>
            <w:vMerge w:val="restart"/>
            <w:shd w:val="clear" w:color="auto" w:fill="DBDBDB"/>
          </w:tcPr>
          <w:p>
            <w:pPr>
              <w:spacing w:after="0"/>
              <w:rPr>
                <w:sz w:val="20"/>
                <w:szCs w:val="20"/>
                <w:color w:val="auto"/>
              </w:rPr>
            </w:pPr>
            <w:r>
              <w:rPr>
                <w:rFonts w:ascii="Arial" w:cs="Arial" w:eastAsia="Arial" w:hAnsi="Arial"/>
                <w:sz w:val="13"/>
                <w:szCs w:val="13"/>
                <w:color w:val="2573BA"/>
              </w:rPr>
              <w:t>$</w:t>
            </w:r>
          </w:p>
        </w:tc>
        <w:tc>
          <w:tcPr>
            <w:tcW w:w="64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73.3</w:t>
            </w:r>
          </w:p>
        </w:tc>
        <w:tc>
          <w:tcPr>
            <w:tcW w:w="8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(164.9)</w:t>
            </w:r>
          </w:p>
        </w:tc>
        <w:tc>
          <w:tcPr>
            <w:tcW w:w="8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$ 16,466.5</w:t>
            </w:r>
          </w:p>
        </w:tc>
        <w:tc>
          <w:tcPr>
            <w:tcW w:w="80" w:type="dxa"/>
            <w:vAlign w:val="bottom"/>
            <w:shd w:val="clear" w:color="auto" w:fill="DBDBDB"/>
          </w:tcPr>
          <w:p>
            <w:pPr>
              <w:spacing w:after="0"/>
              <w:rPr>
                <w:sz w:val="11"/>
                <w:szCs w:val="11"/>
                <w:color w:val="auto"/>
              </w:rPr>
            </w:pPr>
          </w:p>
        </w:tc>
        <w:tc>
          <w:tcPr>
            <w:tcW w:w="560" w:type="dxa"/>
            <w:vAlign w:val="bottom"/>
            <w:vMerge w:val="restart"/>
            <w:shd w:val="clear" w:color="auto" w:fill="DBDBDB"/>
          </w:tcPr>
          <w:p>
            <w:pPr>
              <w:ind w:left="180"/>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13,397.9</w:t>
            </w:r>
          </w:p>
        </w:tc>
        <w:tc>
          <w:tcPr>
            <w:tcW w:w="80" w:type="dxa"/>
            <w:vAlign w:val="bottom"/>
            <w:shd w:val="clear" w:color="auto" w:fill="DBDBDB"/>
          </w:tcPr>
          <w:p>
            <w:pPr>
              <w:spacing w:after="0"/>
              <w:rPr>
                <w:sz w:val="11"/>
                <w:szCs w:val="11"/>
                <w:color w:val="auto"/>
              </w:rPr>
            </w:pPr>
          </w:p>
        </w:tc>
        <w:tc>
          <w:tcPr>
            <w:tcW w:w="160" w:type="dxa"/>
            <w:vAlign w:val="bottom"/>
            <w:vMerge w:val="restart"/>
            <w:shd w:val="clear" w:color="auto" w:fill="DBDBDB"/>
          </w:tcPr>
          <w:p>
            <w:pPr>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(9.5)</w:t>
            </w:r>
          </w:p>
        </w:tc>
        <w:tc>
          <w:tcPr>
            <w:tcW w:w="8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$ 13,388.4</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b w:val="1"/>
                <w:bCs w:val="1"/>
                <w:color w:val="auto"/>
              </w:rPr>
              <w:t>31, 2022</w:t>
            </w:r>
          </w:p>
        </w:tc>
        <w:tc>
          <w:tcPr>
            <w:tcW w:w="500" w:type="dxa"/>
            <w:vAlign w:val="bottom"/>
            <w:vMerge w:val="continue"/>
            <w:shd w:val="clear" w:color="auto" w:fill="DBDBDB"/>
          </w:tcPr>
          <w:p>
            <w:pPr>
              <w:spacing w:after="0"/>
              <w:rPr>
                <w:sz w:val="16"/>
                <w:szCs w:val="16"/>
                <w:color w:val="auto"/>
              </w:rPr>
            </w:pPr>
          </w:p>
        </w:tc>
        <w:tc>
          <w:tcPr>
            <w:tcW w:w="340" w:type="dxa"/>
            <w:vAlign w:val="bottom"/>
            <w:gridSpan w:val="3"/>
            <w:vMerge w:val="continue"/>
            <w:shd w:val="clear" w:color="auto" w:fill="DBDBDB"/>
          </w:tcPr>
          <w:p>
            <w:pPr>
              <w:spacing w:after="0"/>
              <w:rPr>
                <w:sz w:val="16"/>
                <w:szCs w:val="16"/>
                <w:color w:val="auto"/>
              </w:rPr>
            </w:pPr>
          </w:p>
        </w:tc>
        <w:tc>
          <w:tcPr>
            <w:tcW w:w="320" w:type="dxa"/>
            <w:vAlign w:val="bottom"/>
            <w:vMerge w:val="continue"/>
            <w:shd w:val="clear" w:color="auto" w:fill="DBDBDB"/>
          </w:tcPr>
          <w:p>
            <w:pPr>
              <w:spacing w:after="0"/>
              <w:rPr>
                <w:sz w:val="16"/>
                <w:szCs w:val="16"/>
                <w:color w:val="auto"/>
              </w:rPr>
            </w:pPr>
          </w:p>
        </w:tc>
        <w:tc>
          <w:tcPr>
            <w:tcW w:w="620" w:type="dxa"/>
            <w:vAlign w:val="bottom"/>
            <w:gridSpan w:val="3"/>
            <w:vMerge w:val="continue"/>
            <w:shd w:val="clear" w:color="auto" w:fill="DBDBDB"/>
          </w:tcPr>
          <w:p>
            <w:pPr>
              <w:spacing w:after="0"/>
              <w:rPr>
                <w:sz w:val="16"/>
                <w:szCs w:val="16"/>
                <w:color w:val="auto"/>
              </w:rPr>
            </w:pPr>
          </w:p>
        </w:tc>
        <w:tc>
          <w:tcPr>
            <w:tcW w:w="320" w:type="dxa"/>
            <w:vAlign w:val="bottom"/>
            <w:gridSpan w:val="3"/>
            <w:vMerge w:val="continue"/>
            <w:shd w:val="clear" w:color="auto" w:fill="DBDBDB"/>
          </w:tcPr>
          <w:p>
            <w:pPr>
              <w:spacing w:after="0"/>
              <w:rPr>
                <w:sz w:val="16"/>
                <w:szCs w:val="16"/>
                <w:color w:val="auto"/>
              </w:rPr>
            </w:pPr>
          </w:p>
        </w:tc>
        <w:tc>
          <w:tcPr>
            <w:tcW w:w="38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vMerge w:val="continue"/>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 w:type="dxa"/>
            <w:vAlign w:val="bottom"/>
            <w:vMerge w:val="continue"/>
            <w:shd w:val="clear" w:color="auto" w:fill="DBDBDB"/>
          </w:tcPr>
          <w:p>
            <w:pPr>
              <w:spacing w:after="0"/>
              <w:rPr>
                <w:sz w:val="16"/>
                <w:szCs w:val="16"/>
                <w:color w:val="auto"/>
              </w:rPr>
            </w:pPr>
          </w:p>
        </w:tc>
        <w:tc>
          <w:tcPr>
            <w:tcW w:w="10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6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8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vMerge w:val="continue"/>
            <w:shd w:val="clear" w:color="auto" w:fill="DBDBDB"/>
          </w:tcPr>
          <w:p>
            <w:pPr>
              <w:spacing w:after="0"/>
              <w:rPr>
                <w:sz w:val="16"/>
                <w:szCs w:val="16"/>
                <w:color w:val="auto"/>
              </w:rPr>
            </w:pPr>
          </w:p>
        </w:tc>
        <w:tc>
          <w:tcPr>
            <w:tcW w:w="90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vMerge w:val="continue"/>
            <w:shd w:val="clear" w:color="auto" w:fill="DBDBDB"/>
          </w:tcPr>
          <w:p>
            <w:pPr>
              <w:spacing w:after="0"/>
              <w:rPr>
                <w:sz w:val="16"/>
                <w:szCs w:val="16"/>
                <w:color w:val="auto"/>
              </w:rPr>
            </w:pPr>
          </w:p>
        </w:tc>
        <w:tc>
          <w:tcPr>
            <w:tcW w:w="90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6"/>
                <w:szCs w:val="16"/>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911.4</w:t>
            </w:r>
          </w:p>
        </w:tc>
        <w:tc>
          <w:tcPr>
            <w:tcW w:w="80" w:type="dxa"/>
            <w:vAlign w:val="bottom"/>
            <w:shd w:val="clear" w:color="auto" w:fill="DBDBDB"/>
          </w:tcPr>
          <w:p>
            <w:pPr>
              <w:spacing w:after="0"/>
              <w:rPr>
                <w:sz w:val="16"/>
                <w:szCs w:val="16"/>
                <w:color w:val="auto"/>
              </w:rPr>
            </w:pP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911.4</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1.2</w:t>
            </w:r>
          </w:p>
        </w:tc>
        <w:tc>
          <w:tcPr>
            <w:tcW w:w="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912.6</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Other comprehensive</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income (loss), net of</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tax</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5.6</w:t>
            </w:r>
          </w:p>
        </w:tc>
        <w:tc>
          <w:tcPr>
            <w:tcW w:w="80" w:type="dxa"/>
            <w:vAlign w:val="bottom"/>
            <w:shd w:val="clear" w:color="auto" w:fill="DBDBDB"/>
          </w:tcPr>
          <w:p>
            <w:pPr>
              <w:spacing w:after="0"/>
              <w:rPr>
                <w:sz w:val="15"/>
                <w:szCs w:val="15"/>
                <w:color w:val="auto"/>
              </w:rPr>
            </w:pP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5.6</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5.6</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Capital contribution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from noncontrolling</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interest</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4.2</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4.2</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Issuance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line="149" w:lineRule="exact"/>
              <w:rPr>
                <w:sz w:val="20"/>
                <w:szCs w:val="20"/>
                <w:color w:val="auto"/>
              </w:rPr>
            </w:pPr>
            <w:r>
              <w:rPr>
                <w:rFonts w:ascii="Arial" w:cs="Arial" w:eastAsia="Arial" w:hAnsi="Arial"/>
                <w:sz w:val="14"/>
                <w:szCs w:val="14"/>
                <w:color w:val="auto"/>
              </w:rPr>
              <w:t>option and stock</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purchase plans</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2573BA"/>
              </w:rPr>
              <w:t>0.2</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38.7</w:t>
            </w: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38.7</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38.7</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Issuance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award plan</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0.6</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(86.7)</w:t>
            </w: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(86.7)</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(86.7)</w:t>
            </w:r>
          </w:p>
        </w:tc>
        <w:tc>
          <w:tcPr>
            <w:tcW w:w="0" w:type="dxa"/>
            <w:vAlign w:val="bottom"/>
          </w:tcPr>
          <w:p>
            <w:pPr>
              <w:spacing w:after="0"/>
              <w:rPr>
                <w:sz w:val="1"/>
                <w:szCs w:val="1"/>
                <w:color w:val="auto"/>
              </w:rPr>
            </w:pPr>
          </w:p>
        </w:tc>
      </w:tr>
      <w:tr>
        <w:trPr>
          <w:trHeight w:val="161"/>
        </w:trPr>
        <w:tc>
          <w:tcPr>
            <w:tcW w:w="1500" w:type="dxa"/>
            <w:vAlign w:val="bottom"/>
          </w:tcPr>
          <w:p>
            <w:pPr>
              <w:spacing w:after="0"/>
              <w:rPr>
                <w:sz w:val="20"/>
                <w:szCs w:val="20"/>
                <w:color w:val="auto"/>
              </w:rPr>
            </w:pPr>
            <w:r>
              <w:rPr>
                <w:rFonts w:ascii="Arial" w:cs="Arial" w:eastAsia="Arial" w:hAnsi="Arial"/>
                <w:sz w:val="14"/>
                <w:szCs w:val="14"/>
                <w:color w:val="auto"/>
              </w:rPr>
              <w:t>Compensation related</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500" w:type="dxa"/>
            <w:vAlign w:val="bottom"/>
          </w:tcPr>
          <w:p>
            <w:pPr>
              <w:spacing w:after="0" w:line="143" w:lineRule="exact"/>
              <w:rPr>
                <w:sz w:val="20"/>
                <w:szCs w:val="20"/>
                <w:color w:val="auto"/>
              </w:rPr>
            </w:pPr>
            <w:r>
              <w:rPr>
                <w:rFonts w:ascii="Arial" w:cs="Arial" w:eastAsia="Arial" w:hAnsi="Arial"/>
                <w:sz w:val="14"/>
                <w:szCs w:val="14"/>
                <w:color w:val="auto"/>
              </w:rPr>
              <w:t>to share-based</w:t>
            </w: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color w:val="auto"/>
              </w:rPr>
              <w:t>payments</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4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00" w:type="dxa"/>
            <w:vAlign w:val="bottom"/>
            <w:shd w:val="clear" w:color="auto" w:fill="DBDBDB"/>
          </w:tcPr>
          <w:p>
            <w:pPr>
              <w:spacing w:after="0"/>
              <w:rPr>
                <w:sz w:val="15"/>
                <w:szCs w:val="15"/>
                <w:color w:val="auto"/>
              </w:rPr>
            </w:pPr>
          </w:p>
        </w:tc>
        <w:tc>
          <w:tcPr>
            <w:tcW w:w="640" w:type="dxa"/>
            <w:vAlign w:val="bottom"/>
            <w:shd w:val="clear" w:color="auto" w:fill="DBDBDB"/>
          </w:tcPr>
          <w:p>
            <w:pPr>
              <w:jc w:val="right"/>
              <w:ind w:right="12"/>
              <w:spacing w:after="0"/>
              <w:rPr>
                <w:sz w:val="20"/>
                <w:szCs w:val="20"/>
                <w:color w:val="auto"/>
              </w:rPr>
            </w:pPr>
            <w:r>
              <w:rPr>
                <w:rFonts w:ascii="Arial" w:cs="Arial" w:eastAsia="Arial" w:hAnsi="Arial"/>
                <w:sz w:val="13"/>
                <w:szCs w:val="13"/>
                <w:color w:val="2573BA"/>
              </w:rPr>
              <w:t>217.8</w:t>
            </w: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5"/>
                <w:szCs w:val="15"/>
                <w:color w:val="auto"/>
              </w:rPr>
            </w:pPr>
          </w:p>
        </w:tc>
        <w:tc>
          <w:tcPr>
            <w:tcW w:w="900" w:type="dxa"/>
            <w:vAlign w:val="bottom"/>
            <w:shd w:val="clear" w:color="auto" w:fill="DBDBDB"/>
          </w:tcPr>
          <w:p>
            <w:pPr>
              <w:jc w:val="right"/>
              <w:ind w:right="11"/>
              <w:spacing w:after="0"/>
              <w:rPr>
                <w:sz w:val="20"/>
                <w:szCs w:val="20"/>
                <w:color w:val="auto"/>
              </w:rPr>
            </w:pPr>
            <w:r>
              <w:rPr>
                <w:rFonts w:ascii="Arial" w:cs="Arial" w:eastAsia="Arial" w:hAnsi="Arial"/>
                <w:sz w:val="13"/>
                <w:szCs w:val="13"/>
                <w:color w:val="2573BA"/>
              </w:rPr>
              <w:t>217.8</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217.8</w:t>
            </w:r>
          </w:p>
        </w:tc>
        <w:tc>
          <w:tcPr>
            <w:tcW w:w="0" w:type="dxa"/>
            <w:vAlign w:val="bottom"/>
          </w:tcPr>
          <w:p>
            <w:pPr>
              <w:spacing w:after="0"/>
              <w:rPr>
                <w:sz w:val="1"/>
                <w:szCs w:val="1"/>
                <w:color w:val="auto"/>
              </w:rPr>
            </w:pPr>
          </w:p>
        </w:tc>
      </w:tr>
      <w:tr>
        <w:trPr>
          <w:trHeight w:val="208"/>
        </w:trPr>
        <w:tc>
          <w:tcPr>
            <w:tcW w:w="15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(0.9)</w:t>
            </w:r>
          </w:p>
        </w:tc>
        <w:tc>
          <w:tcPr>
            <w:tcW w:w="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(0.9)</w:t>
            </w: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(0.9)</w:t>
            </w: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b w:val="1"/>
                <w:bCs w:val="1"/>
                <w:color w:val="auto"/>
              </w:rPr>
              <w:t>Balance, September</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168.7</w:t>
            </w:r>
          </w:p>
        </w:tc>
        <w:tc>
          <w:tcPr>
            <w:tcW w:w="20" w:type="dxa"/>
            <w:vAlign w:val="bottom"/>
            <w:shd w:val="clear" w:color="auto" w:fill="DBDBDB"/>
          </w:tcPr>
          <w:p>
            <w:pPr>
              <w:spacing w:after="0"/>
              <w:rPr>
                <w:sz w:val="11"/>
                <w:szCs w:val="11"/>
                <w:color w:val="auto"/>
              </w:rPr>
            </w:pPr>
          </w:p>
        </w:tc>
        <w:tc>
          <w:tcPr>
            <w:tcW w:w="300" w:type="dxa"/>
            <w:vAlign w:val="bottom"/>
            <w:gridSpan w:val="2"/>
            <w:vMerge w:val="restart"/>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38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0.1</w:t>
            </w:r>
          </w:p>
        </w:tc>
        <w:tc>
          <w:tcPr>
            <w:tcW w:w="80" w:type="dxa"/>
            <w:vAlign w:val="bottom"/>
            <w:shd w:val="clear" w:color="auto" w:fill="DBDBDB"/>
          </w:tcPr>
          <w:p>
            <w:pPr>
              <w:spacing w:after="0"/>
              <w:rPr>
                <w:sz w:val="11"/>
                <w:szCs w:val="11"/>
                <w:color w:val="auto"/>
              </w:rPr>
            </w:pPr>
          </w:p>
        </w:tc>
        <w:tc>
          <w:tcPr>
            <w:tcW w:w="100" w:type="dxa"/>
            <w:vAlign w:val="bottom"/>
            <w:vMerge w:val="restart"/>
            <w:shd w:val="clear" w:color="auto" w:fill="DBDBDB"/>
          </w:tcPr>
          <w:p>
            <w:pPr>
              <w:spacing w:after="0"/>
              <w:rPr>
                <w:sz w:val="20"/>
                <w:szCs w:val="20"/>
                <w:color w:val="auto"/>
              </w:rPr>
            </w:pPr>
            <w:r>
              <w:rPr>
                <w:rFonts w:ascii="Arial" w:cs="Arial" w:eastAsia="Arial" w:hAnsi="Arial"/>
                <w:sz w:val="13"/>
                <w:szCs w:val="13"/>
                <w:color w:val="2573BA"/>
              </w:rPr>
              <w:t>$</w:t>
            </w:r>
          </w:p>
        </w:tc>
        <w:tc>
          <w:tcPr>
            <w:tcW w:w="64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242.2</w:t>
            </w:r>
          </w:p>
        </w:tc>
        <w:tc>
          <w:tcPr>
            <w:tcW w:w="8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(159.3)</w:t>
            </w:r>
          </w:p>
        </w:tc>
        <w:tc>
          <w:tcPr>
            <w:tcW w:w="8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$ 17,377.9</w:t>
            </w:r>
          </w:p>
        </w:tc>
        <w:tc>
          <w:tcPr>
            <w:tcW w:w="80" w:type="dxa"/>
            <w:vAlign w:val="bottom"/>
            <w:shd w:val="clear" w:color="auto" w:fill="DBDBDB"/>
          </w:tcPr>
          <w:p>
            <w:pPr>
              <w:spacing w:after="0"/>
              <w:rPr>
                <w:sz w:val="11"/>
                <w:szCs w:val="11"/>
                <w:color w:val="auto"/>
              </w:rPr>
            </w:pPr>
          </w:p>
        </w:tc>
        <w:tc>
          <w:tcPr>
            <w:tcW w:w="560" w:type="dxa"/>
            <w:vAlign w:val="bottom"/>
            <w:vMerge w:val="restart"/>
            <w:shd w:val="clear" w:color="auto" w:fill="DBDBDB"/>
          </w:tcPr>
          <w:p>
            <w:pPr>
              <w:ind w:left="180"/>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BDBDB"/>
          </w:tcPr>
          <w:p>
            <w:pPr>
              <w:jc w:val="right"/>
              <w:ind w:right="11"/>
              <w:spacing w:after="0"/>
              <w:rPr>
                <w:sz w:val="20"/>
                <w:szCs w:val="20"/>
                <w:color w:val="auto"/>
              </w:rPr>
            </w:pPr>
            <w:r>
              <w:rPr>
                <w:rFonts w:ascii="Arial" w:cs="Arial" w:eastAsia="Arial" w:hAnsi="Arial"/>
                <w:sz w:val="13"/>
                <w:szCs w:val="13"/>
                <w:color w:val="2573BA"/>
              </w:rPr>
              <w:t>14,483.8</w:t>
            </w:r>
          </w:p>
        </w:tc>
        <w:tc>
          <w:tcPr>
            <w:tcW w:w="80" w:type="dxa"/>
            <w:vAlign w:val="bottom"/>
            <w:shd w:val="clear" w:color="auto" w:fill="DBDBDB"/>
          </w:tcPr>
          <w:p>
            <w:pPr>
              <w:spacing w:after="0"/>
              <w:rPr>
                <w:sz w:val="11"/>
                <w:szCs w:val="11"/>
                <w:color w:val="auto"/>
              </w:rPr>
            </w:pPr>
          </w:p>
        </w:tc>
        <w:tc>
          <w:tcPr>
            <w:tcW w:w="160" w:type="dxa"/>
            <w:vAlign w:val="bottom"/>
            <w:vMerge w:val="restart"/>
            <w:shd w:val="clear" w:color="auto" w:fill="DBDBDB"/>
          </w:tcPr>
          <w:p>
            <w:pPr>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(4.1)</w:t>
            </w:r>
          </w:p>
        </w:tc>
        <w:tc>
          <w:tcPr>
            <w:tcW w:w="8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$ 14,479.7</w:t>
            </w:r>
          </w:p>
        </w:tc>
        <w:tc>
          <w:tcPr>
            <w:tcW w:w="0" w:type="dxa"/>
            <w:vAlign w:val="bottom"/>
          </w:tcPr>
          <w:p>
            <w:pPr>
              <w:spacing w:after="0"/>
              <w:rPr>
                <w:sz w:val="1"/>
                <w:szCs w:val="1"/>
                <w:color w:val="auto"/>
              </w:rPr>
            </w:pPr>
          </w:p>
        </w:tc>
      </w:tr>
      <w:tr>
        <w:trPr>
          <w:trHeight w:val="182"/>
        </w:trPr>
        <w:tc>
          <w:tcPr>
            <w:tcW w:w="1500" w:type="dxa"/>
            <w:vAlign w:val="bottom"/>
          </w:tcPr>
          <w:p>
            <w:pPr>
              <w:spacing w:after="0"/>
              <w:rPr>
                <w:sz w:val="20"/>
                <w:szCs w:val="20"/>
                <w:color w:val="auto"/>
              </w:rPr>
            </w:pPr>
            <w:r>
              <w:rPr>
                <w:rFonts w:ascii="Arial" w:cs="Arial" w:eastAsia="Arial" w:hAnsi="Arial"/>
                <w:sz w:val="14"/>
                <w:szCs w:val="14"/>
                <w:b w:val="1"/>
                <w:bCs w:val="1"/>
                <w:color w:val="auto"/>
              </w:rPr>
              <w:t>30, 2023</w:t>
            </w:r>
          </w:p>
        </w:tc>
        <w:tc>
          <w:tcPr>
            <w:tcW w:w="500" w:type="dxa"/>
            <w:vAlign w:val="bottom"/>
            <w:vMerge w:val="continue"/>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40" w:type="dxa"/>
            <w:vAlign w:val="bottom"/>
            <w:vMerge w:val="continue"/>
            <w:shd w:val="clear" w:color="auto" w:fill="DBDBDB"/>
          </w:tcPr>
          <w:p>
            <w:pPr>
              <w:spacing w:after="0"/>
              <w:rPr>
                <w:sz w:val="15"/>
                <w:szCs w:val="15"/>
                <w:color w:val="auto"/>
              </w:rPr>
            </w:pPr>
          </w:p>
        </w:tc>
        <w:tc>
          <w:tcPr>
            <w:tcW w:w="32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00" w:type="dxa"/>
            <w:vAlign w:val="bottom"/>
            <w:gridSpan w:val="2"/>
            <w:vMerge w:val="continue"/>
            <w:shd w:val="clear" w:color="auto" w:fill="DBDBDB"/>
          </w:tcPr>
          <w:p>
            <w:pPr>
              <w:spacing w:after="0"/>
              <w:rPr>
                <w:sz w:val="15"/>
                <w:szCs w:val="15"/>
                <w:color w:val="auto"/>
              </w:rPr>
            </w:pPr>
          </w:p>
        </w:tc>
        <w:tc>
          <w:tcPr>
            <w:tcW w:w="38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vMerge w:val="continue"/>
            <w:shd w:val="clear" w:color="auto" w:fill="DBDBDB"/>
          </w:tcPr>
          <w:p>
            <w:pPr>
              <w:spacing w:after="0"/>
              <w:rPr>
                <w:sz w:val="15"/>
                <w:szCs w:val="15"/>
                <w:color w:val="auto"/>
              </w:rPr>
            </w:pPr>
          </w:p>
        </w:tc>
        <w:tc>
          <w:tcPr>
            <w:tcW w:w="6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80" w:type="dxa"/>
            <w:vAlign w:val="bottom"/>
            <w:vMerge w:val="continue"/>
            <w:shd w:val="clear" w:color="auto" w:fill="DBDBDB"/>
          </w:tcPr>
          <w:p>
            <w:pPr>
              <w:spacing w:after="0"/>
              <w:rPr>
                <w:sz w:val="15"/>
                <w:szCs w:val="15"/>
                <w:color w:val="auto"/>
              </w:rPr>
            </w:pPr>
          </w:p>
        </w:tc>
        <w:tc>
          <w:tcPr>
            <w:tcW w:w="10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6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68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 w:type="dxa"/>
            <w:vAlign w:val="bottom"/>
            <w:vMerge w:val="continue"/>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vMerge w:val="continue"/>
            <w:shd w:val="clear" w:color="auto" w:fill="DBDBDB"/>
          </w:tcPr>
          <w:p>
            <w:pPr>
              <w:spacing w:after="0"/>
              <w:rPr>
                <w:sz w:val="15"/>
                <w:szCs w:val="15"/>
                <w:color w:val="auto"/>
              </w:rPr>
            </w:pPr>
          </w:p>
        </w:tc>
        <w:tc>
          <w:tcPr>
            <w:tcW w:w="9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0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(unaudited, in millions)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260" w:type="dxa"/>
            <w:vAlign w:val="bottom"/>
            <w:gridSpan w:val="5"/>
            <w:vMerge w:val="restart"/>
          </w:tcPr>
          <w:p>
            <w:pPr>
              <w:jc w:val="right"/>
              <w:ind w:right="160"/>
              <w:spacing w:after="0"/>
              <w:rPr>
                <w:sz w:val="20"/>
                <w:szCs w:val="20"/>
                <w:color w:val="auto"/>
              </w:rPr>
            </w:pPr>
            <w:r>
              <w:rPr>
                <w:rFonts w:ascii="Arial" w:cs="Arial" w:eastAsia="Arial" w:hAnsi="Arial"/>
                <w:sz w:val="14"/>
                <w:szCs w:val="14"/>
                <w:b w:val="1"/>
                <w:bCs w:val="1"/>
                <w:color w:val="auto"/>
              </w:rPr>
              <w:t>Preferred stock</w:t>
            </w:r>
          </w:p>
        </w:tc>
        <w:tc>
          <w:tcPr>
            <w:tcW w:w="12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42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9"/>
                <w:szCs w:val="9"/>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rPr>
              <w:t>Biogen Inc.</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comprehensive</w:t>
            </w:r>
          </w:p>
        </w:tc>
        <w:tc>
          <w:tcPr>
            <w:tcW w:w="840" w:type="dxa"/>
            <w:vAlign w:val="bottom"/>
            <w:gridSpan w:val="2"/>
            <w:vMerge w:val="continue"/>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1420" w:type="dxa"/>
            <w:vAlign w:val="bottom"/>
          </w:tcPr>
          <w:p>
            <w:pPr>
              <w:spacing w:after="0" w:line="129" w:lineRule="exact"/>
              <w:rPr>
                <w:sz w:val="20"/>
                <w:szCs w:val="20"/>
                <w:color w:val="auto"/>
              </w:rPr>
            </w:pPr>
            <w:r>
              <w:rPr>
                <w:rFonts w:ascii="Arial" w:cs="Arial" w:eastAsia="Arial" w:hAnsi="Arial"/>
                <w:sz w:val="14"/>
                <w:szCs w:val="14"/>
                <w:b w:val="1"/>
                <w:bCs w:val="1"/>
                <w:color w:val="auto"/>
              </w:rPr>
              <w:t>Balance, June 30,</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169.0</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(110.4)</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$ 14,959.9</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11,872.5</w:t>
            </w:r>
          </w:p>
        </w:tc>
        <w:tc>
          <w:tcPr>
            <w:tcW w:w="8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$ 11,863.4</w:t>
            </w:r>
          </w:p>
        </w:tc>
        <w:tc>
          <w:tcPr>
            <w:tcW w:w="0" w:type="dxa"/>
            <w:vAlign w:val="bottom"/>
          </w:tcPr>
          <w:p>
            <w:pPr>
              <w:spacing w:after="0"/>
              <w:rPr>
                <w:sz w:val="1"/>
                <w:szCs w:val="1"/>
                <w:color w:val="auto"/>
              </w:rPr>
            </w:pPr>
          </w:p>
        </w:tc>
      </w:tr>
      <w:tr>
        <w:trPr>
          <w:trHeight w:val="184"/>
        </w:trPr>
        <w:tc>
          <w:tcPr>
            <w:tcW w:w="142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6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1,134.7</w:t>
            </w:r>
          </w:p>
        </w:tc>
        <w:tc>
          <w:tcPr>
            <w:tcW w:w="8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1,134.7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1,134.9</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Other comprehensive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income (loss), net of</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tax</w:t>
            </w:r>
          </w:p>
        </w:tc>
        <w:tc>
          <w:tcPr>
            <w:tcW w:w="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Capital contribution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from noncontrolling</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interest</w:t>
            </w:r>
          </w:p>
        </w:tc>
        <w:tc>
          <w:tcPr>
            <w:tcW w:w="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Repurchase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pursuant to the 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line="141"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Retirement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pursuant to the 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line="141"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(178.5)</w:t>
            </w:r>
          </w:p>
        </w:tc>
        <w:tc>
          <w:tcPr>
            <w:tcW w:w="8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option and stock</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purchase plans</w:t>
            </w:r>
          </w:p>
        </w:tc>
        <w:tc>
          <w:tcPr>
            <w:tcW w:w="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award plan</w:t>
            </w:r>
          </w:p>
        </w:tc>
        <w:tc>
          <w:tcPr>
            <w:tcW w:w="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4"/>
                <w:szCs w:val="14"/>
                <w:color w:val="auto"/>
              </w:rPr>
              <w:t>Compensation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related to share-</w:t>
            </w:r>
          </w:p>
        </w:tc>
        <w:tc>
          <w:tcPr>
            <w:tcW w:w="520" w:type="dxa"/>
            <w:vAlign w:val="bottom"/>
            <w:vMerge w:val="restart"/>
          </w:tcPr>
          <w:p>
            <w:pPr>
              <w:ind w:left="3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20"/>
                <w:szCs w:val="20"/>
                <w:color w:val="auto"/>
              </w:rPr>
            </w:pPr>
            <w:r>
              <w:rPr>
                <w:rFonts w:ascii="Arial" w:cs="Arial" w:eastAsia="Arial" w:hAnsi="Arial"/>
                <w:sz w:val="14"/>
                <w:szCs w:val="14"/>
                <w:color w:val="auto"/>
              </w:rPr>
              <w:t>based payments</w:t>
            </w: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65.7</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65.7</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35"/>
        </w:trPr>
        <w:tc>
          <w:tcPr>
            <w:tcW w:w="1420" w:type="dxa"/>
            <w:vAlign w:val="bottom"/>
          </w:tcPr>
          <w:p>
            <w:pPr>
              <w:spacing w:after="0" w:line="135" w:lineRule="exact"/>
              <w:rPr>
                <w:sz w:val="20"/>
                <w:szCs w:val="20"/>
                <w:color w:val="auto"/>
              </w:rPr>
            </w:pPr>
            <w:r>
              <w:rPr>
                <w:rFonts w:ascii="Arial" w:cs="Arial" w:eastAsia="Arial" w:hAnsi="Arial"/>
                <w:sz w:val="14"/>
                <w:szCs w:val="14"/>
                <w:b w:val="1"/>
                <w:bCs w:val="1"/>
                <w:color w:val="auto"/>
              </w:rPr>
              <w:t>Balance, September</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167.8</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(163.6)</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$ 15,916.1</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12,775.5</w:t>
            </w:r>
          </w:p>
        </w:tc>
        <w:tc>
          <w:tcPr>
            <w:tcW w:w="80" w:type="dxa"/>
            <w:vAlign w:val="bottom"/>
          </w:tcPr>
          <w:p>
            <w:pPr>
              <w:spacing w:after="0"/>
              <w:rPr>
                <w:sz w:val="11"/>
                <w:szCs w:val="11"/>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w w:val="99"/>
              </w:rPr>
              <w:t>$ 12,766.8</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b w:val="1"/>
                <w:bCs w:val="1"/>
                <w:color w:val="auto"/>
              </w:rPr>
              <w:t>30, 2022</w:t>
            </w:r>
          </w:p>
        </w:tc>
        <w:tc>
          <w:tcPr>
            <w:tcW w:w="6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126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rPr>
              <w:t>Preferred stock</w:t>
            </w:r>
          </w:p>
        </w:tc>
        <w:tc>
          <w:tcPr>
            <w:tcW w:w="128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42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8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9"/>
                <w:szCs w:val="9"/>
                <w:color w:val="auto"/>
              </w:rPr>
            </w:pPr>
          </w:p>
        </w:tc>
        <w:tc>
          <w:tcPr>
            <w:tcW w:w="9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rPr>
              <w:t>Biogen Inc.</w:t>
            </w: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42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comprehensive</w:t>
            </w:r>
          </w:p>
        </w:tc>
        <w:tc>
          <w:tcPr>
            <w:tcW w:w="840" w:type="dxa"/>
            <w:vAlign w:val="bottom"/>
            <w:gridSpan w:val="2"/>
            <w:vMerge w:val="continue"/>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Pr>
          <w:p>
            <w:pPr>
              <w:spacing w:after="0"/>
              <w:rPr>
                <w:sz w:val="16"/>
                <w:szCs w:val="16"/>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142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170.8</w:t>
            </w:r>
          </w:p>
        </w:tc>
        <w:tc>
          <w:tcPr>
            <w:tcW w:w="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$ 13,911.7</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(2,977.1)</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10,896.2</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63.5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$ 10,959.7</w:t>
            </w:r>
          </w:p>
        </w:tc>
        <w:tc>
          <w:tcPr>
            <w:tcW w:w="0" w:type="dxa"/>
            <w:vAlign w:val="bottom"/>
          </w:tcPr>
          <w:p>
            <w:pPr>
              <w:spacing w:after="0"/>
              <w:rPr>
                <w:sz w:val="1"/>
                <w:szCs w:val="1"/>
                <w:color w:val="auto"/>
              </w:rPr>
            </w:pPr>
          </w:p>
        </w:tc>
      </w:tr>
      <w:tr>
        <w:trPr>
          <w:trHeight w:val="184"/>
        </w:trPr>
        <w:tc>
          <w:tcPr>
            <w:tcW w:w="1420" w:type="dxa"/>
            <w:vAlign w:val="bottom"/>
          </w:tcPr>
          <w:p>
            <w:pPr>
              <w:spacing w:after="0"/>
              <w:rPr>
                <w:sz w:val="20"/>
                <w:szCs w:val="20"/>
                <w:color w:val="auto"/>
              </w:rPr>
            </w:pPr>
            <w:r>
              <w:rPr>
                <w:rFonts w:ascii="Arial" w:cs="Arial" w:eastAsia="Arial" w:hAnsi="Arial"/>
                <w:sz w:val="14"/>
                <w:szCs w:val="14"/>
                <w:b w:val="1"/>
                <w:bCs w:val="1"/>
                <w:color w:val="auto"/>
              </w:rPr>
              <w:t>31, 2021</w:t>
            </w:r>
          </w:p>
        </w:tc>
        <w:tc>
          <w:tcPr>
            <w:tcW w:w="60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2,496.5</w:t>
            </w:r>
          </w:p>
        </w:tc>
        <w:tc>
          <w:tcPr>
            <w:tcW w:w="8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2,496.5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2,412.1</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Other comprehensive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income (loss), net of</w:t>
            </w: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tax</w:t>
            </w: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(56.9)</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Capital contribution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from noncontrolling</w:t>
            </w: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interest</w:t>
            </w: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Repurchase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pursuant to the 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line="141"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Retirement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common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Arial" w:cs="Arial" w:eastAsia="Arial" w:hAnsi="Arial"/>
                <w:sz w:val="14"/>
                <w:szCs w:val="14"/>
                <w:color w:val="auto"/>
              </w:rPr>
              <w:t>pursuant to the 2020</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20" w:type="dxa"/>
            <w:vAlign w:val="bottom"/>
          </w:tcPr>
          <w:p>
            <w:pPr>
              <w:spacing w:after="0" w:line="141"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(257.9)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(492.1)</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420" w:type="dxa"/>
            <w:vAlign w:val="bottom"/>
          </w:tcPr>
          <w:p>
            <w:pPr>
              <w:spacing w:after="0" w:line="155" w:lineRule="exact"/>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Arial" w:cs="Arial" w:eastAsia="Arial" w:hAnsi="Arial"/>
                <w:sz w:val="14"/>
                <w:szCs w:val="14"/>
                <w:color w:val="auto"/>
              </w:rPr>
              <w:t>option and stock</w:t>
            </w: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purchase plans</w:t>
            </w: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20"/>
                <w:szCs w:val="20"/>
                <w:color w:val="auto"/>
              </w:rPr>
            </w:pPr>
            <w:r>
              <w:rPr>
                <w:rFonts w:ascii="Arial" w:cs="Arial" w:eastAsia="Arial" w:hAnsi="Arial"/>
                <w:sz w:val="14"/>
                <w:szCs w:val="14"/>
                <w:color w:val="auto"/>
              </w:rPr>
              <w:t>Issuance of common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stock under stock</w:t>
            </w: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award plan</w:t>
            </w: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20"/>
                <w:szCs w:val="20"/>
                <w:color w:val="auto"/>
              </w:rPr>
            </w:pPr>
            <w:r>
              <w:rPr>
                <w:rFonts w:ascii="Arial" w:cs="Arial" w:eastAsia="Arial" w:hAnsi="Arial"/>
                <w:sz w:val="14"/>
                <w:szCs w:val="14"/>
                <w:color w:val="auto"/>
              </w:rPr>
              <w:t>Compensation</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20" w:type="dxa"/>
            <w:vAlign w:val="bottom"/>
          </w:tcPr>
          <w:p>
            <w:pPr>
              <w:spacing w:after="0" w:line="143" w:lineRule="exact"/>
              <w:rPr>
                <w:sz w:val="20"/>
                <w:szCs w:val="20"/>
                <w:color w:val="auto"/>
              </w:rPr>
            </w:pPr>
            <w:r>
              <w:rPr>
                <w:rFonts w:ascii="Arial" w:cs="Arial" w:eastAsia="Arial" w:hAnsi="Arial"/>
                <w:sz w:val="14"/>
                <w:szCs w:val="14"/>
                <w:color w:val="auto"/>
              </w:rPr>
              <w:t>related to share-</w:t>
            </w:r>
          </w:p>
        </w:tc>
        <w:tc>
          <w:tcPr>
            <w:tcW w:w="600" w:type="dxa"/>
            <w:vAlign w:val="bottom"/>
            <w:gridSpan w:val="2"/>
            <w:vMerge w:val="restart"/>
          </w:tcPr>
          <w:p>
            <w:pPr>
              <w:ind w:lef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20" w:type="dxa"/>
            <w:vAlign w:val="bottom"/>
          </w:tcPr>
          <w:p>
            <w:pPr>
              <w:spacing w:after="0"/>
              <w:rPr>
                <w:sz w:val="20"/>
                <w:szCs w:val="20"/>
                <w:color w:val="auto"/>
              </w:rPr>
            </w:pPr>
            <w:r>
              <w:rPr>
                <w:rFonts w:ascii="Arial" w:cs="Arial" w:eastAsia="Arial" w:hAnsi="Arial"/>
                <w:sz w:val="14"/>
                <w:szCs w:val="14"/>
                <w:color w:val="auto"/>
              </w:rPr>
              <w:t>based payments</w:t>
            </w: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194.1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208"/>
        </w:trPr>
        <w:tc>
          <w:tcPr>
            <w:tcW w:w="1420" w:type="dxa"/>
            <w:vAlign w:val="bottom"/>
          </w:tcPr>
          <w:p>
            <w:pPr>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5"/>
        </w:trPr>
        <w:tc>
          <w:tcPr>
            <w:tcW w:w="1420" w:type="dxa"/>
            <w:vAlign w:val="bottom"/>
          </w:tcPr>
          <w:p>
            <w:pPr>
              <w:spacing w:after="0" w:line="135" w:lineRule="exact"/>
              <w:rPr>
                <w:sz w:val="20"/>
                <w:szCs w:val="20"/>
                <w:color w:val="auto"/>
              </w:rPr>
            </w:pPr>
            <w:r>
              <w:rPr>
                <w:rFonts w:ascii="Arial" w:cs="Arial" w:eastAsia="Arial" w:hAnsi="Arial"/>
                <w:sz w:val="14"/>
                <w:szCs w:val="14"/>
                <w:b w:val="1"/>
                <w:bCs w:val="1"/>
                <w:color w:val="auto"/>
              </w:rPr>
              <w:t>Balance, September</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167.8</w:t>
            </w:r>
          </w:p>
        </w:tc>
        <w:tc>
          <w:tcPr>
            <w:tcW w:w="80" w:type="dxa"/>
            <w:vAlign w:val="bottom"/>
          </w:tcPr>
          <w:p>
            <w:pPr>
              <w:spacing w:after="0"/>
              <w:rPr>
                <w:sz w:val="11"/>
                <w:szCs w:val="11"/>
                <w:color w:val="auto"/>
              </w:rPr>
            </w:pP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(163.6)</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$ 15,916.1</w:t>
            </w: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 (2,977.1)</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12,775.5</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$ 12,766.8</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Arial" w:cs="Arial" w:eastAsia="Arial" w:hAnsi="Arial"/>
                <w:sz w:val="14"/>
                <w:szCs w:val="14"/>
                <w:b w:val="1"/>
                <w:bCs w:val="1"/>
                <w:color w:val="auto"/>
              </w:rPr>
              <w:t>30, 2022</w:t>
            </w:r>
          </w:p>
        </w:tc>
        <w:tc>
          <w:tcPr>
            <w:tcW w:w="60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9692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w:t>
      </w:r>
      <w:r>
        <w:rPr>
          <w:sz w:val="20"/>
          <w:szCs w:val="20"/>
          <w:color w:val="auto"/>
        </w:rPr>
        <w:tab/>
      </w:r>
      <w:r>
        <w:rPr>
          <w:rFonts w:ascii="Arial" w:cs="Arial" w:eastAsia="Arial" w:hAnsi="Arial"/>
          <w:sz w:val="21"/>
          <w:szCs w:val="21"/>
          <w:b w:val="1"/>
          <w:bCs w:val="1"/>
          <w:color w:val="0070C0"/>
        </w:rPr>
        <w:t>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Overview</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and co-developed two treatments to address a defining pathology of Alzheimer's disease. We are focused on advancing our pipeline in neurology, neuropsychiatry, specialized immunology and rare diseases. We support our drug discovery and development efforts through internal research and development programs and external collaborations.</w:t>
      </w:r>
    </w:p>
    <w:p>
      <w:pPr>
        <w:spacing w:after="0" w:line="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marketed products include TECFIDERA, VUMERITY, AVONEX, PLEGRIDY, TYSABRI and FAMPYRA for the treatment of MS; SPINRAZA for the treatment of SMA; QALSODY for the treatment of ALS, which was granted accelerated approval by the FDA during the second quarter of 2023; ADUHELM for the treatment of Alzheimer's disease; and FUMADERM for the treatment of severe plaque psoriasis. We have collaborations with Eisai on the commercialization of LEQEMBI for the treatment of Alzheimer's disease, which was granted traditional approval by the FDA in the third quarter of 2023, and Sage on the commercialization of ZURZUVAE for the treatment of PPD. ZURZUVAE was approved by the FDA in the third quarter of 2023, pending DEA scheduling, which was completed in the fourth quarter of 2023.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which was granted accelerated approval by the FDA during the second quarter of 2023; and have the option to add other potential anti-CD20 therapies, pursuant to our collaboration arrangements with Genentech, a wholly-owned member of the Roche Group.</w:t>
      </w:r>
    </w:p>
    <w:p>
      <w:pPr>
        <w:spacing w:after="0" w:line="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On September 26, 2023, we completed the acquisition of Reata. As a result of this transaction we acquired SKYCLARYS, the first and only drug approved by the FDA for the treatment of Friedreich's Ataxia in adults and adolescents aged 16 years and older.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commercialize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We also have the exclusive rights to commercialize TOFIDENCE, a tocilizumab biosimilar referencing ACTEMRA, which was approved by the FDA during the third quarter of 2023. We continue to develop the potential biosimilar product SB15, a proposed aflibercept biosimilar referencing EYLEA.</w:t>
      </w:r>
    </w:p>
    <w:p>
      <w:pPr>
        <w:spacing w:after="0" w:line="7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unaudited condensed consolidated financial statements (condensed consolidated financial statements). 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audited consolidated financial statements included in our 2022 Form 10-K.</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Basis of Presentation</w:t>
      </w:r>
    </w:p>
    <w:p>
      <w:pPr>
        <w:spacing w:after="0" w:line="136"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 xml:space="preserve">In the opinion of management, our condensed consolidated financial statements include all adjustments, consisting of normal recurring accruals, necessary for a fair statement of our financial statements for interim periods in accordance with U.S. GAAP. The information included in this quarterly report on Form 10-Q should be read in conjunction with our audited consolidated financial statements and the accompanying notes included in our 2022 Form 10-K. Our accounting policies are described 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our 2022 Form 10-K and updated, as necessary, in this report. The year-end condensed consolidated balance sheet data</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comparative purposes was derived from our audited financial statements, but does not include all disclosures required by U.S. GAAP. The results of operations for the three and nine months ended September 30,</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2023, are not necessarily indicative of the operating results for the full year or for any other subsequent interim period.</w:t>
      </w:r>
    </w:p>
    <w:p>
      <w:pPr>
        <w:spacing w:after="0" w:line="11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We operate as one operating segment, focused on discovering, developing and delivering worldwide innovative therapies for people living with serious neurological and neurodegenerative diseases as well as related therapeutic adjacencies.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Consolidation</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condensed consolidated financial statements reflect our financial statements, those of our wholly-owned subsidiaries and certain variable interest entities where we are the primary beneficiary. For consolidated entities where we own or are exposed to less than 100.0% of the economics, we record net income (loss) attributable to noncontrolling interests, net of tax in our condensed consolidated statements of income equal to the percentage of the economic or ownership interest retained in such entities by the respective noncontrolling parties. Intercompany balances and transactions are eliminated in consolidation.</w:t>
      </w:r>
    </w:p>
    <w:p>
      <w:pPr>
        <w:spacing w:after="0" w:line="8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Use of Estimates</w:t>
      </w:r>
    </w:p>
    <w:p>
      <w:pPr>
        <w:spacing w:after="0" w:line="12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Significant Accounting Policies</w:t>
      </w:r>
    </w:p>
    <w:p>
      <w:pPr>
        <w:spacing w:after="0" w:line="13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There have been no material changes to our significant accounting policies disclosed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our audited consolidated financial statements included in our 2022 Form 10-K.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Business Combinations</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Business combinations are recorded using the acquisition method of accounting. The results of operations of the acquired company are included in our results of operations beginning on the acquisition date, and assets acquired and liabilities assumed are recognized on the acquisition date at their respective fair values. Any excess of consideration transferred over the net carrying value of the assets acquired and liabilities assumed as of the acquisition date is recognized as goodwill. Transaction and restructuring costs related to business combinations are expensed as incurred. The fair value of assets acquired and liabilities assumed in certain cases may be subject to revision based on the final determination of fair value during a period of time not to exceed 12 months from the acquisition date. If we determine the assets acquired do not meet the definition of a business, the transaction will be accounted for as an asset acquisition rather than a business combination.</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New Accounting Pronouncements</w:t>
      </w:r>
    </w:p>
    <w:p>
      <w:pPr>
        <w:spacing w:after="0" w:line="1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had or may have a material impact on our condensed consolidated financial statements or disclosures.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Fair Value Measurements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 xml:space="preserve">In June 2022 the FASB issued ASU No. 2022-03,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w:t>
      </w:r>
      <w:r>
        <w:rPr>
          <w:rFonts w:ascii="Arial" w:cs="Arial" w:eastAsia="Arial" w:hAnsi="Arial"/>
          <w:sz w:val="18"/>
          <w:szCs w:val="18"/>
          <w:i w:val="1"/>
          <w:iCs w:val="1"/>
          <w:color w:val="auto"/>
        </w:rPr>
        <w:t>Fair Value Measurement of Equity Securities Subject</w:t>
      </w:r>
      <w:r>
        <w:rPr>
          <w:rFonts w:ascii="Arial" w:cs="Arial" w:eastAsia="Arial" w:hAnsi="Arial"/>
          <w:sz w:val="18"/>
          <w:szCs w:val="18"/>
          <w:color w:val="auto"/>
        </w:rPr>
        <w:t xml:space="preserve"> </w:t>
      </w:r>
      <w:r>
        <w:rPr>
          <w:rFonts w:ascii="Arial" w:cs="Arial" w:eastAsia="Arial" w:hAnsi="Arial"/>
          <w:sz w:val="18"/>
          <w:szCs w:val="18"/>
          <w:i w:val="1"/>
          <w:iCs w:val="1"/>
          <w:color w:val="auto"/>
        </w:rPr>
        <w:t>to Contractual Sale Restrictions</w:t>
      </w:r>
      <w:r>
        <w:rPr>
          <w:rFonts w:ascii="Arial" w:cs="Arial" w:eastAsia="Arial" w:hAnsi="Arial"/>
          <w:sz w:val="18"/>
          <w:szCs w:val="18"/>
          <w:color w:val="auto"/>
        </w:rPr>
        <w:t>. This standard clarifies that a contractual restriction on the sale of an equity security is not considered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 of account of the equity security and, therefore, is not considered in measuring fair value. This standard becomes effective for us on January 1, 2024. We elected to early adopt this standard on a prospective basis during the third quarter of 2022. Upon adoption, we recorded an immaterial amount in other (income) expense, net in our condensed consolidated statements of income, as a result of removing the impact of the remaining contractual sale restrictions from the fair value measurement of certain shares in 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96925"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w:t>
      </w:r>
      <w:r>
        <w:rPr>
          <w:sz w:val="20"/>
          <w:szCs w:val="20"/>
          <w:color w:val="auto"/>
        </w:rPr>
        <w:tab/>
      </w:r>
      <w:r>
        <w:rPr>
          <w:rFonts w:ascii="Arial" w:cs="Arial" w:eastAsia="Arial" w:hAnsi="Arial"/>
          <w:sz w:val="21"/>
          <w:szCs w:val="21"/>
          <w:b w:val="1"/>
          <w:bCs w:val="1"/>
          <w:color w:val="0070C0"/>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Reata Pharmaceuticals, Inc.</w:t>
      </w:r>
    </w:p>
    <w:p>
      <w:pPr>
        <w:spacing w:after="0" w:line="11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color w:val="auto"/>
        </w:rPr>
        <w:t>On September 26, 2023, we completed the acquisition of all of the issued and outstanding shares of Reata, a biopharmaceutical company focused on developing therapeutics that regulate cellular metabolism and inflammation in serious neurologic diseases. As a result of this transaction we acquired SKYCLARYS, the first and only drug approved by the FDA for the treatment of Friedreich's Ataxia in adults and adolescents aged 16 years and older, as well as other clinical and preclinical pipeline programs. The acquisition of Reata is expected to complement our global portfolio of neuromuscular and rare disease therapies. The addition of SKYCLARYS is anticipated to provide potential operating synergies with SPINRAZA and QALSODY.</w:t>
      </w:r>
    </w:p>
    <w:p>
      <w:pPr>
        <w:spacing w:after="0" w:line="5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Under the terms of this acquisition, we paid Reata shareholders $172.50 in cash for each issued and outstanding Reata share, which totaled approximately $6.6 billion. In addition, we agreed to pay approximately $ 983.9 million in cash for Reata's outstanding equity awards, inclusive of employer taxes, of which approximately $ 590.5 million was attributable to pre-acquisition services and is therefore reflected as a component of total purchase price paid. Of the $983.9 million paid to Reata's equity award holders, we recognized approximately $393.4 million as compensation attributable to the post-acquisition service period, of which</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$196.4 million was recognized as a charge to selling, general and administrative expense with the remaining $197.0 million as a charge to research and development expense within our condensed consolidated statements of income </w:t>
      </w:r>
      <w:r>
        <w:rPr>
          <w:rFonts w:ascii="Arial" w:cs="Arial" w:eastAsia="Arial" w:hAnsi="Arial"/>
          <w:sz w:val="18"/>
          <w:szCs w:val="18"/>
          <w:color w:val="auto"/>
        </w:rPr>
        <w:t>for the three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2023</w:t>
      </w:r>
      <w:r>
        <w:rPr>
          <w:rFonts w:ascii="Arial" w:cs="Arial" w:eastAsia="Arial" w:hAnsi="Arial"/>
          <w:sz w:val="18"/>
          <w:szCs w:val="18"/>
          <w:b w:val="1"/>
          <w:bCs w:val="1"/>
          <w:color w:val="auto"/>
        </w:rPr>
        <w:t>. These amounts were associated with the accelerated vesting of stock options and RSUs</w:t>
      </w:r>
      <w:r>
        <w:rPr>
          <w:rFonts w:ascii="Arial" w:cs="Arial" w:eastAsia="Arial" w:hAnsi="Arial"/>
          <w:sz w:val="18"/>
          <w:szCs w:val="18"/>
          <w:color w:val="auto"/>
        </w:rPr>
        <w:t xml:space="preserve"> </w:t>
      </w:r>
      <w:r>
        <w:rPr>
          <w:rFonts w:ascii="Arial" w:cs="Arial" w:eastAsia="Arial" w:hAnsi="Arial"/>
          <w:sz w:val="18"/>
          <w:szCs w:val="18"/>
          <w:b w:val="1"/>
          <w:bCs w:val="1"/>
          <w:color w:val="auto"/>
        </w:rPr>
        <w:t>previously granted to Reata employees and required no future services to vest. Approximately $980.0 million of the $983.9 million payment to the equity award holders was made in October 2023.</w:t>
      </w:r>
    </w:p>
    <w:p>
      <w:pPr>
        <w:spacing w:after="0" w:line="6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We funded this acquisition through available cash, cash equivalents and marketable securities, supplemented by the issuance of a </w:t>
      </w:r>
      <w:r>
        <w:rPr>
          <w:rFonts w:ascii="Arial" w:cs="Arial" w:eastAsia="Arial" w:hAnsi="Arial"/>
          <w:sz w:val="18"/>
          <w:szCs w:val="18"/>
          <w:color w:val="auto"/>
        </w:rPr>
        <w:t xml:space="preserve">$1.0 billion </w:t>
      </w:r>
      <w:r>
        <w:rPr>
          <w:rFonts w:ascii="Arial" w:cs="Arial" w:eastAsia="Arial" w:hAnsi="Arial"/>
          <w:sz w:val="18"/>
          <w:szCs w:val="18"/>
          <w:b w:val="1"/>
          <w:bCs w:val="1"/>
          <w:color w:val="auto"/>
        </w:rPr>
        <w:t>term loan under our term loan credit agreement. For additional information on our term loan credit agreement, please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read </w:t>
      </w:r>
      <w:r>
        <w:rPr>
          <w:rFonts w:ascii="Arial" w:cs="Arial" w:eastAsia="Arial" w:hAnsi="Arial"/>
          <w:sz w:val="18"/>
          <w:szCs w:val="18"/>
          <w:b w:val="1"/>
          <w:bCs w:val="1"/>
          <w:i w:val="1"/>
          <w:iCs w:val="1"/>
          <w:color w:val="auto"/>
        </w:rPr>
        <w:t>Note 13,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to these condensed consolidated financial statements.</w:t>
      </w:r>
    </w:p>
    <w:p>
      <w:pPr>
        <w:spacing w:after="0" w:line="4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We accounted for this acquisition as a business combination using the acquisition method of accounting in accordance with </w:t>
      </w:r>
      <w:r>
        <w:rPr>
          <w:rFonts w:ascii="Arial" w:cs="Arial" w:eastAsia="Arial" w:hAnsi="Arial"/>
          <w:sz w:val="18"/>
          <w:szCs w:val="18"/>
          <w:b w:val="1"/>
          <w:bCs w:val="1"/>
          <w:i w:val="1"/>
          <w:iCs w:val="1"/>
          <w:color w:val="auto"/>
        </w:rPr>
        <w:t>ASC</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Topic 805, Business Combinations</w:t>
      </w:r>
      <w:r>
        <w:rPr>
          <w:rFonts w:ascii="Arial" w:cs="Arial" w:eastAsia="Arial" w:hAnsi="Arial"/>
          <w:sz w:val="18"/>
          <w:szCs w:val="18"/>
          <w:b w:val="1"/>
          <w:bCs w:val="1"/>
          <w:color w:val="auto"/>
        </w:rPr>
        <w:t>, and recorded assets acquired and liabilities assumed at their respective fair values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acquisition date.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Consideration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consideration transferred for the acquisition of Reata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5B7F"/>
              </w:rPr>
              <w:t>As of September 26, 2023</w:t>
            </w:r>
          </w:p>
        </w:tc>
      </w:tr>
      <w:tr>
        <w:trPr>
          <w:trHeight w:val="196"/>
        </w:trPr>
        <w:tc>
          <w:tcPr>
            <w:tcW w:w="8820" w:type="dxa"/>
            <w:vAlign w:val="bottom"/>
            <w:gridSpan w:val="4"/>
          </w:tcPr>
          <w:p>
            <w:pPr>
              <w:ind w:left="20"/>
              <w:spacing w:after="0" w:line="196" w:lineRule="exact"/>
              <w:rPr>
                <w:sz w:val="20"/>
                <w:szCs w:val="20"/>
                <w:color w:val="auto"/>
              </w:rPr>
            </w:pPr>
            <w:r>
              <w:rPr>
                <w:rFonts w:ascii="Arial" w:cs="Arial" w:eastAsia="Arial" w:hAnsi="Arial"/>
                <w:sz w:val="14"/>
                <w:szCs w:val="14"/>
                <w:color w:val="auto"/>
              </w:rPr>
              <w:t>Cash consideration paid to Reata shareholders</w:t>
            </w:r>
            <w:r>
              <w:rPr>
                <w:rFonts w:ascii="Arial" w:cs="Arial" w:eastAsia="Arial" w:hAnsi="Arial"/>
                <w:sz w:val="18"/>
                <w:szCs w:val="18"/>
                <w:color w:val="auto"/>
                <w:vertAlign w:val="superscript"/>
              </w:rPr>
              <w:t>(1)</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5B7F"/>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6,602.9</w:t>
            </w:r>
          </w:p>
        </w:tc>
      </w:tr>
      <w:tr>
        <w:trPr>
          <w:trHeight w:val="203"/>
        </w:trPr>
        <w:tc>
          <w:tcPr>
            <w:tcW w:w="8820" w:type="dxa"/>
            <w:vAlign w:val="bottom"/>
            <w:gridSpan w:val="4"/>
          </w:tcPr>
          <w:p>
            <w:pPr>
              <w:ind w:left="20"/>
              <w:spacing w:after="0" w:line="202" w:lineRule="exact"/>
              <w:rPr>
                <w:sz w:val="20"/>
                <w:szCs w:val="20"/>
                <w:color w:val="auto"/>
              </w:rPr>
            </w:pPr>
            <w:r>
              <w:rPr>
                <w:rFonts w:ascii="Arial" w:cs="Arial" w:eastAsia="Arial" w:hAnsi="Arial"/>
                <w:sz w:val="14"/>
                <w:szCs w:val="14"/>
                <w:color w:val="auto"/>
              </w:rPr>
              <w:t>Fair value of Reata equity compensation pre-acquisition services and related taxes</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590.5</w:t>
            </w:r>
          </w:p>
        </w:tc>
      </w:tr>
      <w:tr>
        <w:trPr>
          <w:trHeight w:val="221"/>
        </w:trPr>
        <w:tc>
          <w:tcPr>
            <w:tcW w:w="40" w:type="dxa"/>
            <w:vAlign w:val="bottom"/>
          </w:tcPr>
          <w:p>
            <w:pPr>
              <w:spacing w:after="0"/>
              <w:rPr>
                <w:sz w:val="18"/>
                <w:szCs w:val="18"/>
                <w:color w:val="auto"/>
              </w:rPr>
            </w:pPr>
          </w:p>
        </w:tc>
        <w:tc>
          <w:tcPr>
            <w:tcW w:w="8780" w:type="dxa"/>
            <w:vAlign w:val="bottom"/>
            <w:gridSpan w:val="3"/>
          </w:tcPr>
          <w:p>
            <w:pPr>
              <w:ind w:left="200"/>
              <w:spacing w:after="0"/>
              <w:rPr>
                <w:sz w:val="20"/>
                <w:szCs w:val="20"/>
                <w:color w:val="auto"/>
              </w:rPr>
            </w:pPr>
            <w:r>
              <w:rPr>
                <w:rFonts w:ascii="Arial" w:cs="Arial" w:eastAsia="Arial" w:hAnsi="Arial"/>
                <w:sz w:val="14"/>
                <w:szCs w:val="14"/>
                <w:color w:val="auto"/>
              </w:rPr>
              <w:t>Total consideration</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005B7F"/>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7,193.4</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Pr>
          <w:p>
            <w:pPr>
              <w:spacing w:after="0"/>
              <w:rPr>
                <w:sz w:val="13"/>
                <w:szCs w:val="13"/>
                <w:color w:val="auto"/>
              </w:rPr>
            </w:pPr>
          </w:p>
        </w:tc>
      </w:tr>
    </w:tbl>
    <w:p>
      <w:pPr>
        <w:spacing w:after="0" w:line="68" w:lineRule="exact"/>
        <w:rPr>
          <w:sz w:val="20"/>
          <w:szCs w:val="20"/>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 xml:space="preserve">Represents cash consideration transferred of </w:t>
      </w:r>
      <w:r>
        <w:rPr>
          <w:rFonts w:ascii="Arial" w:cs="Arial" w:eastAsia="Arial" w:hAnsi="Arial"/>
          <w:sz w:val="14"/>
          <w:szCs w:val="14"/>
          <w:b w:val="1"/>
          <w:bCs w:val="1"/>
          <w:color w:val="auto"/>
        </w:rPr>
        <w:t>$172.50</w:t>
      </w:r>
      <w:r>
        <w:rPr>
          <w:rFonts w:ascii="Arial" w:cs="Arial" w:eastAsia="Arial" w:hAnsi="Arial"/>
          <w:sz w:val="14"/>
          <w:szCs w:val="14"/>
          <w:color w:val="auto"/>
        </w:rPr>
        <w:t xml:space="preserve"> per outstanding Reata ordinary share based on 38.3 million Reata shares outstanding at closing.</w:t>
      </w:r>
    </w:p>
    <w:p>
      <w:pPr>
        <w:spacing w:after="0" w:line="39" w:lineRule="exact"/>
        <w:rPr>
          <w:rFonts w:ascii="Arial" w:cs="Arial" w:eastAsia="Arial" w:hAnsi="Arial"/>
          <w:sz w:val="9"/>
          <w:szCs w:val="9"/>
          <w:color w:val="auto"/>
        </w:rPr>
      </w:pPr>
    </w:p>
    <w:p>
      <w:pPr>
        <w:ind w:left="160" w:hanging="152"/>
        <w:spacing w:after="0"/>
        <w:tabs>
          <w:tab w:leader="none" w:pos="16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the fair value of Reata stock options and stock units issued to Reata equity award holders and the related taxes attributable to pre-acquisition vesting services.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Preliminary Purchase Price Allocation</w:t>
      </w:r>
    </w:p>
    <w:p>
      <w:pPr>
        <w:spacing w:after="0" w:line="126"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The following table summarizes the preliminary purchase price allocation of the separately identifiable assets acquired and liabilities assumed as of September 26, 2023:</w:t>
      </w:r>
    </w:p>
    <w:tbl>
      <w:tblPr>
        <w:tblLayout w:type="fixed"/>
        <w:tblInd w:w="0" w:type="dxa"/>
        <w:tblCellMar>
          <w:top w:w="0" w:type="dxa"/>
          <w:left w:w="0" w:type="dxa"/>
          <w:bottom w:w="0" w:type="dxa"/>
          <w:right w:w="0" w:type="dxa"/>
        </w:tblCellMar>
      </w:tblPr>
      <w:tr>
        <w:trPr>
          <w:trHeight w:val="198"/>
        </w:trPr>
        <w:tc>
          <w:tcPr>
            <w:tcW w:w="8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5B7F"/>
              </w:rPr>
              <w:t>As of September 26, 2023</w:t>
            </w:r>
          </w:p>
        </w:tc>
      </w:tr>
      <w:tr>
        <w:trPr>
          <w:trHeight w:val="184"/>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5B7F"/>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267.3</w:t>
            </w:r>
          </w:p>
        </w:tc>
      </w:tr>
      <w:tr>
        <w:trPr>
          <w:trHeight w:val="20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Accounts receivable</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15.9</w:t>
            </w:r>
          </w:p>
        </w:tc>
      </w:tr>
      <w:tr>
        <w:trPr>
          <w:trHeight w:val="20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Inventory</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1,692.0</w:t>
            </w:r>
          </w:p>
        </w:tc>
      </w:tr>
      <w:tr>
        <w:trPr>
          <w:trHeight w:val="20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Other current assets</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53.6</w:t>
            </w:r>
          </w:p>
        </w:tc>
      </w:tr>
      <w:tr>
        <w:trPr>
          <w:trHeight w:val="20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Intangible assets:</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spacing w:after="0"/>
              <w:rPr>
                <w:sz w:val="17"/>
                <w:szCs w:val="17"/>
                <w:color w:val="auto"/>
              </w:rPr>
            </w:pPr>
          </w:p>
        </w:tc>
      </w:tr>
      <w:tr>
        <w:trPr>
          <w:trHeight w:val="203"/>
        </w:trPr>
        <w:tc>
          <w:tcPr>
            <w:tcW w:w="8820" w:type="dxa"/>
            <w:vAlign w:val="bottom"/>
            <w:gridSpan w:val="3"/>
          </w:tcPr>
          <w:p>
            <w:pPr>
              <w:ind w:left="140"/>
              <w:spacing w:after="0"/>
              <w:rPr>
                <w:sz w:val="20"/>
                <w:szCs w:val="20"/>
                <w:color w:val="auto"/>
              </w:rPr>
            </w:pPr>
            <w:r>
              <w:rPr>
                <w:rFonts w:ascii="Arial" w:cs="Arial" w:eastAsia="Arial" w:hAnsi="Arial"/>
                <w:sz w:val="14"/>
                <w:szCs w:val="14"/>
                <w:color w:val="auto"/>
              </w:rPr>
              <w:t>Completed technology for SKYCLARYS (U.S.)</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3,600.0</w:t>
            </w:r>
          </w:p>
        </w:tc>
      </w:tr>
      <w:tr>
        <w:trPr>
          <w:trHeight w:val="203"/>
        </w:trPr>
        <w:tc>
          <w:tcPr>
            <w:tcW w:w="8820" w:type="dxa"/>
            <w:vAlign w:val="bottom"/>
            <w:gridSpan w:val="3"/>
          </w:tcPr>
          <w:p>
            <w:pPr>
              <w:ind w:left="140"/>
              <w:spacing w:after="0"/>
              <w:rPr>
                <w:sz w:val="20"/>
                <w:szCs w:val="20"/>
                <w:color w:val="auto"/>
              </w:rPr>
            </w:pPr>
            <w:r>
              <w:rPr>
                <w:rFonts w:ascii="Arial" w:cs="Arial" w:eastAsia="Arial" w:hAnsi="Arial"/>
                <w:sz w:val="14"/>
                <w:szCs w:val="14"/>
                <w:color w:val="auto"/>
              </w:rPr>
              <w:t>In-process research and development (omaveloxolone)</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1,900.0</w:t>
            </w:r>
          </w:p>
        </w:tc>
      </w:tr>
      <w:tr>
        <w:trPr>
          <w:trHeight w:val="203"/>
        </w:trPr>
        <w:tc>
          <w:tcPr>
            <w:tcW w:w="8820" w:type="dxa"/>
            <w:vAlign w:val="bottom"/>
            <w:gridSpan w:val="3"/>
          </w:tcPr>
          <w:p>
            <w:pPr>
              <w:ind w:left="140"/>
              <w:spacing w:after="0"/>
              <w:rPr>
                <w:sz w:val="20"/>
                <w:szCs w:val="20"/>
                <w:color w:val="auto"/>
              </w:rPr>
            </w:pPr>
            <w:r>
              <w:rPr>
                <w:rFonts w:ascii="Arial" w:cs="Arial" w:eastAsia="Arial" w:hAnsi="Arial"/>
                <w:sz w:val="14"/>
                <w:szCs w:val="14"/>
                <w:color w:val="auto"/>
              </w:rPr>
              <w:t>Priority review voucher</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100.0</w:t>
            </w:r>
          </w:p>
        </w:tc>
      </w:tr>
      <w:tr>
        <w:trPr>
          <w:trHeight w:val="203"/>
        </w:trPr>
        <w:tc>
          <w:tcPr>
            <w:tcW w:w="8820" w:type="dxa"/>
            <w:vAlign w:val="bottom"/>
            <w:gridSpan w:val="3"/>
          </w:tcPr>
          <w:p>
            <w:pPr>
              <w:ind w:left="140"/>
              <w:spacing w:after="0"/>
              <w:rPr>
                <w:sz w:val="20"/>
                <w:szCs w:val="20"/>
                <w:color w:val="auto"/>
              </w:rPr>
            </w:pPr>
            <w:r>
              <w:rPr>
                <w:rFonts w:ascii="Arial" w:cs="Arial" w:eastAsia="Arial" w:hAnsi="Arial"/>
                <w:sz w:val="14"/>
                <w:szCs w:val="14"/>
                <w:color w:val="auto"/>
              </w:rPr>
              <w:t>Other clinical programs</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20.0</w:t>
            </w:r>
          </w:p>
        </w:tc>
      </w:tr>
      <w:tr>
        <w:trPr>
          <w:trHeight w:val="20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Operating lease assets</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122.4</w:t>
            </w:r>
          </w:p>
        </w:tc>
      </w:tr>
      <w:tr>
        <w:trPr>
          <w:trHeight w:val="20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Accrued expense and other</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(98.9)</w:t>
            </w:r>
          </w:p>
        </w:tc>
      </w:tr>
      <w:tr>
        <w:trPr>
          <w:trHeight w:val="20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Debt payable</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(159.9)</w:t>
            </w:r>
          </w:p>
        </w:tc>
      </w:tr>
      <w:tr>
        <w:trPr>
          <w:trHeight w:val="22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Contingent payable to Blackstone</w:t>
            </w:r>
            <w:r>
              <w:rPr>
                <w:rFonts w:ascii="Arial" w:cs="Arial" w:eastAsia="Arial" w:hAnsi="Arial"/>
                <w:sz w:val="18"/>
                <w:szCs w:val="18"/>
                <w:color w:val="auto"/>
                <w:vertAlign w:val="superscript"/>
              </w:rPr>
              <w:t>(1)</w:t>
            </w:r>
          </w:p>
        </w:tc>
        <w:tc>
          <w:tcPr>
            <w:tcW w:w="220" w:type="dxa"/>
            <w:vAlign w:val="bottom"/>
            <w:shd w:val="clear" w:color="auto" w:fill="DBDBDB"/>
          </w:tcPr>
          <w:p>
            <w:pPr>
              <w:spacing w:after="0"/>
              <w:rPr>
                <w:sz w:val="19"/>
                <w:szCs w:val="19"/>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(300.0)</w:t>
            </w:r>
          </w:p>
        </w:tc>
      </w:tr>
      <w:tr>
        <w:trPr>
          <w:trHeight w:val="182"/>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Deferred tax liability</w:t>
            </w:r>
          </w:p>
        </w:tc>
        <w:tc>
          <w:tcPr>
            <w:tcW w:w="220" w:type="dxa"/>
            <w:vAlign w:val="bottom"/>
            <w:shd w:val="clear" w:color="auto" w:fill="DBDBDB"/>
          </w:tcPr>
          <w:p>
            <w:pPr>
              <w:spacing w:after="0"/>
              <w:rPr>
                <w:sz w:val="15"/>
                <w:szCs w:val="15"/>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(922.5)</w:t>
            </w:r>
          </w:p>
        </w:tc>
      </w:tr>
      <w:tr>
        <w:trPr>
          <w:trHeight w:val="203"/>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DBDBDB"/>
          </w:tcPr>
          <w:p>
            <w:pPr>
              <w:spacing w:after="0"/>
              <w:rPr>
                <w:sz w:val="17"/>
                <w:szCs w:val="17"/>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(151.8)</w:t>
            </w:r>
          </w:p>
        </w:tc>
      </w:tr>
      <w:tr>
        <w:trPr>
          <w:trHeight w:val="209"/>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Other assets and liabilities, net</w:t>
            </w:r>
          </w:p>
        </w:tc>
        <w:tc>
          <w:tcPr>
            <w:tcW w:w="22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(2.0)</w:t>
            </w:r>
          </w:p>
        </w:tc>
      </w:tr>
      <w:tr>
        <w:trPr>
          <w:trHeight w:val="190"/>
        </w:trPr>
        <w:tc>
          <w:tcPr>
            <w:tcW w:w="8820" w:type="dxa"/>
            <w:vAlign w:val="bottom"/>
            <w:gridSpan w:val="3"/>
          </w:tcPr>
          <w:p>
            <w:pPr>
              <w:ind w:left="240"/>
              <w:spacing w:after="0"/>
              <w:rPr>
                <w:sz w:val="20"/>
                <w:szCs w:val="20"/>
                <w:color w:val="auto"/>
              </w:rPr>
            </w:pPr>
            <w:r>
              <w:rPr>
                <w:rFonts w:ascii="Arial" w:cs="Arial" w:eastAsia="Arial" w:hAnsi="Arial"/>
                <w:sz w:val="14"/>
                <w:szCs w:val="14"/>
                <w:color w:val="auto"/>
              </w:rPr>
              <w:t>Total identifiable net assets</w:t>
            </w:r>
          </w:p>
        </w:tc>
        <w:tc>
          <w:tcPr>
            <w:tcW w:w="220" w:type="dxa"/>
            <w:vAlign w:val="bottom"/>
            <w:shd w:val="clear" w:color="auto" w:fill="DBDBDB"/>
          </w:tcPr>
          <w:p>
            <w:pPr>
              <w:spacing w:after="0"/>
              <w:rPr>
                <w:sz w:val="16"/>
                <w:szCs w:val="16"/>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6,136.1</w:t>
            </w:r>
          </w:p>
        </w:tc>
      </w:tr>
      <w:tr>
        <w:trPr>
          <w:trHeight w:val="208"/>
        </w:trPr>
        <w:tc>
          <w:tcPr>
            <w:tcW w:w="8820" w:type="dxa"/>
            <w:vAlign w:val="bottom"/>
            <w:gridSpan w:val="3"/>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auto"/>
            </w:tcBorders>
            <w:shd w:val="clear" w:color="auto" w:fill="DBDBDB"/>
          </w:tcPr>
          <w:p>
            <w:pPr>
              <w:spacing w:after="0"/>
              <w:rPr>
                <w:sz w:val="18"/>
                <w:szCs w:val="18"/>
                <w:color w:val="auto"/>
              </w:rPr>
            </w:pP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1,057.3</w:t>
            </w:r>
          </w:p>
        </w:tc>
      </w:tr>
      <w:tr>
        <w:trPr>
          <w:trHeight w:val="227"/>
        </w:trPr>
        <w:tc>
          <w:tcPr>
            <w:tcW w:w="8820" w:type="dxa"/>
            <w:vAlign w:val="bottom"/>
            <w:gridSpan w:val="3"/>
          </w:tcPr>
          <w:p>
            <w:pPr>
              <w:ind w:left="240"/>
              <w:spacing w:after="0"/>
              <w:rPr>
                <w:sz w:val="20"/>
                <w:szCs w:val="20"/>
                <w:color w:val="auto"/>
              </w:rPr>
            </w:pPr>
            <w:r>
              <w:rPr>
                <w:rFonts w:ascii="Arial" w:cs="Arial" w:eastAsia="Arial" w:hAnsi="Arial"/>
                <w:sz w:val="14"/>
                <w:szCs w:val="14"/>
                <w:color w:val="auto"/>
              </w:rPr>
              <w:t>Total assets acquired and liabilities assumed</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005B7F"/>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7,193.4</w:t>
            </w:r>
          </w:p>
        </w:tc>
      </w:tr>
      <w:tr>
        <w:trPr>
          <w:trHeight w:val="20"/>
        </w:trPr>
        <w:tc>
          <w:tcPr>
            <w:tcW w:w="3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r>
        <w:trPr>
          <w:trHeight w:val="136"/>
        </w:trPr>
        <w:tc>
          <w:tcPr>
            <w:tcW w:w="380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r>
    </w:tbl>
    <w:p>
      <w:pPr>
        <w:spacing w:after="0" w:line="99" w:lineRule="exact"/>
        <w:rPr>
          <w:sz w:val="20"/>
          <w:szCs w:val="20"/>
          <w:color w:val="auto"/>
        </w:rPr>
      </w:pPr>
    </w:p>
    <w:p>
      <w:pPr>
        <w:ind w:right="260" w:firstLine="8"/>
        <w:spacing w:after="0" w:line="299" w:lineRule="auto"/>
        <w:tabs>
          <w:tab w:leader="none" w:pos="154" w:val="left"/>
        </w:tabs>
        <w:numPr>
          <w:ilvl w:val="0"/>
          <w:numId w:val="7"/>
        </w:numPr>
        <w:rPr>
          <w:rFonts w:ascii="Arial" w:cs="Arial" w:eastAsia="Arial" w:hAnsi="Arial"/>
          <w:sz w:val="9"/>
          <w:szCs w:val="9"/>
          <w:color w:val="auto"/>
        </w:rPr>
      </w:pPr>
      <w:r>
        <w:rPr>
          <w:rFonts w:ascii="Arial" w:cs="Arial" w:eastAsia="Arial" w:hAnsi="Arial"/>
          <w:sz w:val="14"/>
          <w:szCs w:val="14"/>
          <w:color w:val="auto"/>
        </w:rPr>
        <w:t xml:space="preserve">For additional information on the contingent payable to Blackstone, please read </w:t>
      </w:r>
      <w:r>
        <w:rPr>
          <w:rFonts w:ascii="Arial" w:cs="Arial" w:eastAsia="Arial" w:hAnsi="Arial"/>
          <w:sz w:val="14"/>
          <w:szCs w:val="14"/>
          <w:i w:val="1"/>
          <w:iCs w:val="1"/>
          <w:color w:val="auto"/>
        </w:rPr>
        <w:t>Note 18, Other Consolidated Financial Statement Detail</w:t>
      </w:r>
      <w:r>
        <w:rPr>
          <w:rFonts w:ascii="Arial" w:cs="Arial" w:eastAsia="Arial" w:hAnsi="Arial"/>
          <w:sz w:val="14"/>
          <w:szCs w:val="14"/>
          <w:color w:val="auto"/>
        </w:rPr>
        <w:t>, to these condensed consolidated financial statements.</w:t>
      </w:r>
    </w:p>
    <w:p>
      <w:pPr>
        <w:spacing w:after="0" w:line="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0070C0"/>
        </w:rPr>
        <w:t xml:space="preserve">Inventory: </w:t>
      </w:r>
      <w:r>
        <w:rPr>
          <w:rFonts w:ascii="Arial" w:cs="Arial" w:eastAsia="Arial" w:hAnsi="Arial"/>
          <w:sz w:val="18"/>
          <w:szCs w:val="18"/>
          <w:color w:val="000000"/>
        </w:rPr>
        <w:t>Total inventory acquired was approximately $1.7 billion, which reflects a step-up in the fair value of finished goods and work-in-process inventory for SKYCLARYS. The fair value was determined based on the estimated selling price of the inventory, less the remaining manufacturing and selling costs and a normal profit margin on those manufacturing and selling efforts. This fair value step-up adjustment will be amortized to cost of sales within our condensed consolidated statements of income when the inventory is sold, which is expected to be within approximately 3 years from the acquisition date.</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0070C0"/>
        </w:rPr>
        <w:t xml:space="preserve">Intangible assets: </w:t>
      </w:r>
      <w:r>
        <w:rPr>
          <w:rFonts w:ascii="Arial" w:cs="Arial" w:eastAsia="Arial" w:hAnsi="Arial"/>
          <w:sz w:val="18"/>
          <w:szCs w:val="18"/>
          <w:color w:val="000000"/>
        </w:rPr>
        <w:t>Intangible assets are comprised of $3.6 billion related to SKYCLARYS commercialization rights in the U.S., $ 1.9 billion of</w:t>
      </w:r>
      <w:r>
        <w:rPr>
          <w:rFonts w:ascii="Arial" w:cs="Arial" w:eastAsia="Arial" w:hAnsi="Arial"/>
          <w:sz w:val="18"/>
          <w:szCs w:val="18"/>
          <w:b w:val="1"/>
          <w:bCs w:val="1"/>
          <w:color w:val="0070C0"/>
        </w:rPr>
        <w:t xml:space="preserve"> </w:t>
      </w:r>
      <w:r>
        <w:rPr>
          <w:rFonts w:ascii="Arial" w:cs="Arial" w:eastAsia="Arial" w:hAnsi="Arial"/>
          <w:sz w:val="18"/>
          <w:szCs w:val="18"/>
          <w:color w:val="000000"/>
        </w:rPr>
        <w:t>IPR&amp;D related to the omaveloxolone program outside the U.S., $100.0 million related to a rare pediatric disease priority voucher which may be used to obtain priority review by the FDA for a future regulatory submission or sold to a third party and $20.0 million related to other clinical programs. The estimated fair values of the program related intangible assets were determined using a probability adjusted discounted cash flow analysis approach utilizing a discount rate of 17.0% and the estimated fair value of the priority review voucher was based on recent external purchase and sale transactions of similar vouchers.</w:t>
      </w:r>
    </w:p>
    <w:p>
      <w:pPr>
        <w:spacing w:after="0" w:line="8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more significant assumptions utilized in our asset valuations included the estimated net cash flows for each year for each asset or product, including net revenue, cost of sales, research and development and other operating expense, the potential regulatory and commercial success risks, competitive trends impacting the asset and each cash flow stream as well as other factors. Our valuation of the SKYCLARYS commercialization rights reflects the assumption that, using an economic consumption model, the related $3.6 billion intangible asset will be amortized over its expected economic life. Our valuation of the $1.9 billion IPR&amp;D asset related to omaveloxolone, which has been submitted to the EMA and is currently under review, reflects the assumption that, if regulatory approval is obtained, sales would commence in certain countries in Europe during 2024.</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51"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These fair value measurements were based on significant inputs not observable in the market and thus represent Level 3 fair value measurements.</w:t>
      </w:r>
    </w:p>
    <w:p>
      <w:pPr>
        <w:spacing w:after="0" w:line="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0070C0"/>
        </w:rPr>
        <w:t xml:space="preserve">Leases: </w:t>
      </w:r>
      <w:r>
        <w:rPr>
          <w:rFonts w:ascii="Arial" w:cs="Arial" w:eastAsia="Arial" w:hAnsi="Arial"/>
          <w:sz w:val="18"/>
          <w:szCs w:val="18"/>
          <w:color w:val="000000"/>
        </w:rPr>
        <w:t>We assumed responsibility for a single-tenant, build-to-suit building of approximately 327,400 square feet of office and laboratory</w:t>
      </w:r>
      <w:r>
        <w:rPr>
          <w:rFonts w:ascii="Arial" w:cs="Arial" w:eastAsia="Arial" w:hAnsi="Arial"/>
          <w:sz w:val="18"/>
          <w:szCs w:val="18"/>
          <w:b w:val="1"/>
          <w:bCs w:val="1"/>
          <w:color w:val="0070C0"/>
        </w:rPr>
        <w:t xml:space="preserve"> </w:t>
      </w:r>
      <w:r>
        <w:rPr>
          <w:rFonts w:ascii="Arial" w:cs="Arial" w:eastAsia="Arial" w:hAnsi="Arial"/>
          <w:sz w:val="18"/>
          <w:szCs w:val="18"/>
          <w:color w:val="000000"/>
        </w:rPr>
        <w:t>space located in Plano, Texas, with an initial lease term of 16 years. We recorded a lease liability of approximately $151.8 million, which represents the net present value of rental expense over the remaining lease term of approximately 15 years, with a corresponding right-of-use asset of approximately $122.4 million, which represents our estimate of the fair value for a market participant of the current rental market in the Dallas, Texas area. Included in our estimate of the market rental rate is the value of any leasehold improvements or tenant allowances related to the building. We do not intend to occupy this building and are evaluating opportunities to sublease the property.</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0070C0"/>
        </w:rPr>
        <w:t xml:space="preserve">Goodwill: </w:t>
      </w:r>
      <w:r>
        <w:rPr>
          <w:rFonts w:ascii="Arial" w:cs="Arial" w:eastAsia="Arial" w:hAnsi="Arial"/>
          <w:sz w:val="18"/>
          <w:szCs w:val="18"/>
          <w:color w:val="000000"/>
        </w:rPr>
        <w:t>Goodwill was calculated as the excess of the consideration transferred over the net assets recognized and represents the future</w:t>
      </w:r>
      <w:r>
        <w:rPr>
          <w:rFonts w:ascii="Arial" w:cs="Arial" w:eastAsia="Arial" w:hAnsi="Arial"/>
          <w:sz w:val="18"/>
          <w:szCs w:val="18"/>
          <w:b w:val="1"/>
          <w:bCs w:val="1"/>
          <w:color w:val="0070C0"/>
        </w:rPr>
        <w:t xml:space="preserve"> </w:t>
      </w:r>
      <w:r>
        <w:rPr>
          <w:rFonts w:ascii="Arial" w:cs="Arial" w:eastAsia="Arial" w:hAnsi="Arial"/>
          <w:sz w:val="18"/>
          <w:szCs w:val="18"/>
          <w:color w:val="000000"/>
        </w:rPr>
        <w:t>economic benefits arising from the other assets acquired that could not be individually identified and separately recognized. We recognized goodwill of approximately $1.1 billion, which is not deductible for tax purposes. The goodwill recognized from our acquisition of Reata is primarily the result of the deferred tax consequences from the transaction recorded for financial statement purposes.</w:t>
      </w:r>
    </w:p>
    <w:p>
      <w:pPr>
        <w:spacing w:after="0" w:line="68"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color w:val="0070C0"/>
        </w:rPr>
        <w:t xml:space="preserve">Acquisition-related expenses: </w:t>
      </w:r>
      <w:r>
        <w:rPr>
          <w:rFonts w:ascii="Arial" w:cs="Arial" w:eastAsia="Arial" w:hAnsi="Arial"/>
          <w:sz w:val="18"/>
          <w:szCs w:val="18"/>
          <w:color w:val="000000"/>
        </w:rPr>
        <w:t>Acquisition-related expenses, which were comprised primarily of regulatory, advisory and legal fees, and</w:t>
      </w:r>
      <w:r>
        <w:rPr>
          <w:rFonts w:ascii="Arial" w:cs="Arial" w:eastAsia="Arial" w:hAnsi="Arial"/>
          <w:sz w:val="18"/>
          <w:szCs w:val="18"/>
          <w:b w:val="1"/>
          <w:bCs w:val="1"/>
          <w:color w:val="0070C0"/>
        </w:rPr>
        <w:t xml:space="preserve"> </w:t>
      </w:r>
      <w:r>
        <w:rPr>
          <w:rFonts w:ascii="Arial" w:cs="Arial" w:eastAsia="Arial" w:hAnsi="Arial"/>
          <w:sz w:val="18"/>
          <w:szCs w:val="18"/>
          <w:color w:val="000000"/>
        </w:rPr>
        <w:t>other transaction costs, totaled approximately $26.3 million and are included within selling, general and administrative expense within our condensed consolidated statements of income for the three and nine months ended September 30, 2023.</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Assumptions in the Allocations of Purchase Price</w:t>
      </w:r>
    </w:p>
    <w:p>
      <w:pPr>
        <w:spacing w:after="0" w:line="1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he results of operations of Reata, along with the estimated fair values of the assets acquired and liabilities assumed in the Reata</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have been included in our condensed consolidated financial statements since the closing of the Reata acquisition on September 26, 2023.</w:t>
      </w:r>
    </w:p>
    <w:p>
      <w:pPr>
        <w:spacing w:after="0" w:line="7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preliminary estimate of the fair value of the specifically identifiable assets acquired and liabilities assumed as of the date of acquisition is subject to the finalization of management's analysis related to certain matters, such as finalizing our assessment of intangible assets, inventory, goodwill, leases and income taxes. The final determination of these fair values will be completed as additional information becomes available but no later than one year from the acquisition date. The final determination may result in asset and liability fair values that are different than the preliminary estimates.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Subsequent to the acquisition date, our results of operations include the results of operations of Reata. The Reata operations had an immaterial impact to our results of operations for the three and nine months ended September 30, 2023, given the proximity of the acquisition date to quarter-end. Due to the immateriality of Reata's revenues and expenses, additional pro forma information combining the results of operations of Biogen and Reata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96925"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8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3:</w:t>
      </w:r>
      <w:r>
        <w:rPr>
          <w:sz w:val="20"/>
          <w:szCs w:val="20"/>
          <w:color w:val="auto"/>
        </w:rPr>
        <w:tab/>
      </w:r>
      <w:r>
        <w:rPr>
          <w:rFonts w:ascii="Arial" w:cs="Arial" w:eastAsia="Arial" w:hAnsi="Arial"/>
          <w:sz w:val="21"/>
          <w:szCs w:val="21"/>
          <w:b w:val="1"/>
          <w:bCs w:val="1"/>
          <w:color w:val="0070C0"/>
        </w:rPr>
        <w:t>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31750</wp:posOffset>
            </wp:positionV>
            <wp:extent cx="6026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Sale of Joint Venture Equity Interest in Samsung Bioepis</w:t>
      </w:r>
    </w:p>
    <w:p>
      <w:pPr>
        <w:spacing w:after="0" w:line="19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in exchange for total consideration of approximately $2.3 billion. Under the terms of this transaction, we received approximately $1.0 billion in cash at closing, with approximately $ 1.3 billion in cash to be deferred over two payments. The first deferred payment of $812.5 million was received in April 2023 and the second deferred payment of $437.5 million is due at the second anniversary of the closing of this transaction in April 2024.</w:t>
      </w:r>
    </w:p>
    <w:p>
      <w:pPr>
        <w:spacing w:after="0" w:line="8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Prior to the sale, the carrying value of our investment in Samsung Bioepis totaled $581.6 million. During the second quarter of 2022 we recognized a pre-tax gain of approximately $1.5 billion related to this transaction, which was recorded in other (income) expense, net in our condensed consolidated statements of income for the nine months ended September 30, 2022. This pre-tax gain included reclassifications from AOCI to net income of approximately $58.9 million in cumulative translation losses, partially offset by approximately $57.0 million in gains resulting from the termination of our net investment hedge.</w:t>
      </w:r>
    </w:p>
    <w:p>
      <w:pPr>
        <w:spacing w:after="0" w:line="7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elected the fair value option and measured the payments due to us from Samsung BioLogics at fair value. As of September 30, 2023, the estimated fair value of the remaining second deferred payment using a risk-adjusted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8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discount rate of 6.4% was approximately $ 422.3 million. This payment has been classified as a Level 3 measurement and is reflected in other current assets within our condensed consolidated balance sheets as of September 30, 2023.</w:t>
      </w:r>
    </w:p>
    <w:p>
      <w:pPr>
        <w:spacing w:after="0" w:line="65"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For the nine months ended September 30, 2023, we recognized a gain of approximately $13.7 million to reflect the change in fair value related to the first deferred payment due to us, which was received in April 2023. Additionally, for the three and nine months ended September 30, 2023, we recognized gains of approximately $7.1 million and $16.9 million, respectively, to reflect the changes in fair value related to the second deferred payment due to us. These changes were recorded in other (income) expense, net in our condensed consolidated statements of income.</w:t>
      </w:r>
    </w:p>
    <w:p>
      <w:pPr>
        <w:spacing w:after="0" w:line="8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part of this transaction, we are also eligible to receive up to an additional $50.0 million upon the achievement of certain commercial milestones. Our policy for contingent payments of this nature is to recognize the payments in the period the payments become realizable, which is generally the same period in which the payments are earned.</w:t>
      </w:r>
    </w:p>
    <w:p>
      <w:pPr>
        <w:spacing w:after="0" w:line="70"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 in our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96925" cy="342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4:</w:t>
      </w:r>
      <w:r>
        <w:rPr>
          <w:sz w:val="20"/>
          <w:szCs w:val="20"/>
          <w:color w:val="auto"/>
        </w:rPr>
        <w:tab/>
      </w:r>
      <w:r>
        <w:rPr>
          <w:rFonts w:ascii="Arial" w:cs="Arial" w:eastAsia="Arial" w:hAnsi="Arial"/>
          <w:sz w:val="21"/>
          <w:szCs w:val="21"/>
          <w:b w:val="1"/>
          <w:bCs w:val="1"/>
          <w:color w:val="0070C0"/>
        </w:rPr>
        <w:t>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2023 Fit for Growth Restructuring Program</w:t>
      </w:r>
    </w:p>
    <w:p>
      <w:pPr>
        <w:spacing w:after="0" w:line="13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2023 we initiated additional cost saving measures as part of our Fit for Growth program to reduce operating costs, while improving operating efficiency and effectiveness. The Fit for Growth program is expected to generate approximately $1.0 billion in gross operating expense savings by 2025, some of which will be reinvested in various initiatives. The Fit for Growth program is currently estimated to include net headcount reduction of approximately 1,000 employees.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cost saving initiatives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7"/>
          </w:tcPr>
          <w:p>
            <w:pPr>
              <w:jc w:val="center"/>
              <w:ind w:right="108"/>
              <w:spacing w:after="0"/>
              <w:rPr>
                <w:sz w:val="20"/>
                <w:szCs w:val="20"/>
                <w:color w:val="auto"/>
              </w:rPr>
            </w:pPr>
            <w:r>
              <w:rPr>
                <w:rFonts w:ascii="Arial" w:cs="Arial" w:eastAsia="Arial" w:hAnsi="Arial"/>
                <w:sz w:val="14"/>
                <w:szCs w:val="14"/>
                <w:b w:val="1"/>
                <w:bCs w:val="1"/>
                <w:color w:val="auto"/>
              </w:rPr>
              <w:t>For the Three Months Ended September 30, 2023</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7"/>
          </w:tcPr>
          <w:p>
            <w:pPr>
              <w:jc w:val="center"/>
              <w:ind w:right="188"/>
              <w:spacing w:after="0"/>
              <w:rPr>
                <w:sz w:val="20"/>
                <w:szCs w:val="20"/>
                <w:color w:val="auto"/>
              </w:rPr>
            </w:pPr>
            <w:r>
              <w:rPr>
                <w:rFonts w:ascii="Arial" w:cs="Arial" w:eastAsia="Arial" w:hAnsi="Arial"/>
                <w:sz w:val="14"/>
                <w:szCs w:val="14"/>
                <w:b w:val="1"/>
                <w:bCs w:val="1"/>
                <w:color w:val="auto"/>
              </w:rPr>
              <w:t>For the Nine Months Ended September 30, 2023</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28"/>
              <w:spacing w:after="0" w:line="143" w:lineRule="exact"/>
              <w:rPr>
                <w:sz w:val="20"/>
                <w:szCs w:val="20"/>
                <w:color w:val="auto"/>
              </w:rPr>
            </w:pPr>
            <w:r>
              <w:rPr>
                <w:rFonts w:ascii="Arial" w:cs="Arial" w:eastAsia="Arial" w:hAnsi="Arial"/>
                <w:sz w:val="14"/>
                <w:szCs w:val="14"/>
                <w:b w:val="1"/>
                <w:bCs w:val="1"/>
                <w:color w:val="auto"/>
              </w:rPr>
              <w:t>Accelerated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Depreciation and</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Severance Costs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Other Costs</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5.9</w:t>
            </w:r>
          </w:p>
        </w:tc>
        <w:tc>
          <w:tcPr>
            <w:tcW w:w="80" w:type="dxa"/>
            <w:vAlign w:val="bottom"/>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26DCE"/>
              </w:rPr>
              <w:t>$</w:t>
            </w: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5.9</w:t>
            </w:r>
          </w:p>
        </w:tc>
        <w:tc>
          <w:tcPr>
            <w:tcW w:w="80" w:type="dxa"/>
            <w:vAlign w:val="bottom"/>
          </w:tcPr>
          <w:p>
            <w:pPr>
              <w:spacing w:after="0"/>
              <w:rPr>
                <w:sz w:val="16"/>
                <w:szCs w:val="16"/>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80" w:type="dxa"/>
            <w:vAlign w:val="bottom"/>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17.4</w:t>
            </w:r>
          </w:p>
        </w:tc>
        <w:tc>
          <w:tcPr>
            <w:tcW w:w="100" w:type="dxa"/>
            <w:vAlign w:val="bottom"/>
          </w:tcPr>
          <w:p>
            <w:pPr>
              <w:spacing w:after="0"/>
              <w:rPr>
                <w:sz w:val="16"/>
                <w:szCs w:val="16"/>
                <w:color w:val="auto"/>
              </w:rPr>
            </w:pPr>
          </w:p>
        </w:tc>
        <w:tc>
          <w:tcPr>
            <w:tcW w:w="2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w w:val="76"/>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17.4</w:t>
            </w:r>
          </w:p>
        </w:tc>
        <w:tc>
          <w:tcPr>
            <w:tcW w:w="0" w:type="dxa"/>
            <w:vAlign w:val="bottom"/>
          </w:tcPr>
          <w:p>
            <w:pPr>
              <w:spacing w:after="0"/>
              <w:rPr>
                <w:sz w:val="1"/>
                <w:szCs w:val="1"/>
                <w:color w:val="auto"/>
              </w:rPr>
            </w:pPr>
          </w:p>
        </w:tc>
      </w:tr>
      <w:tr>
        <w:trPr>
          <w:trHeight w:val="202"/>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0.2</w:t>
            </w:r>
          </w:p>
        </w:tc>
        <w:tc>
          <w:tcPr>
            <w:tcW w:w="8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0.2</w:t>
            </w:r>
          </w:p>
        </w:tc>
        <w:tc>
          <w:tcPr>
            <w:tcW w:w="8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8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10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0" w:type="dxa"/>
            <w:vAlign w:val="bottom"/>
          </w:tcPr>
          <w:p>
            <w:pPr>
              <w:spacing w:after="0"/>
              <w:rPr>
                <w:sz w:val="1"/>
                <w:szCs w:val="1"/>
                <w:color w:val="auto"/>
              </w:rPr>
            </w:pPr>
          </w:p>
        </w:tc>
      </w:tr>
      <w:tr>
        <w:trPr>
          <w:trHeight w:val="208"/>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37.7</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17.3</w:t>
            </w:r>
          </w:p>
        </w:tc>
        <w:tc>
          <w:tcPr>
            <w:tcW w:w="80" w:type="dxa"/>
            <w:vAlign w:val="bottom"/>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55.0</w:t>
            </w:r>
          </w:p>
        </w:tc>
        <w:tc>
          <w:tcPr>
            <w:tcW w:w="80" w:type="dxa"/>
            <w:vAlign w:val="bottom"/>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62.6</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33.8</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96.4</w:t>
            </w:r>
          </w:p>
        </w:tc>
        <w:tc>
          <w:tcPr>
            <w:tcW w:w="0" w:type="dxa"/>
            <w:vAlign w:val="bottom"/>
          </w:tcPr>
          <w:p>
            <w:pPr>
              <w:spacing w:after="0"/>
              <w:rPr>
                <w:sz w:val="1"/>
                <w:szCs w:val="1"/>
                <w:color w:val="auto"/>
              </w:rPr>
            </w:pPr>
          </w:p>
        </w:tc>
      </w:tr>
      <w:tr>
        <w:trPr>
          <w:trHeight w:val="227"/>
        </w:trPr>
        <w:tc>
          <w:tcPr>
            <w:tcW w:w="308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37.7</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23.4</w:t>
            </w:r>
          </w:p>
        </w:tc>
        <w:tc>
          <w:tcPr>
            <w:tcW w:w="80" w:type="dxa"/>
            <w:vAlign w:val="bottom"/>
          </w:tcPr>
          <w:p>
            <w:pPr>
              <w:spacing w:after="0"/>
              <w:rPr>
                <w:sz w:val="19"/>
                <w:szCs w:val="19"/>
                <w:color w:val="auto"/>
              </w:rPr>
            </w:pPr>
          </w:p>
        </w:tc>
        <w:tc>
          <w:tcPr>
            <w:tcW w:w="2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70C0"/>
              </w:rPr>
              <w:t>$</w:t>
            </w:r>
          </w:p>
        </w:tc>
        <w:tc>
          <w:tcPr>
            <w:tcW w:w="9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61.1</w:t>
            </w:r>
          </w:p>
        </w:tc>
        <w:tc>
          <w:tcPr>
            <w:tcW w:w="80" w:type="dxa"/>
            <w:vAlign w:val="bottom"/>
          </w:tcPr>
          <w:p>
            <w:pPr>
              <w:spacing w:after="0"/>
              <w:rPr>
                <w:sz w:val="19"/>
                <w:szCs w:val="19"/>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0070C0"/>
              </w:rPr>
              <w:t>$</w:t>
            </w: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62.6</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51.9</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70C0"/>
                <w:w w:val="76"/>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114.5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Reata Integration</w:t>
      </w:r>
    </w:p>
    <w:p>
      <w:pPr>
        <w:spacing w:after="0" w:line="13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Following the closing of the Reata acquisition, we implemented an integration plan designed to realize operating synergies through cost savings and avoidance. We expect to incur restructuring charges of approximately $30.0 million in 2023. These amounts are primarily related to severance and are expected to be paid by the end of 2024. For the three and nine months ended September 30, 2023, we recognized approximately $21.0 million of net pre-tax restructuring charges, primarily consisting of employee severance costs.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2022 Cost Saving Initiatives</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December 2021 and May 2022 we announced our plans to implement a series of cost-reduction measures during 2022. These savings are being achieved through a number of initiatives, including reductions to our workforce, the substantial elimination of our commercial ADUHELM infrastructure, deprioritization of certain research and development programs, the consolidation of certain real estate locations and operating efficiencies across our selling, general and administrative and research and development functions. Charges related to our 2022 cost saving initiatives were substantially incurred during 2022 with remaining payments expected to be made through 2026.</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2022 cost saving initiatives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gridSpan w:val="12"/>
          </w:tcPr>
          <w:p>
            <w:pPr>
              <w:jc w:val="center"/>
              <w:ind w:right="220"/>
              <w:spacing w:after="0"/>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right w:val="single" w:sz="8" w:color="DBDBDB"/>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 Costs</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20" w:type="dxa"/>
            <w:vAlign w:val="bottom"/>
            <w:tcBorders>
              <w:bottom w:val="single" w:sz="8" w:color="auto"/>
            </w:tcBorders>
            <w:shd w:val="clear" w:color="auto" w:fill="DBDBDB"/>
          </w:tcPr>
          <w:p>
            <w:pPr>
              <w:ind w:left="820"/>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68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22"/>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20" w:type="dxa"/>
            <w:vAlign w:val="bottom"/>
            <w:tcBorders>
              <w:bottom w:val="single" w:sz="8" w:color="auto"/>
            </w:tcBorders>
            <w:shd w:val="clear" w:color="auto" w:fill="DBDBDB"/>
          </w:tcPr>
          <w:p>
            <w:pPr>
              <w:ind w:left="82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8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1"/>
          </w:tcPr>
          <w:p>
            <w:pPr>
              <w:jc w:val="center"/>
              <w:ind w:right="1420"/>
              <w:spacing w:after="0"/>
              <w:rPr>
                <w:sz w:val="20"/>
                <w:szCs w:val="20"/>
                <w:color w:val="auto"/>
              </w:rPr>
            </w:pPr>
            <w:r>
              <w:rPr>
                <w:rFonts w:ascii="Arial" w:cs="Arial" w:eastAsia="Arial" w:hAnsi="Arial"/>
                <w:sz w:val="14"/>
                <w:szCs w:val="14"/>
                <w:color w:val="auto"/>
              </w:rPr>
              <w:t>For the Nine Months Ended September 30,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right w:val="single" w:sz="8" w:color="DBDBDB"/>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 Costs</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20" w:type="dxa"/>
            <w:vAlign w:val="bottom"/>
            <w:tcBorders>
              <w:bottom w:val="single" w:sz="8" w:color="auto"/>
            </w:tcBorders>
            <w:shd w:val="clear" w:color="auto" w:fill="DBDBDB"/>
          </w:tcPr>
          <w:p>
            <w:pPr>
              <w:ind w:left="820"/>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4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2.6</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68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22"/>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20" w:type="dxa"/>
            <w:vAlign w:val="bottom"/>
            <w:shd w:val="clear" w:color="auto" w:fill="DBDBDB"/>
          </w:tcPr>
          <w:p>
            <w:pPr>
              <w:ind w:left="82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4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8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120015</wp:posOffset>
            </wp:positionV>
            <wp:extent cx="24085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72" w:lineRule="exact"/>
        <w:rPr>
          <w:sz w:val="20"/>
          <w:szCs w:val="20"/>
          <w:color w:val="auto"/>
        </w:rPr>
      </w:pPr>
    </w:p>
    <w:p>
      <w:pPr>
        <w:ind w:right="120" w:firstLine="8"/>
        <w:spacing w:after="0"/>
        <w:tabs>
          <w:tab w:leader="none" w:pos="154"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Amounts reflect a gain recorded during the third quarter of 2022 of approximately $5.3 million related to the partial termination of a portion of our lease located at 300 Binney Street.</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Charges and spending related to our 2023 and 2022 workforce reductions and Reata Integration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Workforce Reductions</w:t>
            </w:r>
          </w:p>
        </w:tc>
        <w:tc>
          <w:tcPr>
            <w:tcW w:w="1040" w:type="dxa"/>
            <w:vAlign w:val="bottom"/>
            <w:tcBorders>
              <w:bottom w:val="single" w:sz="8" w:color="auto"/>
            </w:tcBorders>
          </w:tcPr>
          <w:p>
            <w:pPr>
              <w:spacing w:after="0"/>
              <w:rPr>
                <w:sz w:val="17"/>
                <w:szCs w:val="17"/>
                <w:color w:val="auto"/>
              </w:rPr>
            </w:pPr>
          </w:p>
        </w:tc>
      </w:tr>
      <w:tr>
        <w:trPr>
          <w:trHeight w:val="19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ind w:right="648"/>
              <w:spacing w:after="0"/>
              <w:rPr>
                <w:sz w:val="20"/>
                <w:szCs w:val="20"/>
                <w:color w:val="auto"/>
              </w:rPr>
            </w:pPr>
            <w:r>
              <w:rPr>
                <w:rFonts w:ascii="Arial" w:cs="Arial" w:eastAsia="Arial" w:hAnsi="Arial"/>
                <w:sz w:val="14"/>
                <w:szCs w:val="14"/>
                <w:b w:val="1"/>
                <w:bCs w:val="1"/>
                <w:color w:val="0070C0"/>
              </w:rPr>
              <w:t>2023</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w w:val="96"/>
              </w:rPr>
              <w:t>2022</w:t>
            </w:r>
          </w:p>
        </w:tc>
      </w:tr>
      <w:tr>
        <w:trPr>
          <w:trHeight w:val="185"/>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December 31</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35.9</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(15.6)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8"/>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0.6</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March 31</w:t>
            </w:r>
          </w:p>
        </w:tc>
        <w:tc>
          <w:tcPr>
            <w:tcW w:w="4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28.0</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17.8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60.9</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(13.4)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08"/>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(0.1)</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190"/>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June 30</w:t>
            </w:r>
          </w:p>
        </w:tc>
        <w:tc>
          <w:tcPr>
            <w:tcW w:w="4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32.3</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52.2</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58.7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03"/>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(31.8)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(32.3)</w:t>
            </w:r>
          </w:p>
        </w:tc>
      </w:tr>
      <w:tr>
        <w:trPr>
          <w:trHeight w:val="208"/>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8"/>
                <w:szCs w:val="18"/>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0.1</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22"/>
        </w:trPr>
        <w:tc>
          <w:tcPr>
            <w:tcW w:w="7620" w:type="dxa"/>
            <w:vAlign w:val="bottom"/>
            <w:gridSpan w:val="2"/>
          </w:tcPr>
          <w:p>
            <w:pPr>
              <w:ind w:left="20"/>
              <w:spacing w:after="0"/>
              <w:rPr>
                <w:sz w:val="20"/>
                <w:szCs w:val="20"/>
                <w:color w:val="auto"/>
              </w:rPr>
            </w:pPr>
            <w:r>
              <w:rPr>
                <w:rFonts w:ascii="Arial" w:cs="Arial" w:eastAsia="Arial" w:hAnsi="Arial"/>
                <w:sz w:val="14"/>
                <w:szCs w:val="14"/>
                <w:color w:val="auto"/>
              </w:rPr>
              <w:t>Restructuring reserve as of September 30</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0070C0"/>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59.3</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5:</w:t>
      </w:r>
      <w:r>
        <w:rPr>
          <w:sz w:val="20"/>
          <w:szCs w:val="20"/>
          <w:color w:val="auto"/>
        </w:rPr>
        <w:tab/>
      </w:r>
      <w:r>
        <w:rPr>
          <w:rFonts w:ascii="Arial" w:cs="Arial" w:eastAsia="Arial" w:hAnsi="Arial"/>
          <w:sz w:val="21"/>
          <w:szCs w:val="21"/>
          <w:b w:val="1"/>
          <w:bCs w:val="1"/>
          <w:color w:val="0070C0"/>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Product Revenue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is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10"/>
          </w:tcPr>
          <w:p>
            <w:pPr>
              <w:jc w:val="right"/>
              <w:ind w:right="8"/>
              <w:spacing w:after="0"/>
              <w:rPr>
                <w:sz w:val="20"/>
                <w:szCs w:val="20"/>
                <w:color w:val="auto"/>
              </w:rPr>
            </w:pPr>
            <w:r>
              <w:rPr>
                <w:rFonts w:ascii="Arial" w:cs="Arial" w:eastAsia="Arial" w:hAnsi="Arial"/>
                <w:sz w:val="14"/>
                <w:szCs w:val="14"/>
                <w:b w:val="1"/>
                <w:bCs w:val="1"/>
                <w:color w:val="auto"/>
              </w:rPr>
              <w:t>For the Three Months Ended September 30,</w:t>
            </w: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2023</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3"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United</w:t>
            </w: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1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58.1</w:t>
            </w:r>
          </w:p>
        </w:tc>
        <w:tc>
          <w:tcPr>
            <w:tcW w:w="36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181.4</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239.5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246.5</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339.0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148.8</w:t>
            </w:r>
          </w:p>
        </w:tc>
        <w:tc>
          <w:tcPr>
            <w:tcW w:w="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16.7</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165.5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Fumarate</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206.9</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198.1</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405.0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476.8</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148.7</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63.5</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31.4</w:t>
            </w:r>
          </w:p>
        </w:tc>
        <w:tc>
          <w:tcPr>
            <w:tcW w:w="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34.1</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65.5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Interferon</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180.1</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97.6</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277.7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336.0</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244.8</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211.5</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505.5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20.0</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180" w:type="dxa"/>
            <w:vAlign w:val="bottom"/>
            <w:tcBorders>
              <w:top w:val="single" w:sz="8" w:color="auto"/>
            </w:tcBorders>
            <w:shd w:val="clear" w:color="auto" w:fill="DBDBDB"/>
          </w:tcPr>
          <w:p>
            <w:pPr>
              <w:spacing w:after="0"/>
              <w:rPr>
                <w:sz w:val="16"/>
                <w:szCs w:val="16"/>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631.8</w:t>
            </w:r>
          </w:p>
        </w:tc>
        <w:tc>
          <w:tcPr>
            <w:tcW w:w="20" w:type="dxa"/>
            <w:vAlign w:val="bottom"/>
            <w:tcBorders>
              <w:top w:val="single" w:sz="8" w:color="auto"/>
            </w:tcBorders>
            <w:shd w:val="clear" w:color="auto" w:fill="DBDBDB"/>
          </w:tcPr>
          <w:p>
            <w:pPr>
              <w:spacing w:after="0"/>
              <w:rPr>
                <w:sz w:val="16"/>
                <w:szCs w:val="16"/>
                <w:color w:val="auto"/>
              </w:rPr>
            </w:pPr>
          </w:p>
        </w:tc>
        <w:tc>
          <w:tcPr>
            <w:tcW w:w="12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527.2</w:t>
            </w:r>
          </w:p>
        </w:tc>
        <w:tc>
          <w:tcPr>
            <w:tcW w:w="4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6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1,159.0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707.9</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632.4</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1,340.3</w:t>
            </w:r>
          </w:p>
        </w:tc>
        <w:tc>
          <w:tcPr>
            <w:tcW w:w="0" w:type="dxa"/>
            <w:vAlign w:val="bottom"/>
          </w:tcPr>
          <w:p>
            <w:pPr>
              <w:spacing w:after="0"/>
              <w:rPr>
                <w:sz w:val="1"/>
                <w:szCs w:val="1"/>
                <w:color w:val="auto"/>
              </w:rPr>
            </w:pPr>
          </w:p>
        </w:tc>
      </w:tr>
      <w:tr>
        <w:trPr>
          <w:trHeight w:val="257"/>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150.5</w:t>
            </w:r>
          </w:p>
        </w:tc>
        <w:tc>
          <w:tcPr>
            <w:tcW w:w="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297.7</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448.2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431.1</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SMA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150.5</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297.7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431.1</w:t>
            </w:r>
          </w:p>
        </w:tc>
        <w:tc>
          <w:tcPr>
            <w:tcW w:w="0" w:type="dxa"/>
            <w:vAlign w:val="bottom"/>
          </w:tcPr>
          <w:p>
            <w:pPr>
              <w:spacing w:after="0"/>
              <w:rPr>
                <w:sz w:val="1"/>
                <w:szCs w:val="1"/>
                <w:color w:val="auto"/>
              </w:rPr>
            </w:pPr>
          </w:p>
        </w:tc>
      </w:tr>
      <w:tr>
        <w:trPr>
          <w:trHeight w:val="257"/>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112.8</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9"/>
                <w:szCs w:val="9"/>
                <w:color w:val="auto"/>
              </w:rPr>
              <w:t>(1)</w:t>
            </w:r>
          </w:p>
        </w:tc>
        <w:tc>
          <w:tcPr>
            <w:tcW w:w="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80" w:type="dxa"/>
            <w:vAlign w:val="bottom"/>
            <w:tcBorders>
              <w:top w:val="single" w:sz="8" w:color="auto"/>
            </w:tcBorders>
            <w:shd w:val="clear" w:color="auto" w:fill="DBDBDB"/>
          </w:tcPr>
          <w:p>
            <w:pPr>
              <w:spacing w:after="0"/>
              <w:rPr>
                <w:sz w:val="16"/>
                <w:szCs w:val="16"/>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6.1</w:t>
            </w:r>
          </w:p>
        </w:tc>
        <w:tc>
          <w:tcPr>
            <w:tcW w:w="20" w:type="dxa"/>
            <w:vAlign w:val="bottom"/>
            <w:tcBorders>
              <w:top w:val="single" w:sz="8" w:color="auto"/>
            </w:tcBorders>
            <w:shd w:val="clear" w:color="auto" w:fill="DBDBDB"/>
          </w:tcPr>
          <w:p>
            <w:pPr>
              <w:spacing w:after="0"/>
              <w:rPr>
                <w:sz w:val="16"/>
                <w:szCs w:val="16"/>
                <w:color w:val="auto"/>
              </w:rPr>
            </w:pPr>
          </w:p>
        </w:tc>
        <w:tc>
          <w:tcPr>
            <w:tcW w:w="12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188.2</w:t>
            </w:r>
          </w:p>
        </w:tc>
        <w:tc>
          <w:tcPr>
            <w:tcW w:w="4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6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194.3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187.6</w:t>
            </w:r>
          </w:p>
        </w:tc>
        <w:tc>
          <w:tcPr>
            <w:tcW w:w="0" w:type="dxa"/>
            <w:vAlign w:val="bottom"/>
          </w:tcPr>
          <w:p>
            <w:pPr>
              <w:spacing w:after="0"/>
              <w:rPr>
                <w:sz w:val="1"/>
                <w:szCs w:val="1"/>
                <w:color w:val="auto"/>
              </w:rPr>
            </w:pPr>
          </w:p>
        </w:tc>
      </w:tr>
      <w:tr>
        <w:trPr>
          <w:trHeight w:val="26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(2)</w:t>
            </w:r>
          </w:p>
        </w:tc>
        <w:tc>
          <w:tcPr>
            <w:tcW w:w="18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w:t>
            </w:r>
          </w:p>
        </w:tc>
        <w:tc>
          <w:tcPr>
            <w:tcW w:w="20" w:type="dxa"/>
            <w:vAlign w:val="bottom"/>
            <w:tcBorders>
              <w:bottom w:val="single" w:sz="8" w:color="auto"/>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40" w:type="dxa"/>
            <w:vAlign w:val="bottom"/>
            <w:tcBorders>
              <w:bottom w:val="single" w:sz="8" w:color="auto"/>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790.9</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1,014.3</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1,805.2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850.4</w:t>
            </w:r>
          </w:p>
        </w:tc>
        <w:tc>
          <w:tcPr>
            <w:tcW w:w="12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1,111.7</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1,962.1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BYOOVIZ became commercially available in the U.S. during the third quarter of 2022 and commercially available in international markets in 2023.</w:t>
      </w:r>
    </w:p>
    <w:p>
      <w:pPr>
        <w:spacing w:after="0" w:line="16" w:lineRule="exact"/>
        <w:rPr>
          <w:rFonts w:ascii="Arial" w:cs="Arial" w:eastAsia="Arial" w:hAnsi="Arial"/>
          <w:sz w:val="18"/>
          <w:szCs w:val="18"/>
          <w:color w:val="auto"/>
          <w:vertAlign w:val="superscript"/>
        </w:rPr>
      </w:pPr>
    </w:p>
    <w:p>
      <w:pPr>
        <w:ind w:left="160" w:hanging="152"/>
        <w:spacing w:after="0" w:line="199"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ADUHELM and QALSODY, which became commercially available in the U.S. during the second quarter of 2023.</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10"/>
          </w:tcPr>
          <w:p>
            <w:pPr>
              <w:jc w:val="right"/>
              <w:ind w:right="28"/>
              <w:spacing w:after="0"/>
              <w:rPr>
                <w:sz w:val="20"/>
                <w:szCs w:val="20"/>
                <w:color w:val="auto"/>
              </w:rPr>
            </w:pPr>
            <w:r>
              <w:rPr>
                <w:rFonts w:ascii="Arial" w:cs="Arial" w:eastAsia="Arial" w:hAnsi="Arial"/>
                <w:sz w:val="14"/>
                <w:szCs w:val="14"/>
                <w:b w:val="1"/>
                <w:bCs w:val="1"/>
                <w:color w:val="auto"/>
              </w:rPr>
              <w:t>For the Nine Months Ended September 30,</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shd w:val="clear" w:color="auto" w:fill="DDDDDD"/>
          </w:tcPr>
          <w:p>
            <w:pPr>
              <w:spacing w:after="0"/>
              <w:rPr>
                <w:sz w:val="17"/>
                <w:szCs w:val="17"/>
                <w:color w:val="auto"/>
              </w:rPr>
            </w:pPr>
          </w:p>
        </w:tc>
        <w:tc>
          <w:tcPr>
            <w:tcW w:w="960" w:type="dxa"/>
            <w:vAlign w:val="bottom"/>
            <w:tcBorders>
              <w:bottom w:val="single" w:sz="8" w:color="auto"/>
            </w:tcBorders>
            <w:shd w:val="clear" w:color="auto" w:fill="DDDDDD"/>
          </w:tcPr>
          <w:p>
            <w:pPr>
              <w:spacing w:after="0"/>
              <w:rPr>
                <w:sz w:val="17"/>
                <w:szCs w:val="17"/>
                <w:color w:val="auto"/>
              </w:rPr>
            </w:pPr>
          </w:p>
        </w:tc>
        <w:tc>
          <w:tcPr>
            <w:tcW w:w="2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2023</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3"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18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9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TECFIDERA</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199.3</w:t>
            </w:r>
          </w:p>
        </w:tc>
        <w:tc>
          <w:tcPr>
            <w:tcW w:w="36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568.9</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768.2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330.3</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816.5</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1,146.8</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VUMERITY</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372.6</w:t>
            </w:r>
          </w:p>
        </w:tc>
        <w:tc>
          <w:tcPr>
            <w:tcW w:w="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47.3</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419.9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402.6</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Fumarate</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571.9</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616.2</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1,188.1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836.1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1,549.4</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397.2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207.7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249.6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743.4</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PLEGRIDY</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95.4</w:t>
            </w:r>
          </w:p>
        </w:tc>
        <w:tc>
          <w:tcPr>
            <w:tcW w:w="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125.4</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220.8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20" w:type="dxa"/>
            <w:vAlign w:val="bottom"/>
            <w:gridSpan w:val="2"/>
          </w:tcPr>
          <w:p>
            <w:pPr>
              <w:ind w:left="220"/>
              <w:spacing w:after="0"/>
              <w:rPr>
                <w:sz w:val="20"/>
                <w:szCs w:val="20"/>
                <w:color w:val="auto"/>
              </w:rPr>
            </w:pPr>
            <w:r>
              <w:rPr>
                <w:rFonts w:ascii="Arial" w:cs="Arial" w:eastAsia="Arial" w:hAnsi="Arial"/>
                <w:sz w:val="14"/>
                <w:szCs w:val="14"/>
                <w:color w:val="auto"/>
              </w:rPr>
              <w:t>Total Interferon</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492.6</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333.1</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825.7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387.8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995.8</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750.1</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662.1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1,412.2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693.1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1,542.5</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67.5</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MS</w:t>
            </w:r>
          </w:p>
        </w:tc>
        <w:tc>
          <w:tcPr>
            <w:tcW w:w="180" w:type="dxa"/>
            <w:vAlign w:val="bottom"/>
            <w:tcBorders>
              <w:top w:val="single" w:sz="8" w:color="auto"/>
            </w:tcBorders>
            <w:shd w:val="clear" w:color="auto" w:fill="DBDBDB"/>
          </w:tcPr>
          <w:p>
            <w:pPr>
              <w:spacing w:after="0"/>
              <w:rPr>
                <w:sz w:val="16"/>
                <w:szCs w:val="16"/>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1,814.6</w:t>
            </w:r>
          </w:p>
        </w:tc>
        <w:tc>
          <w:tcPr>
            <w:tcW w:w="20" w:type="dxa"/>
            <w:vAlign w:val="bottom"/>
            <w:tcBorders>
              <w:top w:val="single" w:sz="8" w:color="auto"/>
            </w:tcBorders>
            <w:shd w:val="clear" w:color="auto" w:fill="DBDBDB"/>
          </w:tcPr>
          <w:p>
            <w:pPr>
              <w:spacing w:after="0"/>
              <w:rPr>
                <w:sz w:val="16"/>
                <w:szCs w:val="16"/>
                <w:color w:val="auto"/>
              </w:rPr>
            </w:pPr>
          </w:p>
        </w:tc>
        <w:tc>
          <w:tcPr>
            <w:tcW w:w="12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1,678.9</w:t>
            </w:r>
          </w:p>
        </w:tc>
        <w:tc>
          <w:tcPr>
            <w:tcW w:w="4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6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3,493.5</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2,170.7</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1,990.7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4,161.4</w:t>
            </w:r>
          </w:p>
        </w:tc>
        <w:tc>
          <w:tcPr>
            <w:tcW w:w="0" w:type="dxa"/>
            <w:vAlign w:val="bottom"/>
          </w:tcPr>
          <w:p>
            <w:pPr>
              <w:spacing w:after="0"/>
              <w:rPr>
                <w:sz w:val="1"/>
                <w:szCs w:val="1"/>
                <w:color w:val="auto"/>
              </w:rPr>
            </w:pPr>
          </w:p>
        </w:tc>
      </w:tr>
      <w:tr>
        <w:trPr>
          <w:trHeight w:val="257"/>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453.0</w:t>
            </w:r>
          </w:p>
        </w:tc>
        <w:tc>
          <w:tcPr>
            <w:tcW w:w="20" w:type="dxa"/>
            <w:vAlign w:val="bottom"/>
            <w:tcBorders>
              <w:bottom w:val="single" w:sz="8" w:color="auto"/>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875.6</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1,328.6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891.4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1,334.7</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SMA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453.0</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875.6</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891.4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1,334.7</w:t>
            </w:r>
          </w:p>
        </w:tc>
        <w:tc>
          <w:tcPr>
            <w:tcW w:w="0" w:type="dxa"/>
            <w:vAlign w:val="bottom"/>
          </w:tcPr>
          <w:p>
            <w:pPr>
              <w:spacing w:after="0"/>
              <w:rPr>
                <w:sz w:val="1"/>
                <w:szCs w:val="1"/>
                <w:color w:val="auto"/>
              </w:rPr>
            </w:pPr>
          </w:p>
        </w:tc>
      </w:tr>
      <w:tr>
        <w:trPr>
          <w:trHeight w:val="257"/>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2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90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spacing w:after="0"/>
              <w:rPr>
                <w:sz w:val="22"/>
                <w:szCs w:val="22"/>
                <w:color w:val="auto"/>
              </w:rPr>
            </w:pPr>
          </w:p>
        </w:tc>
        <w:tc>
          <w:tcPr>
            <w:tcW w:w="9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331.0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331.0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340.7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340.7</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167.6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BYOOVIZ</w:t>
            </w:r>
            <w:r>
              <w:rPr>
                <w:rFonts w:ascii="Arial" w:cs="Arial" w:eastAsia="Arial" w:hAnsi="Arial"/>
                <w:sz w:val="9"/>
                <w:szCs w:val="9"/>
                <w:color w:val="auto"/>
              </w:rPr>
              <w:t>(1)</w:t>
            </w:r>
          </w:p>
        </w:tc>
        <w:tc>
          <w:tcPr>
            <w:tcW w:w="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21.3</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0"/>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Subtotal: Biosimilars</w:t>
            </w:r>
          </w:p>
        </w:tc>
        <w:tc>
          <w:tcPr>
            <w:tcW w:w="180" w:type="dxa"/>
            <w:vAlign w:val="bottom"/>
            <w:tcBorders>
              <w:top w:val="single" w:sz="8" w:color="auto"/>
            </w:tcBorders>
            <w:shd w:val="clear" w:color="auto" w:fill="DBDBDB"/>
          </w:tcPr>
          <w:p>
            <w:pPr>
              <w:spacing w:after="0"/>
              <w:rPr>
                <w:sz w:val="16"/>
                <w:szCs w:val="16"/>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21.3</w:t>
            </w:r>
          </w:p>
        </w:tc>
        <w:tc>
          <w:tcPr>
            <w:tcW w:w="20" w:type="dxa"/>
            <w:vAlign w:val="bottom"/>
            <w:tcBorders>
              <w:top w:val="single" w:sz="8" w:color="auto"/>
            </w:tcBorders>
            <w:shd w:val="clear" w:color="auto" w:fill="DBDBDB"/>
          </w:tcPr>
          <w:p>
            <w:pPr>
              <w:spacing w:after="0"/>
              <w:rPr>
                <w:sz w:val="16"/>
                <w:szCs w:val="16"/>
                <w:color w:val="auto"/>
              </w:rPr>
            </w:pPr>
          </w:p>
        </w:tc>
        <w:tc>
          <w:tcPr>
            <w:tcW w:w="120" w:type="dxa"/>
            <w:vAlign w:val="bottom"/>
            <w:tcBorders>
              <w:top w:val="single" w:sz="8" w:color="DBDBDB"/>
            </w:tcBorders>
            <w:shd w:val="clear" w:color="auto" w:fill="DBDBDB"/>
          </w:tcPr>
          <w:p>
            <w:pPr>
              <w:spacing w:after="0"/>
              <w:rPr>
                <w:sz w:val="16"/>
                <w:szCs w:val="16"/>
                <w:color w:val="auto"/>
              </w:rPr>
            </w:pPr>
          </w:p>
        </w:tc>
        <w:tc>
          <w:tcPr>
            <w:tcW w:w="220" w:type="dxa"/>
            <w:vAlign w:val="bottom"/>
            <w:tcBorders>
              <w:top w:val="single" w:sz="8" w:color="auto"/>
            </w:tcBorders>
            <w:shd w:val="clear" w:color="auto" w:fill="DBDBDB"/>
          </w:tcPr>
          <w:p>
            <w:pPr>
              <w:spacing w:after="0"/>
              <w:rPr>
                <w:sz w:val="16"/>
                <w:szCs w:val="16"/>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560.5</w:t>
            </w:r>
          </w:p>
        </w:tc>
        <w:tc>
          <w:tcPr>
            <w:tcW w:w="40" w:type="dxa"/>
            <w:vAlign w:val="bottom"/>
            <w:tcBorders>
              <w:top w:val="single" w:sz="8" w:color="auto"/>
            </w:tcBorders>
            <w:shd w:val="clear" w:color="auto" w:fill="DBDBDB"/>
          </w:tcPr>
          <w:p>
            <w:pPr>
              <w:spacing w:after="0"/>
              <w:rPr>
                <w:sz w:val="16"/>
                <w:szCs w:val="16"/>
                <w:color w:val="auto"/>
              </w:rPr>
            </w:pPr>
          </w:p>
        </w:tc>
        <w:tc>
          <w:tcPr>
            <w:tcW w:w="100" w:type="dxa"/>
            <w:vAlign w:val="bottom"/>
            <w:tcBorders>
              <w:top w:val="single" w:sz="8" w:color="DBDBDB"/>
            </w:tcBorders>
            <w:shd w:val="clear" w:color="auto" w:fill="DBDBDB"/>
          </w:tcPr>
          <w:p>
            <w:pPr>
              <w:spacing w:after="0"/>
              <w:rPr>
                <w:sz w:val="16"/>
                <w:szCs w:val="16"/>
                <w:color w:val="auto"/>
              </w:rPr>
            </w:pPr>
          </w:p>
        </w:tc>
        <w:tc>
          <w:tcPr>
            <w:tcW w:w="260" w:type="dxa"/>
            <w:vAlign w:val="bottom"/>
            <w:tcBorders>
              <w:top w:val="single" w:sz="8" w:color="auto"/>
            </w:tcBorders>
            <w:shd w:val="clear" w:color="auto" w:fill="DBDBDB"/>
          </w:tcPr>
          <w:p>
            <w:pPr>
              <w:spacing w:after="0"/>
              <w:rPr>
                <w:sz w:val="16"/>
                <w:szCs w:val="16"/>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581.8</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575.1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576.3</w:t>
            </w:r>
          </w:p>
        </w:tc>
        <w:tc>
          <w:tcPr>
            <w:tcW w:w="0" w:type="dxa"/>
            <w:vAlign w:val="bottom"/>
          </w:tcPr>
          <w:p>
            <w:pPr>
              <w:spacing w:after="0"/>
              <w:rPr>
                <w:sz w:val="1"/>
                <w:szCs w:val="1"/>
                <w:color w:val="auto"/>
              </w:rPr>
            </w:pPr>
          </w:p>
        </w:tc>
      </w:tr>
      <w:tr>
        <w:trPr>
          <w:trHeight w:val="262"/>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(2)</w:t>
            </w:r>
          </w:p>
        </w:tc>
        <w:tc>
          <w:tcPr>
            <w:tcW w:w="180" w:type="dxa"/>
            <w:vAlign w:val="bottom"/>
            <w:tcBorders>
              <w:bottom w:val="single" w:sz="8" w:color="auto"/>
            </w:tcBorders>
            <w:shd w:val="clear" w:color="auto" w:fill="DBDBDB"/>
          </w:tcPr>
          <w:p>
            <w:pPr>
              <w:spacing w:after="0"/>
              <w:rPr>
                <w:sz w:val="22"/>
                <w:szCs w:val="22"/>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w:t>
            </w:r>
          </w:p>
        </w:tc>
        <w:tc>
          <w:tcPr>
            <w:tcW w:w="20" w:type="dxa"/>
            <w:vAlign w:val="bottom"/>
            <w:tcBorders>
              <w:bottom w:val="single" w:sz="8" w:color="auto"/>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spacing w:after="0"/>
              <w:rPr>
                <w:sz w:val="22"/>
                <w:szCs w:val="22"/>
                <w:color w:val="auto"/>
              </w:rPr>
            </w:pPr>
          </w:p>
        </w:tc>
        <w:tc>
          <w:tcPr>
            <w:tcW w:w="220" w:type="dxa"/>
            <w:vAlign w:val="bottom"/>
            <w:tcBorders>
              <w:bottom w:val="single" w:sz="8" w:color="auto"/>
            </w:tcBorders>
            <w:shd w:val="clear" w:color="auto" w:fill="DBDBDB"/>
          </w:tcPr>
          <w:p>
            <w:pPr>
              <w:spacing w:after="0"/>
              <w:rPr>
                <w:sz w:val="22"/>
                <w:szCs w:val="22"/>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6.0</w:t>
            </w:r>
          </w:p>
        </w:tc>
        <w:tc>
          <w:tcPr>
            <w:tcW w:w="40" w:type="dxa"/>
            <w:vAlign w:val="bottom"/>
            <w:tcBorders>
              <w:bottom w:val="single" w:sz="8" w:color="auto"/>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spacing w:after="0"/>
              <w:rPr>
                <w:sz w:val="22"/>
                <w:szCs w:val="22"/>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2,293.3</w:t>
            </w: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3,121.0</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5,414.3</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2,619.7</w:t>
            </w:r>
          </w:p>
        </w:tc>
        <w:tc>
          <w:tcPr>
            <w:tcW w:w="12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3,463.6</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6,083.3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BYOOVIZ became commercially available in the U.S. during the third quarter of 2022 and commercially available in international markets in 2023.</w:t>
      </w:r>
    </w:p>
    <w:p>
      <w:pPr>
        <w:spacing w:after="0" w:line="28" w:lineRule="exact"/>
        <w:rPr>
          <w:rFonts w:ascii="Arial" w:cs="Arial" w:eastAsia="Arial" w:hAnsi="Arial"/>
          <w:sz w:val="9"/>
          <w:szCs w:val="9"/>
          <w:color w:val="auto"/>
        </w:rPr>
      </w:pPr>
    </w:p>
    <w:p>
      <w:pPr>
        <w:ind w:left="160" w:hanging="152"/>
        <w:spacing w:after="0"/>
        <w:tabs>
          <w:tab w:leader="none" w:pos="160" w:val="left"/>
        </w:tabs>
        <w:numPr>
          <w:ilvl w:val="0"/>
          <w:numId w:val="10"/>
        </w:numPr>
        <w:rPr>
          <w:rFonts w:ascii="Arial" w:cs="Arial" w:eastAsia="Arial" w:hAnsi="Arial"/>
          <w:sz w:val="9"/>
          <w:szCs w:val="9"/>
          <w:color w:val="auto"/>
        </w:rPr>
      </w:pPr>
      <w:r>
        <w:rPr>
          <w:rFonts w:ascii="Arial" w:cs="Arial" w:eastAsia="Arial" w:hAnsi="Arial"/>
          <w:sz w:val="14"/>
          <w:szCs w:val="14"/>
          <w:color w:val="auto"/>
        </w:rPr>
        <w:t>Other includes FUMADERM, ADUHELM and QALSODY, which became commercially available in the U.S. during the second quarter of 2023.</w:t>
      </w:r>
    </w:p>
    <w:p>
      <w:pPr>
        <w:spacing w:after="0" w:line="115"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We recognized revenue from two wholesalers accounting for 26.9% and 10.5% of gross product revenue for the three months ended September 30, 2023, and 27.1% and 9.1% of gross product revenue for the nine months ended September 30, 2023.</w:t>
      </w:r>
    </w:p>
    <w:p>
      <w:pPr>
        <w:spacing w:after="0" w:line="66"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We recognized revenue from two wholesalers accounting for 26.9% and 10.5% of gross product revenue for the three months ended September 30, 2022, and 26.8% and 10.7% of gross product revenue for the nine months ended September 30, 2022.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Discounts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Returns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DBDBDB"/>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December 31, 2022</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153.8</w:t>
            </w: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857.7</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23.5</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1,035.0</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Current provisions relating to sales in current year</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554.1</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1,983.6</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14.2</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2,551.9</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Adjustments relating to prior years</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0.2</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(24.5)</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19.9</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w:t>
            </w:r>
          </w:p>
        </w:tc>
        <w:tc>
          <w:tcPr>
            <w:tcW w:w="0" w:type="dxa"/>
            <w:vAlign w:val="bottom"/>
          </w:tcPr>
          <w:p>
            <w:pPr>
              <w:spacing w:after="0"/>
              <w:rPr>
                <w:sz w:val="1"/>
                <w:szCs w:val="1"/>
                <w:color w:val="auto"/>
              </w:rPr>
            </w:pPr>
          </w:p>
        </w:tc>
      </w:tr>
      <w:tr>
        <w:trPr>
          <w:trHeight w:val="203"/>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current year</w:t>
            </w:r>
          </w:p>
        </w:tc>
        <w:tc>
          <w:tcPr>
            <w:tcW w:w="2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(410.4)</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(1,362.3)</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(1,774.7)</w:t>
            </w:r>
          </w:p>
        </w:tc>
        <w:tc>
          <w:tcPr>
            <w:tcW w:w="0" w:type="dxa"/>
            <w:vAlign w:val="bottom"/>
          </w:tcPr>
          <w:p>
            <w:pPr>
              <w:spacing w:after="0"/>
              <w:rPr>
                <w:sz w:val="1"/>
                <w:szCs w:val="1"/>
                <w:color w:val="auto"/>
              </w:rPr>
            </w:pPr>
          </w:p>
        </w:tc>
      </w:tr>
      <w:tr>
        <w:trPr>
          <w:trHeight w:val="208"/>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prior years</w:t>
            </w:r>
          </w:p>
        </w:tc>
        <w:tc>
          <w:tcPr>
            <w:tcW w:w="22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(137.5)</w:t>
            </w:r>
          </w:p>
        </w:tc>
        <w:tc>
          <w:tcPr>
            <w:tcW w:w="10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(574.8)</w:t>
            </w:r>
          </w:p>
        </w:tc>
        <w:tc>
          <w:tcPr>
            <w:tcW w:w="10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(23.2)</w:t>
            </w:r>
          </w:p>
        </w:tc>
        <w:tc>
          <w:tcPr>
            <w:tcW w:w="12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(735.5)</w:t>
            </w:r>
          </w:p>
        </w:tc>
        <w:tc>
          <w:tcPr>
            <w:tcW w:w="0" w:type="dxa"/>
            <w:vAlign w:val="bottom"/>
          </w:tcPr>
          <w:p>
            <w:pPr>
              <w:spacing w:after="0"/>
              <w:rPr>
                <w:sz w:val="1"/>
                <w:szCs w:val="1"/>
                <w:color w:val="auto"/>
              </w:rPr>
            </w:pPr>
          </w:p>
        </w:tc>
      </w:tr>
      <w:tr>
        <w:trPr>
          <w:trHeight w:val="222"/>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September 30, 2023</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160.2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879.7</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32.4</w:t>
            </w:r>
          </w:p>
        </w:tc>
        <w:tc>
          <w:tcPr>
            <w:tcW w:w="12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1,072.3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total reserves above, which are included in our condensed consolidated balance sheets, are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580" w:type="dxa"/>
            <w:vAlign w:val="bottom"/>
            <w:shd w:val="clear" w:color="auto" w:fill="DBDBDB"/>
          </w:tcPr>
          <w:p>
            <w:pPr>
              <w:jc w:val="right"/>
              <w:ind w:right="88"/>
              <w:spacing w:after="0"/>
              <w:rPr>
                <w:sz w:val="20"/>
                <w:szCs w:val="20"/>
                <w:color w:val="auto"/>
              </w:rPr>
            </w:pPr>
            <w:r>
              <w:rPr>
                <w:rFonts w:ascii="Arial" w:cs="Arial" w:eastAsia="Arial" w:hAnsi="Arial"/>
                <w:sz w:val="14"/>
                <w:szCs w:val="14"/>
                <w:b w:val="1"/>
                <w:bCs w:val="1"/>
                <w:color w:val="257ACB"/>
              </w:rPr>
              <w:t>As of September 30,</w:t>
            </w:r>
          </w:p>
        </w:tc>
        <w:tc>
          <w:tcPr>
            <w:tcW w:w="100" w:type="dxa"/>
            <w:vAlign w:val="bottom"/>
          </w:tcPr>
          <w:p>
            <w:pPr>
              <w:spacing w:after="0"/>
              <w:rPr>
                <w:sz w:val="14"/>
                <w:szCs w:val="14"/>
                <w:color w:val="auto"/>
              </w:rPr>
            </w:pP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580" w:type="dxa"/>
            <w:vAlign w:val="bottom"/>
            <w:tcBorders>
              <w:bottom w:val="single" w:sz="8" w:color="auto"/>
            </w:tcBorders>
            <w:shd w:val="clear" w:color="auto" w:fill="DBDBDB"/>
          </w:tcPr>
          <w:p>
            <w:pPr>
              <w:jc w:val="right"/>
              <w:ind w:right="62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17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131.4</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143.4</w:t>
            </w:r>
          </w:p>
        </w:tc>
        <w:tc>
          <w:tcPr>
            <w:tcW w:w="0" w:type="dxa"/>
            <w:vAlign w:val="bottom"/>
          </w:tcPr>
          <w:p>
            <w:pPr>
              <w:spacing w:after="0"/>
              <w:rPr>
                <w:sz w:val="1"/>
                <w:szCs w:val="1"/>
                <w:color w:val="auto"/>
              </w:rPr>
            </w:pPr>
          </w:p>
        </w:tc>
      </w:tr>
      <w:tr>
        <w:trPr>
          <w:trHeight w:val="209"/>
        </w:trPr>
        <w:tc>
          <w:tcPr>
            <w:tcW w:w="766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140" w:type="dxa"/>
            <w:vAlign w:val="bottom"/>
            <w:tcBorders>
              <w:bottom w:val="single" w:sz="8" w:color="auto"/>
            </w:tcBorders>
            <w:shd w:val="clear" w:color="auto" w:fill="DBDBDB"/>
          </w:tcPr>
          <w:p>
            <w:pPr>
              <w:spacing w:after="0"/>
              <w:rPr>
                <w:sz w:val="18"/>
                <w:szCs w:val="18"/>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940.9</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891.6</w:t>
            </w:r>
          </w:p>
        </w:tc>
        <w:tc>
          <w:tcPr>
            <w:tcW w:w="0" w:type="dxa"/>
            <w:vAlign w:val="bottom"/>
          </w:tcPr>
          <w:p>
            <w:pPr>
              <w:spacing w:after="0"/>
              <w:rPr>
                <w:sz w:val="1"/>
                <w:szCs w:val="1"/>
                <w:color w:val="auto"/>
              </w:rPr>
            </w:pPr>
          </w:p>
        </w:tc>
      </w:tr>
      <w:tr>
        <w:trPr>
          <w:trHeight w:val="222"/>
        </w:trPr>
        <w:tc>
          <w:tcPr>
            <w:tcW w:w="7660" w:type="dxa"/>
            <w:vAlign w:val="bottom"/>
            <w:gridSpan w:val="2"/>
          </w:tcPr>
          <w:p>
            <w:pPr>
              <w:ind w:left="240"/>
              <w:spacing w:after="0"/>
              <w:rPr>
                <w:sz w:val="20"/>
                <w:szCs w:val="20"/>
                <w:color w:val="auto"/>
              </w:rPr>
            </w:pPr>
            <w:r>
              <w:rPr>
                <w:rFonts w:ascii="Arial" w:cs="Arial" w:eastAsia="Arial" w:hAnsi="Arial"/>
                <w:sz w:val="14"/>
                <w:szCs w:val="14"/>
                <w:color w:val="auto"/>
              </w:rPr>
              <w:t>Total revenue-related reserves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1,072.3</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from Anti-CD20 Therapeutic Programs</w:t>
      </w:r>
    </w:p>
    <w:p>
      <w:pPr>
        <w:spacing w:after="0" w:line="122" w:lineRule="exact"/>
        <w:rPr>
          <w:sz w:val="20"/>
          <w:szCs w:val="20"/>
          <w:color w:val="auto"/>
        </w:rPr>
      </w:pPr>
    </w:p>
    <w:p>
      <w:pPr>
        <w:jc w:val="both"/>
        <w:ind w:right="20"/>
        <w:spacing w:after="0" w:line="273" w:lineRule="auto"/>
        <w:rPr>
          <w:sz w:val="20"/>
          <w:szCs w:val="20"/>
          <w:color w:val="auto"/>
        </w:rPr>
      </w:pPr>
      <w:r>
        <w:rPr>
          <w:rFonts w:ascii="Arial" w:cs="Arial" w:eastAsia="Arial" w:hAnsi="Arial"/>
          <w:sz w:val="18"/>
          <w:szCs w:val="18"/>
          <w:color w:val="auto"/>
        </w:rPr>
        <w:t>Revenue from anti-CD20 therapeutic programs is summarized in the table below. For the purposes of this footnote, we refer to RITUXAN and RITUXAN HYCELA collectively as RITUXAN.</w:t>
      </w:r>
    </w:p>
    <w:tbl>
      <w:tblPr>
        <w:tblLayout w:type="fixed"/>
        <w:tblInd w:w="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00" w:type="dxa"/>
            <w:vAlign w:val="bottom"/>
            <w:gridSpan w:val="5"/>
          </w:tcPr>
          <w:p>
            <w:pPr>
              <w:jc w:val="center"/>
              <w:ind w:right="240"/>
              <w:spacing w:after="0" w:line="150" w:lineRule="exact"/>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3"/>
                <w:szCs w:val="13"/>
                <w:color w:val="auto"/>
              </w:rPr>
            </w:pPr>
          </w:p>
        </w:tc>
        <w:tc>
          <w:tcPr>
            <w:tcW w:w="2140" w:type="dxa"/>
            <w:vAlign w:val="bottom"/>
            <w:gridSpan w:val="4"/>
          </w:tcPr>
          <w:p>
            <w:pPr>
              <w:jc w:val="right"/>
              <w:ind w:right="148"/>
              <w:spacing w:after="0" w:line="150" w:lineRule="exact"/>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1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4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5"/>
        </w:trPr>
        <w:tc>
          <w:tcPr>
            <w:tcW w:w="6500" w:type="dxa"/>
            <w:vAlign w:val="bottom"/>
            <w:gridSpan w:val="4"/>
          </w:tcPr>
          <w:p>
            <w:pPr>
              <w:ind w:left="20"/>
              <w:spacing w:after="0"/>
              <w:rPr>
                <w:sz w:val="20"/>
                <w:szCs w:val="20"/>
                <w:color w:val="auto"/>
              </w:rPr>
            </w:pPr>
            <w:r>
              <w:rPr>
                <w:rFonts w:ascii="Arial" w:cs="Arial" w:eastAsia="Arial" w:hAnsi="Arial"/>
                <w:sz w:val="14"/>
                <w:szCs w:val="14"/>
                <w:color w:val="auto"/>
              </w:rPr>
              <w:t>Royalty revenue on sales of OCREVUS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319.1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281.1</w:t>
            </w:r>
          </w:p>
        </w:tc>
        <w:tc>
          <w:tcPr>
            <w:tcW w:w="100" w:type="dxa"/>
            <w:vAlign w:val="bottom"/>
          </w:tcPr>
          <w:p>
            <w:pPr>
              <w:spacing w:after="0"/>
              <w:rPr>
                <w:sz w:val="16"/>
                <w:szCs w:val="16"/>
                <w:color w:val="auto"/>
              </w:rPr>
            </w:pPr>
          </w:p>
        </w:tc>
        <w:tc>
          <w:tcPr>
            <w:tcW w:w="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76"/>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928.2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825.2</w:t>
            </w:r>
          </w:p>
        </w:tc>
      </w:tr>
      <w:tr>
        <w:trPr>
          <w:trHeight w:val="203"/>
        </w:trPr>
        <w:tc>
          <w:tcPr>
            <w:tcW w:w="6500" w:type="dxa"/>
            <w:vAlign w:val="bottom"/>
            <w:gridSpan w:val="4"/>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9"/>
                <w:szCs w:val="9"/>
                <w:color w:val="auto"/>
              </w:rPr>
              <w:t>(1)</w:t>
            </w:r>
          </w:p>
        </w:tc>
        <w:tc>
          <w:tcPr>
            <w:tcW w:w="14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98.9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414.2</w:t>
            </w:r>
          </w:p>
        </w:tc>
      </w:tr>
      <w:tr>
        <w:trPr>
          <w:trHeight w:val="209"/>
        </w:trPr>
        <w:tc>
          <w:tcPr>
            <w:tcW w:w="6500" w:type="dxa"/>
            <w:vAlign w:val="bottom"/>
            <w:gridSpan w:val="4"/>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14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222"/>
        </w:trPr>
        <w:tc>
          <w:tcPr>
            <w:tcW w:w="40" w:type="dxa"/>
            <w:vAlign w:val="bottom"/>
          </w:tcPr>
          <w:p>
            <w:pPr>
              <w:spacing w:after="0"/>
              <w:rPr>
                <w:sz w:val="19"/>
                <w:szCs w:val="19"/>
                <w:color w:val="auto"/>
              </w:rPr>
            </w:pPr>
          </w:p>
        </w:tc>
        <w:tc>
          <w:tcPr>
            <w:tcW w:w="6460" w:type="dxa"/>
            <w:vAlign w:val="bottom"/>
            <w:gridSpan w:val="3"/>
          </w:tcPr>
          <w:p>
            <w:pPr>
              <w:ind w:left="180"/>
              <w:spacing w:after="0"/>
              <w:rPr>
                <w:sz w:val="20"/>
                <w:szCs w:val="20"/>
                <w:color w:val="auto"/>
              </w:rPr>
            </w:pPr>
            <w:r>
              <w:rPr>
                <w:rFonts w:ascii="Arial" w:cs="Arial" w:eastAsia="Arial" w:hAnsi="Arial"/>
                <w:sz w:val="14"/>
                <w:szCs w:val="14"/>
                <w:color w:val="auto"/>
              </w:rPr>
              <w:t>Total revenue from anti-CD20 therapeutic programs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420.9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416.9</w:t>
            </w:r>
          </w:p>
        </w:tc>
        <w:tc>
          <w:tcPr>
            <w:tcW w:w="100" w:type="dxa"/>
            <w:vAlign w:val="bottom"/>
          </w:tcPr>
          <w:p>
            <w:pPr>
              <w:spacing w:after="0"/>
              <w:rPr>
                <w:sz w:val="19"/>
                <w:szCs w:val="19"/>
                <w:color w:val="auto"/>
              </w:rPr>
            </w:pPr>
          </w:p>
        </w:tc>
        <w:tc>
          <w:tcPr>
            <w:tcW w:w="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76"/>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1,253.8</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1,252.6</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78"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LUNSUMIO became commercially available in the U.S. during the first quarter of 2023.</w:t>
      </w:r>
    </w:p>
    <w:p>
      <w:pPr>
        <w:spacing w:after="0" w:line="10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2022 Form 10-K.</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Contract Manufacturing, Royalty and Other Revenue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in the table below.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96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5"/>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252.9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742.9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242.9</w:t>
            </w:r>
          </w:p>
        </w:tc>
      </w:tr>
      <w:tr>
        <w:trPr>
          <w:trHeight w:val="208"/>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1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51.3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38.3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r>
      <w:tr>
        <w:trPr>
          <w:trHeight w:val="222"/>
        </w:trPr>
        <w:tc>
          <w:tcPr>
            <w:tcW w:w="638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304.2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781.2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293.5</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Contract Manufacturing Revenue</w:t>
      </w:r>
    </w:p>
    <w:p>
      <w:pPr>
        <w:spacing w:after="0" w:line="1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During the first quarter of 2023 we began recognizing contract manufacturing revenue for LEQEMBI, upon accelerated approval of LEQEMBI in the U.S. Prior to accelerated approval, contract manufacturing amounts related to LEQEMBI were recognized in research and development expense within our condensed consolidated income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Royalty and Other Revenue</w:t>
      </w:r>
    </w:p>
    <w:p>
      <w:pPr>
        <w:spacing w:after="0" w:line="13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Royalty and other revenue primarily reflects the royalties we receive from net sales on products related to patents that we have out-licensed, as well as royalty revenue on biosimilar products from our license arrangements with Samsung Bioepis and our 50.0% share of LEQEMBI product revenue, net and cost of sales, including royalties, as we are not the principal.</w:t>
      </w:r>
    </w:p>
    <w:p>
      <w:pPr>
        <w:spacing w:after="0" w:line="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the third quarter of 2023 we recorded a reclassification of $38.7 million in LEQEMBI collaboration costs from other revenue to selling, general and administrative expense within our condensed consolidated statements of income. We determined that this reclassification does not materially impact the current or previously issued condensed consolidated financial statements.</w:t>
      </w:r>
    </w:p>
    <w:p>
      <w:pPr>
        <w:spacing w:after="0" w:line="89"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 xml:space="preserve">For additional information on our collaboration arrangements with Eisai and our license arrangements with Samsung Bioepis,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26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6:</w:t>
            </w:r>
          </w:p>
        </w:tc>
        <w:tc>
          <w:tcPr>
            <w:tcW w:w="550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Inventory</w:t>
            </w:r>
          </w:p>
        </w:tc>
        <w:tc>
          <w:tcPr>
            <w:tcW w:w="160" w:type="dxa"/>
            <w:vAlign w:val="bottom"/>
            <w:tcBorders>
              <w:bottom w:val="single" w:sz="8" w:color="0070C0"/>
            </w:tcBorders>
          </w:tcPr>
          <w:p>
            <w:pPr>
              <w:spacing w:after="0"/>
              <w:rPr>
                <w:sz w:val="24"/>
                <w:szCs w:val="24"/>
                <w:color w:val="auto"/>
              </w:rPr>
            </w:pPr>
          </w:p>
        </w:tc>
        <w:tc>
          <w:tcPr>
            <w:tcW w:w="202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160" w:type="dxa"/>
            <w:vAlign w:val="bottom"/>
            <w:tcBorders>
              <w:bottom w:val="single" w:sz="8" w:color="0070C0"/>
            </w:tcBorders>
          </w:tcPr>
          <w:p>
            <w:pPr>
              <w:spacing w:after="0"/>
              <w:rPr>
                <w:sz w:val="24"/>
                <w:szCs w:val="24"/>
                <w:color w:val="auto"/>
              </w:rPr>
            </w:pPr>
          </w:p>
        </w:tc>
        <w:tc>
          <w:tcPr>
            <w:tcW w:w="1540" w:type="dxa"/>
            <w:vAlign w:val="bottom"/>
            <w:tcBorders>
              <w:bottom w:val="single" w:sz="8" w:color="0070C0"/>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760" w:type="dxa"/>
            <w:vAlign w:val="bottom"/>
            <w:gridSpan w:val="3"/>
          </w:tcPr>
          <w:p>
            <w:pPr>
              <w:spacing w:after="0"/>
              <w:rPr>
                <w:sz w:val="20"/>
                <w:szCs w:val="20"/>
                <w:color w:val="auto"/>
              </w:rPr>
            </w:pPr>
            <w:r>
              <w:rPr>
                <w:rFonts w:ascii="Arial" w:cs="Arial" w:eastAsia="Arial" w:hAnsi="Arial"/>
                <w:sz w:val="18"/>
                <w:szCs w:val="18"/>
                <w:color w:val="auto"/>
              </w:rPr>
              <w:t>The components of inventory are summarized as follows:</w:t>
            </w: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line="20" w:lineRule="exact"/>
              <w:rPr>
                <w:sz w:val="1"/>
                <w:szCs w:val="1"/>
                <w:color w:val="auto"/>
              </w:rPr>
            </w:pPr>
          </w:p>
        </w:tc>
      </w:tr>
      <w:tr>
        <w:trPr>
          <w:trHeight w:val="202"/>
        </w:trPr>
        <w:tc>
          <w:tcPr>
            <w:tcW w:w="1260" w:type="dxa"/>
            <w:vAlign w:val="bottom"/>
            <w:tcBorders>
              <w:bottom w:val="single" w:sz="8" w:color="auto"/>
            </w:tcBorders>
            <w:vMerge w:val="continue"/>
          </w:tcPr>
          <w:p>
            <w:pPr>
              <w:spacing w:after="0"/>
              <w:rPr>
                <w:sz w:val="17"/>
                <w:szCs w:val="17"/>
                <w:color w:val="auto"/>
              </w:rPr>
            </w:pPr>
          </w:p>
        </w:tc>
        <w:tc>
          <w:tcPr>
            <w:tcW w:w="5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6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5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437.1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413.2</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2,285.1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751.9</w:t>
            </w:r>
          </w:p>
        </w:tc>
        <w:tc>
          <w:tcPr>
            <w:tcW w:w="0" w:type="dxa"/>
            <w:vAlign w:val="bottom"/>
          </w:tcPr>
          <w:p>
            <w:pPr>
              <w:spacing w:after="0"/>
              <w:rPr>
                <w:sz w:val="1"/>
                <w:szCs w:val="1"/>
                <w:color w:val="auto"/>
              </w:rPr>
            </w:pPr>
          </w:p>
        </w:tc>
      </w:tr>
      <w:tr>
        <w:trPr>
          <w:trHeight w:val="208"/>
        </w:trPr>
        <w:tc>
          <w:tcPr>
            <w:tcW w:w="126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316.1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43"/>
        </w:trPr>
        <w:tc>
          <w:tcPr>
            <w:tcW w:w="126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3,038.3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1,365.5</w:t>
            </w:r>
          </w:p>
        </w:tc>
        <w:tc>
          <w:tcPr>
            <w:tcW w:w="0" w:type="dxa"/>
            <w:vAlign w:val="bottom"/>
          </w:tcPr>
          <w:p>
            <w:pPr>
              <w:spacing w:after="0"/>
              <w:rPr>
                <w:sz w:val="1"/>
                <w:szCs w:val="1"/>
                <w:color w:val="auto"/>
              </w:rPr>
            </w:pPr>
          </w:p>
        </w:tc>
      </w:tr>
      <w:tr>
        <w:trPr>
          <w:trHeight w:val="427"/>
        </w:trPr>
        <w:tc>
          <w:tcPr>
            <w:tcW w:w="6760" w:type="dxa"/>
            <w:vAlign w:val="bottom"/>
            <w:gridSpan w:val="3"/>
          </w:tcPr>
          <w:p>
            <w:pPr>
              <w:ind w:left="20"/>
              <w:spacing w:after="0"/>
              <w:rPr>
                <w:sz w:val="20"/>
                <w:szCs w:val="20"/>
                <w:color w:val="auto"/>
              </w:rPr>
            </w:pPr>
            <w:r>
              <w:rPr>
                <w:rFonts w:ascii="Arial" w:cs="Arial" w:eastAsia="Arial" w:hAnsi="Arial"/>
                <w:sz w:val="14"/>
                <w:szCs w:val="14"/>
                <w:i w:val="1"/>
                <w:iCs w:val="1"/>
                <w:color w:val="auto"/>
              </w:rPr>
              <w:t>Balance Sheet Classification:</w:t>
            </w:r>
          </w:p>
        </w:tc>
        <w:tc>
          <w:tcPr>
            <w:tcW w:w="160" w:type="dxa"/>
            <w:vAlign w:val="bottom"/>
            <w:tcBorders>
              <w:top w:val="single" w:sz="8" w:color="auto"/>
            </w:tcBorders>
            <w:shd w:val="clear" w:color="auto" w:fill="DBDBDB"/>
          </w:tcPr>
          <w:p>
            <w:pPr>
              <w:spacing w:after="0"/>
              <w:rPr>
                <w:sz w:val="24"/>
                <w:szCs w:val="24"/>
                <w:color w:val="auto"/>
              </w:rPr>
            </w:pPr>
          </w:p>
        </w:tc>
        <w:tc>
          <w:tcPr>
            <w:tcW w:w="2020" w:type="dxa"/>
            <w:vAlign w:val="bottom"/>
            <w:tcBorders>
              <w:top w:val="single" w:sz="8" w:color="auto"/>
            </w:tcBorders>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Inventory</w:t>
            </w:r>
          </w:p>
        </w:tc>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2,982.4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1,344.4</w:t>
            </w:r>
          </w:p>
        </w:tc>
        <w:tc>
          <w:tcPr>
            <w:tcW w:w="0" w:type="dxa"/>
            <w:vAlign w:val="bottom"/>
          </w:tcPr>
          <w:p>
            <w:pPr>
              <w:spacing w:after="0"/>
              <w:rPr>
                <w:sz w:val="1"/>
                <w:szCs w:val="1"/>
                <w:color w:val="auto"/>
              </w:rPr>
            </w:pPr>
          </w:p>
        </w:tc>
      </w:tr>
      <w:tr>
        <w:trPr>
          <w:trHeight w:val="208"/>
        </w:trPr>
        <w:tc>
          <w:tcPr>
            <w:tcW w:w="6760" w:type="dxa"/>
            <w:vAlign w:val="bottom"/>
            <w:gridSpan w:val="3"/>
          </w:tcPr>
          <w:p>
            <w:pPr>
              <w:ind w:left="20"/>
              <w:spacing w:after="0"/>
              <w:rPr>
                <w:sz w:val="20"/>
                <w:szCs w:val="20"/>
                <w:color w:val="auto"/>
              </w:rPr>
            </w:pPr>
            <w:r>
              <w:rPr>
                <w:rFonts w:ascii="Arial" w:cs="Arial" w:eastAsia="Arial" w:hAnsi="Arial"/>
                <w:sz w:val="14"/>
                <w:szCs w:val="14"/>
                <w:color w:val="auto"/>
              </w:rPr>
              <w:t>Investments and other assets</w:t>
            </w:r>
          </w:p>
        </w:tc>
        <w:tc>
          <w:tcPr>
            <w:tcW w:w="1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55.9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22"/>
        </w:trPr>
        <w:tc>
          <w:tcPr>
            <w:tcW w:w="126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3,038.3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gridSpan w:val="2"/>
          </w:tcPr>
          <w:p>
            <w:pPr>
              <w:jc w:val="right"/>
              <w:ind w:right="60"/>
              <w:spacing w:after="0"/>
              <w:rPr>
                <w:sz w:val="20"/>
                <w:szCs w:val="20"/>
                <w:color w:val="auto"/>
              </w:rPr>
            </w:pPr>
            <w:r>
              <w:rPr>
                <w:rFonts w:ascii="Arial" w:cs="Arial" w:eastAsia="Arial" w:hAnsi="Arial"/>
                <w:sz w:val="14"/>
                <w:szCs w:val="14"/>
                <w:color w:val="auto"/>
              </w:rPr>
              <w:t>1,365.5</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 xml:space="preserve">During the third quarter of 2023 we recorded approximately $1.7 billion of acquired inventory related to SKYCLARYS as a result of our acquisition of Reata in September 2023.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7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During the first quarter of 2022 we wrote-off approximately $ 275.0 million of inventory related to ADUHELM, as a result of the final NCD, which was recognized in cost of sales within our condensed consolidated statements of income for the nine months ended September 30, 2022. We recognized approximately $ 136.0 million related to Eisai's 45.0% share of these charges in collaboration profit sharing/(loss reimbursement) within our condensed consolidated statements of income for the nine months ended September 30, 2022. As of September 30, 2023 and December 31, 2022, the carrying value of our ADUHELM inventory was immaterial.</w:t>
      </w:r>
    </w:p>
    <w:p>
      <w:pPr>
        <w:spacing w:after="0" w:line="75"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96925" cy="342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7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7:</w:t>
      </w:r>
      <w:r>
        <w:rPr>
          <w:sz w:val="20"/>
          <w:szCs w:val="20"/>
          <w:color w:val="auto"/>
        </w:rPr>
        <w:tab/>
      </w:r>
      <w:r>
        <w:rPr>
          <w:rFonts w:ascii="Arial" w:cs="Arial" w:eastAsia="Arial" w:hAnsi="Arial"/>
          <w:sz w:val="21"/>
          <w:szCs w:val="21"/>
          <w:b w:val="1"/>
          <w:bCs w:val="1"/>
          <w:color w:val="0070C0"/>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31750</wp:posOffset>
            </wp:positionV>
            <wp:extent cx="60261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2380" w:type="dxa"/>
            <w:vAlign w:val="bottom"/>
            <w:tcBorders>
              <w:bottom w:val="single" w:sz="8" w:color="auto"/>
            </w:tcBorders>
            <w:gridSpan w:val="6"/>
            <w:shd w:val="clear" w:color="auto" w:fill="DDDDDD"/>
          </w:tcPr>
          <w:p>
            <w:pPr>
              <w:jc w:val="center"/>
              <w:ind w:left="408"/>
              <w:spacing w:after="0"/>
              <w:rPr>
                <w:sz w:val="20"/>
                <w:szCs w:val="20"/>
                <w:color w:val="auto"/>
              </w:rPr>
            </w:pPr>
            <w:r>
              <w:rPr>
                <w:rFonts w:ascii="Arial" w:cs="Arial" w:eastAsia="Arial" w:hAnsi="Arial"/>
                <w:sz w:val="14"/>
                <w:szCs w:val="14"/>
                <w:b w:val="1"/>
                <w:bCs w:val="1"/>
                <w:color w:val="257ACB"/>
              </w:rPr>
              <w:t>As of September 30, 2023</w:t>
            </w:r>
          </w:p>
        </w:tc>
        <w:tc>
          <w:tcPr>
            <w:tcW w:w="70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rPr>
              <w:t>As of December 31, 2022</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8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Estimated Life</w:t>
            </w: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Completed technology</w:t>
            </w:r>
          </w:p>
        </w:tc>
        <w:tc>
          <w:tcPr>
            <w:tcW w:w="1920" w:type="dxa"/>
            <w:vAlign w:val="bottom"/>
            <w:gridSpan w:val="2"/>
          </w:tcPr>
          <w:p>
            <w:pPr>
              <w:jc w:val="right"/>
              <w:ind w:right="120"/>
              <w:spacing w:after="0"/>
              <w:rPr>
                <w:sz w:val="20"/>
                <w:szCs w:val="20"/>
                <w:color w:val="auto"/>
              </w:rPr>
            </w:pPr>
            <w:r>
              <w:rPr>
                <w:rFonts w:ascii="Arial" w:cs="Arial" w:eastAsia="Arial" w:hAnsi="Arial"/>
                <w:sz w:val="14"/>
                <w:szCs w:val="14"/>
                <w:color w:val="auto"/>
              </w:rPr>
              <w:t>4-28 years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6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11,053.8</w:t>
            </w:r>
          </w:p>
        </w:tc>
        <w:tc>
          <w:tcPr>
            <w:tcW w:w="100" w:type="dxa"/>
            <w:vAlign w:val="bottom"/>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(5,793.2)</w:t>
            </w:r>
          </w:p>
        </w:tc>
        <w:tc>
          <w:tcPr>
            <w:tcW w:w="100" w:type="dxa"/>
            <w:vAlign w:val="bottom"/>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5,260.6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7,415.3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(5,629.2)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1,786.1</w:t>
            </w:r>
          </w:p>
        </w:tc>
        <w:tc>
          <w:tcPr>
            <w:tcW w:w="0" w:type="dxa"/>
            <w:vAlign w:val="bottom"/>
          </w:tcPr>
          <w:p>
            <w:pPr>
              <w:spacing w:after="0"/>
              <w:rPr>
                <w:sz w:val="1"/>
                <w:szCs w:val="1"/>
                <w:color w:val="auto"/>
              </w:rPr>
            </w:pPr>
          </w:p>
        </w:tc>
      </w:tr>
      <w:tr>
        <w:trPr>
          <w:trHeight w:val="160"/>
        </w:trPr>
        <w:tc>
          <w:tcPr>
            <w:tcW w:w="2620" w:type="dxa"/>
            <w:vAlign w:val="bottom"/>
            <w:gridSpan w:val="2"/>
            <w:vMerge w:val="restart"/>
          </w:tcPr>
          <w:p>
            <w:pPr>
              <w:ind w:left="20"/>
              <w:spacing w:after="0"/>
              <w:rPr>
                <w:sz w:val="20"/>
                <w:szCs w:val="20"/>
                <w:color w:val="auto"/>
              </w:rPr>
            </w:pPr>
            <w:r>
              <w:rPr>
                <w:rFonts w:ascii="Arial" w:cs="Arial" w:eastAsia="Arial" w:hAnsi="Arial"/>
                <w:sz w:val="14"/>
                <w:szCs w:val="14"/>
                <w:color w:val="auto"/>
              </w:rPr>
              <w:t>In-process research and development</w:t>
            </w:r>
          </w:p>
        </w:tc>
        <w:tc>
          <w:tcPr>
            <w:tcW w:w="192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6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1,920.0</w:t>
            </w:r>
          </w:p>
        </w:tc>
        <w:tc>
          <w:tcPr>
            <w:tcW w:w="100" w:type="dxa"/>
            <w:vAlign w:val="bottom"/>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1,920.0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620" w:type="dxa"/>
            <w:vAlign w:val="bottom"/>
            <w:gridSpan w:val="2"/>
            <w:vMerge w:val="continue"/>
          </w:tcPr>
          <w:p>
            <w:pPr>
              <w:spacing w:after="0"/>
              <w:rPr>
                <w:sz w:val="15"/>
                <w:szCs w:val="15"/>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5"/>
                <w:szCs w:val="15"/>
                <w:color w:val="auto"/>
              </w:rPr>
            </w:pPr>
          </w:p>
        </w:tc>
        <w:tc>
          <w:tcPr>
            <w:tcW w:w="760" w:type="dxa"/>
            <w:vAlign w:val="bottom"/>
            <w:tcBorders>
              <w:right w:val="single" w:sz="8" w:color="DBDBDB"/>
            </w:tcBorders>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20" w:type="dxa"/>
            <w:vAlign w:val="bottom"/>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700" w:type="dxa"/>
            <w:vAlign w:val="bottom"/>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Priority review voucher</w:t>
            </w:r>
          </w:p>
        </w:tc>
        <w:tc>
          <w:tcPr>
            <w:tcW w:w="192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shd w:val="clear" w:color="auto" w:fill="DBDBDB"/>
          </w:tcPr>
          <w:p>
            <w:pPr>
              <w:spacing w:after="0"/>
              <w:rPr>
                <w:sz w:val="17"/>
                <w:szCs w:val="17"/>
                <w:color w:val="auto"/>
              </w:rPr>
            </w:pPr>
          </w:p>
        </w:tc>
        <w:tc>
          <w:tcPr>
            <w:tcW w:w="76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100.0</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20" w:type="dxa"/>
            <w:vAlign w:val="bottom"/>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Trademarks and trade names</w:t>
            </w:r>
          </w:p>
        </w:tc>
        <w:tc>
          <w:tcPr>
            <w:tcW w:w="192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64.0</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22"/>
        </w:trPr>
        <w:tc>
          <w:tcPr>
            <w:tcW w:w="2620" w:type="dxa"/>
            <w:vAlign w:val="bottom"/>
            <w:gridSpan w:val="2"/>
          </w:tcPr>
          <w:p>
            <w:pPr>
              <w:ind w:left="140"/>
              <w:spacing w:after="0"/>
              <w:rPr>
                <w:sz w:val="20"/>
                <w:szCs w:val="20"/>
                <w:color w:val="auto"/>
              </w:rPr>
            </w:pPr>
            <w:r>
              <w:rPr>
                <w:rFonts w:ascii="Arial" w:cs="Arial" w:eastAsia="Arial" w:hAnsi="Arial"/>
                <w:sz w:val="14"/>
                <w:szCs w:val="14"/>
                <w:color w:val="auto"/>
              </w:rPr>
              <w:t>Total intangible assets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6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13,137.8</w:t>
            </w:r>
          </w:p>
        </w:tc>
        <w:tc>
          <w:tcPr>
            <w:tcW w:w="100" w:type="dxa"/>
            <w:vAlign w:val="bottom"/>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(5,793.2)</w:t>
            </w:r>
          </w:p>
        </w:tc>
        <w:tc>
          <w:tcPr>
            <w:tcW w:w="100" w:type="dxa"/>
            <w:vAlign w:val="bottom"/>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7,344.6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7,479.3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(5,629.2)</w:t>
            </w:r>
          </w:p>
        </w:tc>
        <w:tc>
          <w:tcPr>
            <w:tcW w:w="10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1,850.1</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Amortization and Impairments</w:t>
      </w:r>
    </w:p>
    <w:p>
      <w:pPr>
        <w:spacing w:after="0" w:line="12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For the three and nine months ended September 30, 2023, amortization and impairment of acquired intangible assets totaled $60.9 million and $ 164.0 million, respectively, compared to $56.5 million and $ 190.9 million, respectively, in the prior year comparative periods. For the three and nine months ended September 30, 2023 and 2022, we had no impairment charges.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Completed Technology</w:t>
      </w:r>
    </w:p>
    <w:p>
      <w:pPr>
        <w:spacing w:after="0" w:line="12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Completed technology primarily relates to our other marketed products and programs acquired through asset acquisitions, licenses and business combinations. In connection with our acquisition of Reata in September 2023 we acquired SKYCLARYS, a commercially-approved product in the U.S., with an estimated fair value of approximately</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$3.6 billion.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IPR&amp;D Related to Business Combinations</w:t>
      </w:r>
    </w:p>
    <w:p>
      <w:pPr>
        <w:spacing w:after="0" w:line="1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Upon commercialization, we will determine the estimated useful life and amortize these amounts based upon an economic consumption method. IPR&amp;D balances also include adjustments related to foreign currency exchange rate fluctuations. The carrying value associated with our IPR&amp;D assets as of September 30, 2023, relates to the IPR&amp;D programs we acquired in connection with our acquisition of Reata in September 2023 with an estimated fair value of approximately $1.9 billion.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Priority Review Voucher</w:t>
      </w:r>
    </w:p>
    <w:p>
      <w:pPr>
        <w:spacing w:after="0" w:line="123"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In connection with our acquisition of Reata in September 2023 we acquired a rare pediatric disease priority review voucher that may be used to obtain priority review by the FDA for a future regulatory submission or sold to a third party. We recorded the priority review voucher based on its estimated fair value of $100.0 million as an intangible asset. The estimated fair value was based on recent external purchase and sale transactions of similar vouchers.</w:t>
      </w:r>
    </w:p>
    <w:p>
      <w:pPr>
        <w:spacing w:after="0" w:line="76"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Estimated Future Amortization of Intangible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257ACB"/>
              </w:rPr>
              <w:t>As of September 30, 2023</w:t>
            </w: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2023 (remaining three months)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325.0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430.0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440.0</w:t>
            </w:r>
          </w:p>
        </w:tc>
      </w:tr>
      <w:tr>
        <w:trPr>
          <w:trHeight w:val="203"/>
        </w:trPr>
        <w:tc>
          <w:tcPr>
            <w:tcW w:w="8940" w:type="dxa"/>
            <w:vAlign w:val="bottom"/>
          </w:tcPr>
          <w:p>
            <w:pPr>
              <w:ind w:left="20"/>
              <w:spacing w:after="0"/>
              <w:rPr>
                <w:sz w:val="20"/>
                <w:szCs w:val="20"/>
                <w:color w:val="auto"/>
              </w:rPr>
            </w:pPr>
            <w:r>
              <w:rPr>
                <w:rFonts w:ascii="Arial" w:cs="Arial" w:eastAsia="Arial" w:hAnsi="Arial"/>
                <w:sz w:val="14"/>
                <w:szCs w:val="14"/>
                <w:color w:val="auto"/>
              </w:rPr>
              <w:t>2027</w:t>
            </w:r>
          </w:p>
        </w:tc>
        <w:tc>
          <w:tcPr>
            <w:tcW w:w="120" w:type="dxa"/>
            <w:vAlign w:val="bottom"/>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435.0</w:t>
            </w:r>
          </w:p>
        </w:tc>
      </w:tr>
      <w:tr>
        <w:trPr>
          <w:trHeight w:val="215"/>
        </w:trPr>
        <w:tc>
          <w:tcPr>
            <w:tcW w:w="8940" w:type="dxa"/>
            <w:vAlign w:val="bottom"/>
          </w:tcPr>
          <w:p>
            <w:pPr>
              <w:ind w:left="20"/>
              <w:spacing w:after="0"/>
              <w:rPr>
                <w:sz w:val="20"/>
                <w:szCs w:val="20"/>
                <w:color w:val="auto"/>
              </w:rPr>
            </w:pPr>
            <w:r>
              <w:rPr>
                <w:rFonts w:ascii="Arial" w:cs="Arial" w:eastAsia="Arial" w:hAnsi="Arial"/>
                <w:sz w:val="14"/>
                <w:szCs w:val="14"/>
                <w:color w:val="auto"/>
              </w:rPr>
              <w:t>2028</w:t>
            </w:r>
          </w:p>
        </w:tc>
        <w:tc>
          <w:tcPr>
            <w:tcW w:w="120" w:type="dxa"/>
            <w:vAlign w:val="bottom"/>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445.0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Goodwill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 forward of the changes in our goodwill balance: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257ACB"/>
              </w:rPr>
              <w:t>As of September 30, 2023</w:t>
            </w:r>
          </w:p>
        </w:tc>
      </w:tr>
      <w:tr>
        <w:trPr>
          <w:trHeight w:val="184"/>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Goodwill, December 31, 2022</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5,749.0</w:t>
            </w:r>
          </w:p>
        </w:tc>
      </w:tr>
      <w:tr>
        <w:trPr>
          <w:trHeight w:val="203"/>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Goodwill resulting from Reata acquisition</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1,057.3</w:t>
            </w:r>
          </w:p>
        </w:tc>
      </w:tr>
      <w:tr>
        <w:trPr>
          <w:trHeight w:val="209"/>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r>
      <w:tr>
        <w:trPr>
          <w:trHeight w:val="227"/>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Goodwill, September 30, 2023</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6,807.5</w:t>
            </w:r>
          </w:p>
        </w:tc>
      </w:tr>
      <w:tr>
        <w:trPr>
          <w:trHeight w:val="20"/>
        </w:trPr>
        <w:tc>
          <w:tcPr>
            <w:tcW w:w="8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these condensed consolidated financial statements.</w:t>
      </w:r>
    </w:p>
    <w:p>
      <w:pPr>
        <w:spacing w:after="0" w:line="60"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color w:val="auto"/>
        </w:rPr>
        <w:t>As of September 30, 2023, we had no accumulated impairment losses related to goodwill. Other includes adjustments related to foreign currency exchange rate fluctuations.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8:</w:t>
      </w:r>
      <w:r>
        <w:rPr>
          <w:sz w:val="20"/>
          <w:szCs w:val="20"/>
          <w:color w:val="auto"/>
        </w:rPr>
        <w:tab/>
      </w:r>
      <w:r>
        <w:rPr>
          <w:rFonts w:ascii="Arial" w:cs="Arial" w:eastAsia="Arial" w:hAnsi="Arial"/>
          <w:sz w:val="21"/>
          <w:szCs w:val="21"/>
          <w:b w:val="1"/>
          <w:bCs w:val="1"/>
          <w:color w:val="0070C0"/>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19"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on a Recurring Basis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spacing w:after="0"/>
              <w:rPr>
                <w:sz w:val="17"/>
                <w:szCs w:val="17"/>
                <w:color w:val="auto"/>
              </w:rPr>
            </w:pP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3240" w:type="dxa"/>
            <w:vAlign w:val="bottom"/>
            <w:tcBorders>
              <w:bottom w:val="single" w:sz="8" w:color="auto"/>
            </w:tcBorders>
            <w:gridSpan w:val="5"/>
            <w:shd w:val="clear" w:color="auto" w:fill="DDDDDD"/>
          </w:tcPr>
          <w:p>
            <w:pPr>
              <w:ind w:left="640"/>
              <w:spacing w:after="0"/>
              <w:rPr>
                <w:sz w:val="20"/>
                <w:szCs w:val="20"/>
                <w:color w:val="auto"/>
              </w:rPr>
            </w:pPr>
            <w:r>
              <w:rPr>
                <w:rFonts w:ascii="Arial" w:cs="Arial" w:eastAsia="Arial" w:hAnsi="Arial"/>
                <w:sz w:val="14"/>
                <w:szCs w:val="14"/>
                <w:b w:val="1"/>
                <w:bCs w:val="1"/>
                <w:color w:val="257ACB"/>
              </w:rPr>
              <w:t>As of September 30, 2023</w:t>
            </w:r>
          </w:p>
        </w:tc>
        <w:tc>
          <w:tcPr>
            <w:tcW w:w="200" w:type="dxa"/>
            <w:vAlign w:val="bottom"/>
            <w:tcBorders>
              <w:bottom w:val="single" w:sz="8" w:color="auto"/>
            </w:tcBorders>
            <w:shd w:val="clear" w:color="auto" w:fill="DDDDDD"/>
          </w:tcPr>
          <w:p>
            <w:pPr>
              <w:spacing w:after="0"/>
              <w:rPr>
                <w:sz w:val="17"/>
                <w:szCs w:val="17"/>
                <w:color w:val="auto"/>
              </w:rPr>
            </w:pPr>
          </w:p>
        </w:tc>
        <w:tc>
          <w:tcPr>
            <w:tcW w:w="136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2"/>
                <w:szCs w:val="12"/>
                <w:color w:val="auto"/>
              </w:rPr>
            </w:pPr>
          </w:p>
        </w:tc>
        <w:tc>
          <w:tcPr>
            <w:tcW w:w="136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in Active</w:t>
            </w: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1"/>
                <w:szCs w:val="11"/>
                <w:color w:val="auto"/>
              </w:rPr>
            </w:pPr>
          </w:p>
        </w:tc>
        <w:tc>
          <w:tcPr>
            <w:tcW w:w="15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Observable Inputs</w:t>
            </w: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201"/>
        </w:trPr>
        <w:tc>
          <w:tcPr>
            <w:tcW w:w="45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5"/>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1,920.4</w:t>
            </w:r>
          </w:p>
        </w:tc>
        <w:tc>
          <w:tcPr>
            <w:tcW w:w="24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257ACB"/>
                <w:w w:val="76"/>
              </w:rPr>
              <w:t>$</w:t>
            </w: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1,920.4</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413.6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413.6</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18"/>
                <w:szCs w:val="18"/>
                <w:color w:val="auto"/>
                <w:vertAlign w:val="superscript"/>
              </w:rPr>
              <w:t>(1)</w:t>
            </w:r>
          </w:p>
        </w:tc>
        <w:tc>
          <w:tcPr>
            <w:tcW w:w="1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422.3</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422.3</w:t>
            </w:r>
          </w:p>
        </w:tc>
        <w:tc>
          <w:tcPr>
            <w:tcW w:w="0" w:type="dxa"/>
            <w:vAlign w:val="bottom"/>
          </w:tcPr>
          <w:p>
            <w:pPr>
              <w:spacing w:after="0"/>
              <w:rPr>
                <w:sz w:val="1"/>
                <w:szCs w:val="1"/>
                <w:color w:val="auto"/>
              </w:rPr>
            </w:pPr>
          </w:p>
        </w:tc>
      </w:tr>
      <w:tr>
        <w:trPr>
          <w:trHeight w:val="190"/>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6"/>
                <w:szCs w:val="16"/>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27.8</w:t>
            </w: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Plan assets for deferred compensation</w:t>
            </w:r>
          </w:p>
        </w:tc>
        <w:tc>
          <w:tcPr>
            <w:tcW w:w="100" w:type="dxa"/>
            <w:vAlign w:val="bottom"/>
            <w:shd w:val="clear" w:color="auto" w:fill="DBDBDB"/>
          </w:tcPr>
          <w:p>
            <w:pPr>
              <w:spacing w:after="0"/>
              <w:rPr>
                <w:sz w:val="17"/>
                <w:szCs w:val="17"/>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39.0</w:t>
            </w:r>
          </w:p>
        </w:tc>
        <w:tc>
          <w:tcPr>
            <w:tcW w:w="12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8"/>
        </w:trPr>
        <w:tc>
          <w:tcPr>
            <w:tcW w:w="4680" w:type="dxa"/>
            <w:vAlign w:val="bottom"/>
            <w:gridSpan w:val="2"/>
          </w:tcPr>
          <w:p>
            <w:pPr>
              <w:ind w:left="340"/>
              <w:spacing w:after="0"/>
              <w:rPr>
                <w:sz w:val="20"/>
                <w:szCs w:val="20"/>
                <w:color w:val="auto"/>
              </w:rPr>
            </w:pPr>
            <w:r>
              <w:rPr>
                <w:rFonts w:ascii="Arial" w:cs="Arial" w:eastAsia="Arial" w:hAnsi="Arial"/>
                <w:sz w:val="14"/>
                <w:szCs w:val="14"/>
                <w:color w:val="auto"/>
              </w:rPr>
              <w:t>Derivative contracts</w:t>
            </w:r>
          </w:p>
        </w:tc>
        <w:tc>
          <w:tcPr>
            <w:tcW w:w="10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w:t>
            </w:r>
          </w:p>
        </w:tc>
        <w:tc>
          <w:tcPr>
            <w:tcW w:w="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43"/>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2,826.5</w:t>
            </w:r>
          </w:p>
        </w:tc>
        <w:tc>
          <w:tcPr>
            <w:tcW w:w="40" w:type="dxa"/>
            <w:vAlign w:val="bottom"/>
            <w:tcBorders>
              <w:top w:val="single" w:sz="8" w:color="auto"/>
              <w:bottom w:val="single" w:sz="8" w:color="auto"/>
            </w:tcBorders>
            <w:shd w:val="clear" w:color="auto" w:fill="DBDBDB"/>
          </w:tcPr>
          <w:p>
            <w:pPr>
              <w:spacing w:after="0"/>
              <w:rPr>
                <w:sz w:val="21"/>
                <w:szCs w:val="21"/>
                <w:color w:val="auto"/>
              </w:rPr>
            </w:pP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w w:val="76"/>
              </w:rPr>
              <w:t>$</w:t>
            </w:r>
          </w:p>
        </w:tc>
        <w:tc>
          <w:tcPr>
            <w:tcW w:w="146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413.6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1,990.6</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422.3</w:t>
            </w:r>
          </w:p>
        </w:tc>
        <w:tc>
          <w:tcPr>
            <w:tcW w:w="0" w:type="dxa"/>
            <w:vAlign w:val="bottom"/>
          </w:tcPr>
          <w:p>
            <w:pPr>
              <w:spacing w:after="0"/>
              <w:rPr>
                <w:sz w:val="1"/>
                <w:szCs w:val="1"/>
                <w:color w:val="auto"/>
              </w:rPr>
            </w:pPr>
          </w:p>
        </w:tc>
      </w:tr>
      <w:tr>
        <w:trPr>
          <w:trHeight w:val="157"/>
        </w:trPr>
        <w:tc>
          <w:tcPr>
            <w:tcW w:w="468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Liabilities:</w:t>
            </w:r>
          </w:p>
        </w:tc>
        <w:tc>
          <w:tcPr>
            <w:tcW w:w="100" w:type="dxa"/>
            <w:vAlign w:val="bottom"/>
            <w:shd w:val="clear" w:color="auto" w:fill="DBDBDB"/>
          </w:tcPr>
          <w:p>
            <w:pPr>
              <w:spacing w:after="0"/>
              <w:rPr>
                <w:sz w:val="13"/>
                <w:szCs w:val="13"/>
                <w:color w:val="auto"/>
              </w:rPr>
            </w:pPr>
          </w:p>
        </w:tc>
        <w:tc>
          <w:tcPr>
            <w:tcW w:w="14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37.5</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w w:val="76"/>
              </w:rPr>
              <w:t>$</w:t>
            </w:r>
          </w:p>
        </w:tc>
        <w:tc>
          <w:tcPr>
            <w:tcW w:w="1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37.5</w:t>
            </w:r>
          </w:p>
        </w:tc>
        <w:tc>
          <w:tcPr>
            <w:tcW w:w="12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22"/>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37.5</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ind w:left="20"/>
              <w:spacing w:after="0"/>
              <w:rPr>
                <w:sz w:val="20"/>
                <w:szCs w:val="20"/>
                <w:color w:val="auto"/>
              </w:rPr>
            </w:pPr>
            <w:r>
              <w:rPr>
                <w:rFonts w:ascii="Arial" w:cs="Arial" w:eastAsia="Arial" w:hAnsi="Arial"/>
                <w:sz w:val="14"/>
                <w:szCs w:val="14"/>
                <w:color w:val="257ACB"/>
                <w:w w:val="76"/>
              </w:rPr>
              <w:t>$</w:t>
            </w: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37.5</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171450</wp:posOffset>
            </wp:positionV>
            <wp:extent cx="24085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53" w:lineRule="exact"/>
        <w:rPr>
          <w:sz w:val="20"/>
          <w:szCs w:val="20"/>
          <w:color w:val="auto"/>
        </w:rPr>
      </w:pPr>
    </w:p>
    <w:p>
      <w:pPr>
        <w:jc w:val="both"/>
        <w:ind w:right="100" w:firstLine="8"/>
        <w:spacing w:after="0" w:line="266" w:lineRule="auto"/>
        <w:tabs>
          <w:tab w:leader="none" w:pos="154"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 xml:space="preserve">Represents the fair value of the current payment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Arial" w:cs="Arial" w:eastAsia="Arial" w:hAnsi="Arial"/>
          <w:sz w:val="13"/>
          <w:szCs w:val="13"/>
          <w:i w:val="1"/>
          <w:iCs w:val="1"/>
          <w:color w:val="auto"/>
        </w:rPr>
        <w:t>Note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3, Dispositions, </w:t>
      </w:r>
      <w:r>
        <w:rPr>
          <w:rFonts w:ascii="Arial" w:cs="Arial" w:eastAsia="Arial" w:hAnsi="Arial"/>
          <w:sz w:val="13"/>
          <w:szCs w:val="13"/>
          <w:color w:val="auto"/>
        </w:rPr>
        <w:t>to these condensed consolidated financial statements.</w:t>
      </w:r>
    </w:p>
    <w:p>
      <w:pPr>
        <w:spacing w:after="0" w:line="55"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color w:val="auto"/>
        </w:rPr>
        <w:t xml:space="preserve">During the third quarter of 2023 we sold all of our marketable debt securities and used the proceeds to partially fund our acquisition of Reata.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Fair Value Measurements on a Recurring Basis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2"/>
                <w:szCs w:val="12"/>
                <w:color w:val="auto"/>
              </w:rPr>
            </w:pPr>
          </w:p>
        </w:tc>
        <w:tc>
          <w:tcPr>
            <w:tcW w:w="136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in Active</w:t>
            </w:r>
          </w:p>
        </w:tc>
        <w:tc>
          <w:tcPr>
            <w:tcW w:w="1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28"/>
              <w:spacing w:after="0" w:line="148"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Observable Inputs</w:t>
            </w:r>
          </w:p>
        </w:tc>
        <w:tc>
          <w:tcPr>
            <w:tcW w:w="200" w:type="dxa"/>
            <w:vAlign w:val="bottom"/>
          </w:tcPr>
          <w:p>
            <w:pPr>
              <w:spacing w:after="0"/>
              <w:rPr>
                <w:sz w:val="12"/>
                <w:szCs w:val="12"/>
                <w:color w:val="auto"/>
              </w:rPr>
            </w:pPr>
          </w:p>
        </w:tc>
        <w:tc>
          <w:tcPr>
            <w:tcW w:w="13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2,847.6</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2,847.6</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1,231.6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1,231.6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810.3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810.3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137.3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18"/>
                <w:szCs w:val="18"/>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798.8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798.8</w:t>
            </w:r>
          </w:p>
        </w:tc>
        <w:tc>
          <w:tcPr>
            <w:tcW w:w="0" w:type="dxa"/>
            <w:vAlign w:val="bottom"/>
          </w:tcPr>
          <w:p>
            <w:pPr>
              <w:spacing w:after="0"/>
              <w:rPr>
                <w:sz w:val="1"/>
                <w:szCs w:val="1"/>
                <w:color w:val="auto"/>
              </w:rPr>
            </w:pPr>
          </w:p>
        </w:tc>
      </w:tr>
      <w:tr>
        <w:trPr>
          <w:trHeight w:val="182"/>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4680" w:type="dxa"/>
            <w:vAlign w:val="bottom"/>
            <w:gridSpan w:val="2"/>
          </w:tcPr>
          <w:p>
            <w:pPr>
              <w:ind w:left="34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18"/>
                <w:szCs w:val="18"/>
                <w:color w:val="auto"/>
                <w:vertAlign w:val="superscript"/>
              </w:rPr>
              <w:t>(1)</w:t>
            </w:r>
          </w:p>
        </w:tc>
        <w:tc>
          <w:tcPr>
            <w:tcW w:w="36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405.4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405.4</w:t>
            </w:r>
          </w:p>
        </w:tc>
        <w:tc>
          <w:tcPr>
            <w:tcW w:w="0" w:type="dxa"/>
            <w:vAlign w:val="bottom"/>
          </w:tcPr>
          <w:p>
            <w:pPr>
              <w:spacing w:after="0"/>
              <w:rPr>
                <w:sz w:val="1"/>
                <w:szCs w:val="1"/>
                <w:color w:val="auto"/>
              </w:rPr>
            </w:pPr>
          </w:p>
        </w:tc>
      </w:tr>
      <w:tr>
        <w:trPr>
          <w:trHeight w:val="196"/>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7,117.9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5,122.6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1,204.2</w:t>
            </w:r>
          </w:p>
        </w:tc>
        <w:tc>
          <w:tcPr>
            <w:tcW w:w="0" w:type="dxa"/>
            <w:vAlign w:val="bottom"/>
          </w:tcPr>
          <w:p>
            <w:pPr>
              <w:spacing w:after="0"/>
              <w:rPr>
                <w:sz w:val="1"/>
                <w:szCs w:val="1"/>
                <w:color w:val="auto"/>
              </w:rPr>
            </w:pPr>
          </w:p>
        </w:tc>
      </w:tr>
      <w:tr>
        <w:trPr>
          <w:trHeight w:val="21"/>
        </w:trPr>
        <w:tc>
          <w:tcPr>
            <w:tcW w:w="46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6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180340</wp:posOffset>
            </wp:positionV>
            <wp:extent cx="24085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53" w:lineRule="exact"/>
        <w:rPr>
          <w:sz w:val="20"/>
          <w:szCs w:val="20"/>
          <w:color w:val="auto"/>
        </w:rPr>
      </w:pPr>
    </w:p>
    <w:p>
      <w:pPr>
        <w:ind w:right="280" w:firstLine="8"/>
        <w:spacing w:after="0" w:line="277" w:lineRule="auto"/>
        <w:tabs>
          <w:tab w:leader="none" w:pos="154" w:val="left"/>
        </w:tabs>
        <w:numPr>
          <w:ilvl w:val="0"/>
          <w:numId w:val="13"/>
        </w:numPr>
        <w:rPr>
          <w:rFonts w:ascii="Arial" w:cs="Arial" w:eastAsia="Arial" w:hAnsi="Arial"/>
          <w:sz w:val="9"/>
          <w:szCs w:val="9"/>
          <w:color w:val="auto"/>
        </w:rPr>
      </w:pPr>
      <w:r>
        <w:rPr>
          <w:rFonts w:ascii="Arial" w:cs="Arial" w:eastAsia="Arial" w:hAnsi="Arial"/>
          <w:sz w:val="14"/>
          <w:szCs w:val="14"/>
          <w:color w:val="auto"/>
        </w:rPr>
        <w:t xml:space="preserve">Represents the fair value of the current and non-current payments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Arial" w:cs="Arial" w:eastAsia="Arial" w:hAnsi="Arial"/>
          <w:sz w:val="14"/>
          <w:szCs w:val="14"/>
          <w:i w:val="1"/>
          <w:iCs w:val="1"/>
          <w:color w:val="auto"/>
        </w:rPr>
        <w:t>Note 3, Dispositions,</w:t>
      </w:r>
      <w:r>
        <w:rPr>
          <w:rFonts w:ascii="Arial" w:cs="Arial" w:eastAsia="Arial" w:hAnsi="Arial"/>
          <w:sz w:val="14"/>
          <w:szCs w:val="14"/>
          <w:color w:val="auto"/>
        </w:rPr>
        <w:t xml:space="preserve"> to these condensed consolidated financial statements.</w:t>
      </w:r>
    </w:p>
    <w:p>
      <w:pPr>
        <w:spacing w:after="0" w:line="6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marketable equity securities represent investments in publicly traded equity securities. Our ability to liquidate our investments in Denali, Sage and Sangamo may be limited by the size of our interest, the volume of market related activity, our concentrated level of ownership and potential restrictions resulting from our status as a collaborator. Therefore, we may realize significantly less than the current value of such investments.</w:t>
      </w:r>
    </w:p>
    <w:p>
      <w:pPr>
        <w:spacing w:after="0" w:line="7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 xml:space="preserve">For additional information on our investments in Denali, Sangamo and Sage common stock,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 in our 2022 Form 10-K.</w:t>
      </w:r>
    </w:p>
    <w:p>
      <w:pPr>
        <w:spacing w:after="0" w:line="60"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color w:val="auto"/>
        </w:rPr>
        <w:t>There have been no material impairments of our assets measured and carried at fair value as of September 30, 2023 and December 31, 2022. In addition, there have been no changes to our valuation techniques as of September 30, 2023 and December 31, 2022.</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xml:space="preserve"> to our consolidated financial statements included in our 2022 Form 10-K.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Level 3 Assets and Liabilities Held at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into or out of Level 3 as of September 30, 2023 and December 31,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Contingent Consideration Obligations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our acquisition of Convergence, we agreed to make additional payments based upon the achievement of certain milestone events. The following table provides a roll forward of the fair value of our contingent consideration obligations, which were classified as Level 3 measurements:</w:t>
      </w:r>
    </w:p>
    <w:tbl>
      <w:tblPr>
        <w:tblLayout w:type="fixed"/>
        <w:tblInd w:w="0" w:type="dxa"/>
        <w:tblCellMar>
          <w:top w:w="0" w:type="dxa"/>
          <w:left w:w="0" w:type="dxa"/>
          <w:bottom w:w="0" w:type="dxa"/>
          <w:right w:w="0" w:type="dxa"/>
        </w:tblCellMar>
      </w:tblPr>
      <w:tr>
        <w:trPr>
          <w:trHeight w:val="156"/>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3"/>
                <w:szCs w:val="13"/>
                <w:color w:val="auto"/>
              </w:rPr>
            </w:pPr>
          </w:p>
        </w:tc>
        <w:tc>
          <w:tcPr>
            <w:tcW w:w="2100" w:type="dxa"/>
            <w:vAlign w:val="bottom"/>
          </w:tcPr>
          <w:p>
            <w:pPr>
              <w:jc w:val="right"/>
              <w:ind w:right="128"/>
              <w:spacing w:after="0" w:line="156" w:lineRule="exact"/>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64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184"/>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period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208"/>
        </w:trPr>
        <w:tc>
          <w:tcPr>
            <w:tcW w:w="6560" w:type="dxa"/>
            <w:vAlign w:val="bottom"/>
            <w:gridSpan w:val="2"/>
          </w:tcPr>
          <w:p>
            <w:pPr>
              <w:ind w:left="140"/>
              <w:spacing w:after="0"/>
              <w:rPr>
                <w:sz w:val="20"/>
                <w:szCs w:val="20"/>
                <w:color w:val="auto"/>
              </w:rPr>
            </w:pPr>
            <w:r>
              <w:rPr>
                <w:rFonts w:ascii="Arial" w:cs="Arial" w:eastAsia="Arial" w:hAnsi="Arial"/>
                <w:sz w:val="14"/>
                <w:szCs w:val="14"/>
                <w:color w:val="auto"/>
              </w:rPr>
              <w:t>Changes in fair value</w:t>
            </w: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2"/>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Fair value,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Changes in the fair value of our contingent consideration obligations are recorded in (gain) loss on fair value remeasurement of contingent consideration in our condensed consolidated statements of income.</w:t>
      </w:r>
    </w:p>
    <w:p>
      <w:pPr>
        <w:spacing w:after="0" w:line="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fourth quarter of 2022 we discontinued further development efforts related to vixotrigine for the potential treatment of TGN and DPN, resulting in a reduction of our contingent consideration obligations of approximately $195.4 million, reducing the fair value of vixotrigine to zero.</w:t>
      </w:r>
    </w:p>
    <w:p>
      <w:pPr>
        <w:spacing w:after="0" w:line="7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For the three and nine months ended September 30, 2022, the changes in fair value of our contingent consideration obligations were primarily due to increases in the discount rates used to revalue these obligations and delays in the expected timing of the achievement of certain remaining developmental milestones related to our vixotrigine programs.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Financial Instruments Not Carried at Fair Value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Financial Instruments</w:t>
      </w:r>
    </w:p>
    <w:p>
      <w:pPr>
        <w:spacing w:after="0" w:line="12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Due to the short-term nature of certain financial instruments, the carrying value reflected in our condensed consolidated balance sheets for current accounts receivable, due from anti-CD20 therapeutic programs, other current assets, accounts payable and accrued expense and other, approximates fair value.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Debt Instruments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fair and carrying values of our senior notes debt instruments, which are Level 2 liabilities,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Borders>
              <w:bottom w:val="single" w:sz="8" w:color="auto"/>
            </w:tcBorders>
            <w:gridSpan w:val="5"/>
            <w:shd w:val="clear" w:color="auto" w:fill="DDDDDD"/>
          </w:tcPr>
          <w:p>
            <w:pPr>
              <w:jc w:val="right"/>
              <w:ind w:right="608"/>
              <w:spacing w:after="0"/>
              <w:rPr>
                <w:sz w:val="20"/>
                <w:szCs w:val="20"/>
                <w:color w:val="auto"/>
              </w:rPr>
            </w:pPr>
            <w:r>
              <w:rPr>
                <w:rFonts w:ascii="Arial" w:cs="Arial" w:eastAsia="Arial" w:hAnsi="Arial"/>
                <w:sz w:val="14"/>
                <w:szCs w:val="14"/>
                <w:b w:val="1"/>
                <w:bCs w:val="1"/>
                <w:color w:val="257ACB"/>
              </w:rPr>
              <w:t>As of September 30, 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4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94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Fair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8"/>
              <w:spacing w:after="0" w:line="14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ind w:left="280"/>
              <w:spacing w:after="0" w:line="143"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220" w:type="dxa"/>
            <w:vAlign w:val="bottom"/>
          </w:tcPr>
          <w:p>
            <w:pPr>
              <w:jc w:val="right"/>
              <w:ind w:right="388"/>
              <w:spacing w:after="0" w:line="143"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478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4"/>
        </w:trPr>
        <w:tc>
          <w:tcPr>
            <w:tcW w:w="540" w:type="dxa"/>
            <w:vAlign w:val="bottom"/>
          </w:tcPr>
          <w:p>
            <w:pPr>
              <w:ind w:left="20"/>
              <w:spacing w:after="0"/>
              <w:rPr>
                <w:sz w:val="20"/>
                <w:szCs w:val="20"/>
                <w:color w:val="auto"/>
              </w:rPr>
            </w:pPr>
            <w:r>
              <w:rPr>
                <w:rFonts w:ascii="Arial" w:cs="Arial" w:eastAsia="Arial" w:hAnsi="Arial"/>
                <w:sz w:val="14"/>
                <w:szCs w:val="14"/>
                <w:color w:val="auto"/>
              </w:rPr>
              <w:t>4.050%</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2025</w:t>
            </w: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98"/>
              </w:rPr>
              <w:t>1,689.6</w:t>
            </w:r>
          </w:p>
        </w:tc>
        <w:tc>
          <w:tcPr>
            <w:tcW w:w="100" w:type="dxa"/>
            <w:vAlign w:val="bottom"/>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1,746.2</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1,699.9</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1,744.7</w:t>
            </w:r>
          </w:p>
        </w:tc>
        <w:tc>
          <w:tcPr>
            <w:tcW w:w="0" w:type="dxa"/>
            <w:vAlign w:val="bottom"/>
          </w:tcPr>
          <w:p>
            <w:pPr>
              <w:spacing w:after="0"/>
              <w:rPr>
                <w:sz w:val="1"/>
                <w:szCs w:val="1"/>
                <w:color w:val="auto"/>
              </w:rPr>
            </w:pPr>
          </w:p>
        </w:tc>
      </w:tr>
      <w:tr>
        <w:trPr>
          <w:trHeight w:val="203"/>
        </w:trPr>
        <w:tc>
          <w:tcPr>
            <w:tcW w:w="540" w:type="dxa"/>
            <w:vAlign w:val="bottom"/>
          </w:tcPr>
          <w:p>
            <w:pPr>
              <w:ind w:left="20"/>
              <w:spacing w:after="0"/>
              <w:rPr>
                <w:sz w:val="20"/>
                <w:szCs w:val="20"/>
                <w:color w:val="auto"/>
              </w:rPr>
            </w:pPr>
            <w:r>
              <w:rPr>
                <w:rFonts w:ascii="Arial" w:cs="Arial" w:eastAsia="Arial" w:hAnsi="Arial"/>
                <w:sz w:val="14"/>
                <w:szCs w:val="14"/>
                <w:color w:val="auto"/>
              </w:rPr>
              <w:t>2.250%</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2030</w:t>
            </w:r>
          </w:p>
        </w:tc>
        <w:tc>
          <w:tcPr>
            <w:tcW w:w="94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98"/>
              </w:rPr>
              <w:t>1,196.2</w:t>
            </w:r>
          </w:p>
        </w:tc>
        <w:tc>
          <w:tcPr>
            <w:tcW w:w="10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1,492.9</w:t>
            </w:r>
          </w:p>
        </w:tc>
        <w:tc>
          <w:tcPr>
            <w:tcW w:w="0" w:type="dxa"/>
            <w:vAlign w:val="bottom"/>
          </w:tcPr>
          <w:p>
            <w:pPr>
              <w:spacing w:after="0"/>
              <w:rPr>
                <w:sz w:val="1"/>
                <w:szCs w:val="1"/>
                <w:color w:val="auto"/>
              </w:rPr>
            </w:pPr>
          </w:p>
        </w:tc>
      </w:tr>
      <w:tr>
        <w:trPr>
          <w:trHeight w:val="203"/>
        </w:trPr>
        <w:tc>
          <w:tcPr>
            <w:tcW w:w="540" w:type="dxa"/>
            <w:vAlign w:val="bottom"/>
          </w:tcPr>
          <w:p>
            <w:pPr>
              <w:ind w:left="20"/>
              <w:spacing w:after="0"/>
              <w:rPr>
                <w:sz w:val="20"/>
                <w:szCs w:val="20"/>
                <w:color w:val="auto"/>
              </w:rPr>
            </w:pPr>
            <w:r>
              <w:rPr>
                <w:rFonts w:ascii="Arial" w:cs="Arial" w:eastAsia="Arial" w:hAnsi="Arial"/>
                <w:sz w:val="14"/>
                <w:szCs w:val="14"/>
                <w:color w:val="auto"/>
              </w:rPr>
              <w:t>5.200%</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September 15, 2045</w:t>
            </w:r>
          </w:p>
        </w:tc>
        <w:tc>
          <w:tcPr>
            <w:tcW w:w="94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972.7</w:t>
            </w:r>
          </w:p>
        </w:tc>
        <w:tc>
          <w:tcPr>
            <w:tcW w:w="10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1,100.5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1,033.2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1,100.3</w:t>
            </w:r>
          </w:p>
        </w:tc>
        <w:tc>
          <w:tcPr>
            <w:tcW w:w="0" w:type="dxa"/>
            <w:vAlign w:val="bottom"/>
          </w:tcPr>
          <w:p>
            <w:pPr>
              <w:spacing w:after="0"/>
              <w:rPr>
                <w:sz w:val="1"/>
                <w:szCs w:val="1"/>
                <w:color w:val="auto"/>
              </w:rPr>
            </w:pPr>
          </w:p>
        </w:tc>
      </w:tr>
      <w:tr>
        <w:trPr>
          <w:trHeight w:val="203"/>
        </w:trPr>
        <w:tc>
          <w:tcPr>
            <w:tcW w:w="540" w:type="dxa"/>
            <w:vAlign w:val="bottom"/>
          </w:tcPr>
          <w:p>
            <w:pPr>
              <w:ind w:left="20"/>
              <w:spacing w:after="0"/>
              <w:rPr>
                <w:sz w:val="20"/>
                <w:szCs w:val="20"/>
                <w:color w:val="auto"/>
              </w:rPr>
            </w:pPr>
            <w:r>
              <w:rPr>
                <w:rFonts w:ascii="Arial" w:cs="Arial" w:eastAsia="Arial" w:hAnsi="Arial"/>
                <w:sz w:val="14"/>
                <w:szCs w:val="14"/>
                <w:color w:val="auto"/>
              </w:rPr>
              <w:t>3.150%</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May 1, 2050</w:t>
            </w:r>
          </w:p>
        </w:tc>
        <w:tc>
          <w:tcPr>
            <w:tcW w:w="940" w:type="dxa"/>
            <w:vAlign w:val="bottom"/>
            <w:shd w:val="clear" w:color="auto" w:fill="DBDBDB"/>
          </w:tcPr>
          <w:p>
            <w:pPr>
              <w:spacing w:after="0"/>
              <w:rPr>
                <w:sz w:val="17"/>
                <w:szCs w:val="17"/>
                <w:color w:val="auto"/>
              </w:rPr>
            </w:pPr>
          </w:p>
        </w:tc>
        <w:tc>
          <w:tcPr>
            <w:tcW w:w="5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909.2</w:t>
            </w:r>
          </w:p>
        </w:tc>
        <w:tc>
          <w:tcPr>
            <w:tcW w:w="10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1,474.2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1,473.8</w:t>
            </w:r>
          </w:p>
        </w:tc>
        <w:tc>
          <w:tcPr>
            <w:tcW w:w="0" w:type="dxa"/>
            <w:vAlign w:val="bottom"/>
          </w:tcPr>
          <w:p>
            <w:pPr>
              <w:spacing w:after="0"/>
              <w:rPr>
                <w:sz w:val="1"/>
                <w:szCs w:val="1"/>
                <w:color w:val="auto"/>
              </w:rPr>
            </w:pPr>
          </w:p>
        </w:tc>
      </w:tr>
      <w:tr>
        <w:trPr>
          <w:trHeight w:val="208"/>
        </w:trPr>
        <w:tc>
          <w:tcPr>
            <w:tcW w:w="540" w:type="dxa"/>
            <w:vAlign w:val="bottom"/>
          </w:tcPr>
          <w:p>
            <w:pPr>
              <w:ind w:left="20"/>
              <w:spacing w:after="0"/>
              <w:rPr>
                <w:sz w:val="20"/>
                <w:szCs w:val="20"/>
                <w:color w:val="auto"/>
              </w:rPr>
            </w:pPr>
            <w:r>
              <w:rPr>
                <w:rFonts w:ascii="Arial" w:cs="Arial" w:eastAsia="Arial" w:hAnsi="Arial"/>
                <w:sz w:val="14"/>
                <w:szCs w:val="14"/>
                <w:color w:val="auto"/>
              </w:rPr>
              <w:t>3.250%</w:t>
            </w:r>
          </w:p>
        </w:tc>
        <w:tc>
          <w:tcPr>
            <w:tcW w:w="4360" w:type="dxa"/>
            <w:vAlign w:val="bottom"/>
            <w:gridSpan w:val="2"/>
          </w:tcPr>
          <w:p>
            <w:pPr>
              <w:ind w:left="20"/>
              <w:spacing w:after="0"/>
              <w:rPr>
                <w:sz w:val="20"/>
                <w:szCs w:val="20"/>
                <w:color w:val="auto"/>
              </w:rPr>
            </w:pPr>
            <w:r>
              <w:rPr>
                <w:rFonts w:ascii="Arial" w:cs="Arial" w:eastAsia="Arial" w:hAnsi="Arial"/>
                <w:sz w:val="14"/>
                <w:szCs w:val="14"/>
                <w:color w:val="auto"/>
              </w:rPr>
              <w:t>Senior Notes due February 15, 2051</w:t>
            </w:r>
          </w:p>
        </w:tc>
        <w:tc>
          <w:tcPr>
            <w:tcW w:w="940" w:type="dxa"/>
            <w:vAlign w:val="bottom"/>
            <w:tcBorders>
              <w:bottom w:val="single" w:sz="8" w:color="auto"/>
            </w:tcBorders>
            <w:shd w:val="clear" w:color="auto" w:fill="DBDBDB"/>
          </w:tcPr>
          <w:p>
            <w:pPr>
              <w:spacing w:after="0"/>
              <w:rPr>
                <w:sz w:val="18"/>
                <w:szCs w:val="18"/>
                <w:color w:val="auto"/>
              </w:rPr>
            </w:pPr>
          </w:p>
        </w:tc>
        <w:tc>
          <w:tcPr>
            <w:tcW w:w="5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430.8</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471.9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469.3</w:t>
            </w:r>
          </w:p>
        </w:tc>
        <w:tc>
          <w:tcPr>
            <w:tcW w:w="0" w:type="dxa"/>
            <w:vAlign w:val="bottom"/>
          </w:tcPr>
          <w:p>
            <w:pPr>
              <w:spacing w:after="0"/>
              <w:rPr>
                <w:sz w:val="1"/>
                <w:szCs w:val="1"/>
                <w:color w:val="auto"/>
              </w:rPr>
            </w:pPr>
          </w:p>
        </w:tc>
      </w:tr>
      <w:tr>
        <w:trPr>
          <w:trHeight w:val="222"/>
        </w:trPr>
        <w:tc>
          <w:tcPr>
            <w:tcW w:w="540" w:type="dxa"/>
            <w:vAlign w:val="bottom"/>
          </w:tcPr>
          <w:p>
            <w:pPr>
              <w:ind w:left="140"/>
              <w:spacing w:after="0"/>
              <w:rPr>
                <w:sz w:val="20"/>
                <w:szCs w:val="20"/>
                <w:color w:val="auto"/>
              </w:rPr>
            </w:pPr>
            <w:r>
              <w:rPr>
                <w:rFonts w:ascii="Arial" w:cs="Arial" w:eastAsia="Arial" w:hAnsi="Arial"/>
                <w:sz w:val="14"/>
                <w:szCs w:val="14"/>
                <w:color w:val="auto"/>
              </w:rPr>
              <w:t>Total</w:t>
            </w:r>
          </w:p>
        </w:tc>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98"/>
              </w:rPr>
              <w:t>5,198.5</w:t>
            </w:r>
          </w:p>
        </w:tc>
        <w:tc>
          <w:tcPr>
            <w:tcW w:w="100" w:type="dxa"/>
            <w:vAlign w:val="bottom"/>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6,286.4</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5,410.2</w:t>
            </w:r>
          </w:p>
        </w:tc>
        <w:tc>
          <w:tcPr>
            <w:tcW w:w="12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6,281.0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The changes in the fair values of our Senior Notes as of September 30, 2023, compared to December 31, 2022, are primarily related to increases in U.S. treasury yields partially offset by a decrease in credit spreads used to value our Senior Notes since December 31, 2022. For additional information related to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xml:space="preserve"> to our consolidated financial statements included in our 2022 Form 10-K.</w:t>
      </w:r>
    </w:p>
    <w:p>
      <w:pPr>
        <w:spacing w:after="0" w:line="7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In connection with our acquisition of Reata we drew $1.0 billion </w:t>
      </w:r>
      <w:r>
        <w:rPr>
          <w:rFonts w:ascii="Arial" w:cs="Arial" w:eastAsia="Arial" w:hAnsi="Arial"/>
          <w:sz w:val="18"/>
          <w:szCs w:val="18"/>
          <w:b w:val="1"/>
          <w:bCs w:val="1"/>
          <w:color w:val="auto"/>
        </w:rPr>
        <w:t>on term loans under our term loan credit agreement. As of</w:t>
      </w:r>
      <w:r>
        <w:rPr>
          <w:rFonts w:ascii="Arial" w:cs="Arial" w:eastAsia="Arial" w:hAnsi="Arial"/>
          <w:sz w:val="18"/>
          <w:szCs w:val="18"/>
          <w:color w:val="auto"/>
        </w:rPr>
        <w:t xml:space="preserve"> September 30, 2023, t</w:t>
      </w:r>
      <w:r>
        <w:rPr>
          <w:rFonts w:ascii="Arial" w:cs="Arial" w:eastAsia="Arial" w:hAnsi="Arial"/>
          <w:sz w:val="18"/>
          <w:szCs w:val="18"/>
          <w:b w:val="1"/>
          <w:bCs w:val="1"/>
          <w:color w:val="auto"/>
        </w:rPr>
        <w:t>he fair value of our term loans outstanding approximate book value based on the current borrowing rates available. For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additional information on our term loan credit agreement, please read </w:t>
      </w:r>
      <w:r>
        <w:rPr>
          <w:rFonts w:ascii="Arial" w:cs="Arial" w:eastAsia="Arial" w:hAnsi="Arial"/>
          <w:sz w:val="18"/>
          <w:szCs w:val="18"/>
          <w:b w:val="1"/>
          <w:bCs w:val="1"/>
          <w:i w:val="1"/>
          <w:iCs w:val="1"/>
          <w:color w:val="auto"/>
        </w:rPr>
        <w:t>Note 13,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to these condensed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9:</w:t>
      </w:r>
      <w:r>
        <w:rPr>
          <w:sz w:val="20"/>
          <w:szCs w:val="20"/>
          <w:color w:val="auto"/>
        </w:rPr>
        <w:tab/>
      </w:r>
      <w:r>
        <w:rPr>
          <w:rFonts w:ascii="Arial" w:cs="Arial" w:eastAsia="Arial" w:hAnsi="Arial"/>
          <w:sz w:val="21"/>
          <w:szCs w:val="21"/>
          <w:b w:val="1"/>
          <w:bCs w:val="1"/>
          <w:color w:val="0070C0"/>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177.2</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1,920.4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2,581.5</w:t>
            </w:r>
          </w:p>
        </w:tc>
      </w:tr>
      <w:tr>
        <w:trPr>
          <w:trHeight w:val="20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1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r>
      <w:tr>
        <w:trPr>
          <w:trHeight w:val="222"/>
        </w:trPr>
        <w:tc>
          <w:tcPr>
            <w:tcW w:w="67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1,920.4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2,847.6</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carrying values of our commercial paper, including accrued interest, overnight reverse repurchase agreements, money market funds and short-term debt securities approximate fair value due to their short-term maturities.</w:t>
      </w:r>
    </w:p>
    <w:p>
      <w:pPr>
        <w:spacing w:after="0" w:line="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 xml:space="preserve">We partially funded our Reata acquisition through available cash, cash equivalents and marketable securities. As of September 30, 2023, we have sold all of our marketable debt securities.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these condensed consolidated financial statements.</w:t>
      </w:r>
    </w:p>
    <w:p>
      <w:pPr>
        <w:spacing w:after="0" w:line="73" w:lineRule="exact"/>
        <w:rPr>
          <w:sz w:val="20"/>
          <w:szCs w:val="20"/>
          <w:color w:val="auto"/>
        </w:rPr>
      </w:pPr>
    </w:p>
    <w:p>
      <w:pPr>
        <w:ind w:right="320"/>
        <w:spacing w:after="0" w:line="273" w:lineRule="auto"/>
        <w:rPr>
          <w:sz w:val="20"/>
          <w:szCs w:val="20"/>
          <w:color w:val="auto"/>
        </w:rPr>
      </w:pPr>
      <w:r>
        <w:rPr>
          <w:rFonts w:ascii="Arial" w:cs="Arial" w:eastAsia="Arial" w:hAnsi="Arial"/>
          <w:sz w:val="18"/>
          <w:szCs w:val="18"/>
          <w:color w:val="auto"/>
        </w:rPr>
        <w:t>Our marketable equity securities gains (losses) are recorded in other (income) expense, net in our condensed consolidated statements of income. The following tables summarize our marketable debt and equity securities, classified as available-for-sale: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3060" w:type="dxa"/>
            <w:vAlign w:val="bottom"/>
            <w:tcBorders>
              <w:bottom w:val="single" w:sz="8" w:color="auto"/>
            </w:tcBorders>
            <w:gridSpan w:val="5"/>
            <w:shd w:val="clear" w:color="auto" w:fill="DDDDDD"/>
          </w:tcPr>
          <w:p>
            <w:pPr>
              <w:jc w:val="right"/>
              <w:ind w:right="628"/>
              <w:spacing w:after="0"/>
              <w:rPr>
                <w:sz w:val="20"/>
                <w:szCs w:val="20"/>
                <w:color w:val="auto"/>
              </w:rPr>
            </w:pPr>
            <w:r>
              <w:rPr>
                <w:rFonts w:ascii="Arial" w:cs="Arial" w:eastAsia="Arial" w:hAnsi="Arial"/>
                <w:sz w:val="14"/>
                <w:szCs w:val="14"/>
                <w:b w:val="1"/>
                <w:bCs w:val="1"/>
                <w:color w:val="257ACB"/>
              </w:rPr>
              <w:t>As of September 30, 2023</w:t>
            </w:r>
          </w:p>
        </w:tc>
        <w:tc>
          <w:tcPr>
            <w:tcW w:w="10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168"/>
              <w:spacing w:after="0" w:line="143"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993.3</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10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(579.7)</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413.6</w:t>
            </w:r>
          </w:p>
        </w:tc>
        <w:tc>
          <w:tcPr>
            <w:tcW w:w="0" w:type="dxa"/>
            <w:vAlign w:val="bottom"/>
          </w:tcPr>
          <w:p>
            <w:pPr>
              <w:spacing w:after="0"/>
              <w:rPr>
                <w:sz w:val="1"/>
                <w:szCs w:val="1"/>
                <w:color w:val="auto"/>
              </w:rPr>
            </w:pPr>
          </w:p>
        </w:tc>
      </w:tr>
      <w:tr>
        <w:trPr>
          <w:trHeight w:val="227"/>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993.3</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1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(579.7)</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413.6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168"/>
              <w:spacing w:after="0" w:line="143"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left="148"/>
              <w:spacing w:after="0" w:line="148"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936.2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305.3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547.1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203"/>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2"/>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2,199.1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0.3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(20.2)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2,179.2</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1,133.8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202"/>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1,133.8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(342.7)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Summary of Contractual Maturities: Available-for-Sale Debt Securities</w:t>
      </w:r>
    </w:p>
    <w:p>
      <w:pPr>
        <w:spacing w:after="0" w:line="136" w:lineRule="exact"/>
        <w:rPr>
          <w:sz w:val="20"/>
          <w:szCs w:val="20"/>
          <w:color w:val="auto"/>
        </w:rPr>
      </w:pPr>
    </w:p>
    <w:p>
      <w:pPr>
        <w:ind w:right="460"/>
        <w:spacing w:after="0" w:line="273" w:lineRule="auto"/>
        <w:rPr>
          <w:sz w:val="20"/>
          <w:szCs w:val="20"/>
          <w:color w:val="auto"/>
        </w:rPr>
      </w:pPr>
      <w:r>
        <w:rPr>
          <w:rFonts w:ascii="Arial" w:cs="Arial" w:eastAsia="Arial" w:hAnsi="Arial"/>
          <w:sz w:val="18"/>
          <w:szCs w:val="18"/>
          <w:color w:val="auto"/>
        </w:rPr>
        <w:t>The estimated fair value and amortized cost of our marketable debt securities classified as available-for-sale by contractual maturity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43"/>
        </w:trPr>
        <w:tc>
          <w:tcPr>
            <w:tcW w:w="8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1260" w:type="dxa"/>
            <w:vAlign w:val="bottom"/>
          </w:tcPr>
          <w:p>
            <w:pPr>
              <w:jc w:val="right"/>
              <w:ind w:right="328"/>
              <w:spacing w:after="0" w:line="143"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89"/>
        </w:trPr>
        <w:tc>
          <w:tcPr>
            <w:tcW w:w="8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84"/>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1,473.5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1,483.3</w:t>
            </w:r>
          </w:p>
        </w:tc>
        <w:tc>
          <w:tcPr>
            <w:tcW w:w="0" w:type="dxa"/>
            <w:vAlign w:val="bottom"/>
          </w:tcPr>
          <w:p>
            <w:pPr>
              <w:spacing w:after="0"/>
              <w:rPr>
                <w:sz w:val="1"/>
                <w:szCs w:val="1"/>
                <w:color w:val="auto"/>
              </w:rPr>
            </w:pPr>
          </w:p>
        </w:tc>
      </w:tr>
      <w:tr>
        <w:trPr>
          <w:trHeight w:val="203"/>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703.7</w:t>
            </w:r>
          </w:p>
        </w:tc>
        <w:tc>
          <w:tcPr>
            <w:tcW w:w="0" w:type="dxa"/>
            <w:vAlign w:val="bottom"/>
          </w:tcPr>
          <w:p>
            <w:pPr>
              <w:spacing w:after="0"/>
              <w:rPr>
                <w:sz w:val="1"/>
                <w:szCs w:val="1"/>
                <w:color w:val="auto"/>
              </w:rPr>
            </w:pPr>
          </w:p>
        </w:tc>
      </w:tr>
      <w:tr>
        <w:trPr>
          <w:trHeight w:val="208"/>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Due after five years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02"/>
        </w:trPr>
        <w:tc>
          <w:tcPr>
            <w:tcW w:w="810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2,179.2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The average maturity of our marketable debt securities classified as available-for-sale as of December 31, 2022, was approximately 8 months.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Proceeds from Marketable Debt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September 30,</w:t>
            </w:r>
          </w:p>
        </w:tc>
        <w:tc>
          <w:tcPr>
            <w:tcW w:w="304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7"/>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1160" w:type="dxa"/>
            <w:vAlign w:val="bottom"/>
            <w:tcBorders>
              <w:top w:val="single" w:sz="8" w:color="auto"/>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1120" w:type="dxa"/>
            <w:vAlign w:val="bottom"/>
            <w:tcBorders>
              <w:top w:val="single" w:sz="8" w:color="auto"/>
              <w:bottom w:val="single" w:sz="8" w:color="auto"/>
            </w:tcBorders>
            <w:shd w:val="clear" w:color="auto" w:fill="DDDDDD"/>
          </w:tcPr>
          <w:p>
            <w:pPr>
              <w:jc w:val="right"/>
              <w:ind w:right="48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r>
      <w:tr>
        <w:trPr>
          <w:trHeight w:val="185"/>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5,698.6</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1,643.2</w:t>
            </w:r>
          </w:p>
        </w:tc>
        <w:tc>
          <w:tcPr>
            <w:tcW w:w="100" w:type="dxa"/>
            <w:vAlign w:val="bottom"/>
          </w:tcPr>
          <w:p>
            <w:pPr>
              <w:spacing w:after="0"/>
              <w:rPr>
                <w:sz w:val="16"/>
                <w:szCs w:val="16"/>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7,380.8</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3,104.7</w:t>
            </w:r>
          </w:p>
        </w:tc>
      </w:tr>
      <w:tr>
        <w:trPr>
          <w:trHeight w:val="203"/>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4"/>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w:t>
            </w:r>
          </w:p>
        </w:tc>
      </w:tr>
    </w:tbl>
    <w:p>
      <w:pPr>
        <w:spacing w:after="0" w:line="190"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Realized losses for the three and nine months ended September 30, 2023, primarily relate to sales of U.S. treasuries and corporate bonds. Realized losses for the three and nine months ended September 30, 2022, primarily relate to sales of corporate bonds, agency mortgage-backed securities and other asset-backed securities.</w:t>
      </w:r>
    </w:p>
    <w:p>
      <w:pPr>
        <w:spacing w:after="0" w:line="6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color w:val="auto"/>
        </w:rPr>
        <w:t xml:space="preserve">During the third quarter of 2023 we sold all of our marketable debt securities and used the proceeds to partially fund our acquisition of Reata.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Strategic Investments</w:t>
      </w:r>
    </w:p>
    <w:p>
      <w:pPr>
        <w:spacing w:after="0" w:line="12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to these condensed consolidated financial statements, as well as venture capital funds where the underlying investments are in equity securities of certain biotechnology companies and non-marketable equity securities.</w:t>
      </w:r>
    </w:p>
    <w:p>
      <w:pPr>
        <w:spacing w:after="0" w:line="76" w:lineRule="exact"/>
        <w:rPr>
          <w:sz w:val="20"/>
          <w:szCs w:val="20"/>
          <w:color w:val="auto"/>
        </w:rPr>
      </w:pPr>
    </w:p>
    <w:p>
      <w:pPr>
        <w:ind w:right="220"/>
        <w:spacing w:after="0" w:line="306" w:lineRule="auto"/>
        <w:rPr>
          <w:sz w:val="20"/>
          <w:szCs w:val="20"/>
          <w:color w:val="auto"/>
        </w:rPr>
      </w:pPr>
      <w:r>
        <w:rPr>
          <w:rFonts w:ascii="Arial" w:cs="Arial" w:eastAsia="Arial" w:hAnsi="Arial"/>
          <w:sz w:val="17"/>
          <w:szCs w:val="17"/>
          <w:color w:val="auto"/>
        </w:rPr>
        <w:t>As of September 30, 2023 and December 31, 2022, our strategic investment portfolio was comprised of investments totaling $465.5 million and $846.0 million, respectively, which are included in investments and other assets in our condensed consolidated balance sheets.</w:t>
      </w:r>
    </w:p>
    <w:p>
      <w:pPr>
        <w:spacing w:after="0" w:line="4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decrease in our strategic investment portfolio as of September 30, 2023, was primarily due to the decrease in the fair value of our investments in Denali, Sangamo and Sage common stock. Additionally, we sold a portion of our Sangamo common stock during the third quarter of 2023.</w:t>
      </w:r>
    </w:p>
    <w:p>
      <w:pPr>
        <w:spacing w:after="0" w:line="70"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For additional information on our strategic investments in Denali, Sangamo and Sage common stock, please read </w:t>
      </w:r>
      <w:r>
        <w:rPr>
          <w:rFonts w:ascii="Arial" w:cs="Arial" w:eastAsia="Arial" w:hAnsi="Arial"/>
          <w:sz w:val="18"/>
          <w:szCs w:val="18"/>
          <w:i w:val="1"/>
          <w:iCs w:val="1"/>
          <w:color w:val="auto"/>
        </w:rPr>
        <w:t>Note 19,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our consolidated financial statements included in our 2022 Form 10-K.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10:</w:t>
      </w:r>
      <w:r>
        <w:rPr>
          <w:sz w:val="20"/>
          <w:szCs w:val="20"/>
          <w:color w:val="auto"/>
        </w:rPr>
        <w:tab/>
      </w:r>
      <w:r>
        <w:rPr>
          <w:rFonts w:ascii="Arial" w:cs="Arial" w:eastAsia="Arial" w:hAnsi="Arial"/>
          <w:sz w:val="21"/>
          <w:szCs w:val="21"/>
          <w:b w:val="1"/>
          <w:bCs w:val="1"/>
          <w:color w:val="0070C0"/>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Hedging Instruments</w:t>
      </w:r>
    </w:p>
    <w:p>
      <w:pPr>
        <w:spacing w:after="0" w:line="122"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spacing w:after="0" w:line="8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Foreign currency forward contracts and foreign currency options in effect as of September 30, 2023 and December 31, 2022, had durations of 1 to 15 months and 1 to 12 months, respectively.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condensed consolidated statements of income that have been impacted by the hedged item.</w:t>
      </w:r>
    </w:p>
    <w:p>
      <w:pPr>
        <w:spacing w:after="0" w:line="8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The notional amount of foreign currency forward contracts and foreign currency options that were entered into to hedge forecasted revenue and operating expense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320" w:type="dxa"/>
            <w:vAlign w:val="bottom"/>
            <w:tcBorders>
              <w:bottom w:val="single" w:sz="8" w:color="auto"/>
            </w:tcBorders>
            <w:gridSpan w:val="4"/>
          </w:tcPr>
          <w:p>
            <w:pPr>
              <w:jc w:val="right"/>
              <w:ind w:right="1588"/>
              <w:spacing w:after="0"/>
              <w:rPr>
                <w:sz w:val="20"/>
                <w:szCs w:val="20"/>
                <w:color w:val="auto"/>
              </w:rPr>
            </w:pPr>
            <w:r>
              <w:rPr>
                <w:rFonts w:ascii="Arial" w:cs="Arial" w:eastAsia="Arial" w:hAnsi="Arial"/>
                <w:sz w:val="14"/>
                <w:szCs w:val="14"/>
                <w:b w:val="1"/>
                <w:bCs w:val="1"/>
                <w:color w:val="auto"/>
              </w:rPr>
              <w:t>Notional Amount</w:t>
            </w:r>
          </w:p>
        </w:tc>
      </w:tr>
      <w:tr>
        <w:trPr>
          <w:trHeight w:val="197"/>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2022</w:t>
            </w:r>
          </w:p>
        </w:tc>
      </w:tr>
      <w:tr>
        <w:trPr>
          <w:trHeight w:val="185"/>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1,006.5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1,495.5</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162.8</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Swiss franc</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1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222"/>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 and options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1,144.1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1,715.5</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The pre-tax portion of the fair value of these foreign currency forward contracts and foreign currency options that were included in AOCI in total equity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6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257ACB"/>
              </w:rPr>
              <w:t>As of September 30, 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Unrealized gains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19.0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08"/>
        </w:trPr>
        <w:tc>
          <w:tcPr>
            <w:tcW w:w="6680" w:type="dxa"/>
            <w:vAlign w:val="bottom"/>
            <w:gridSpan w:val="2"/>
          </w:tcPr>
          <w:p>
            <w:pPr>
              <w:ind w:left="20"/>
              <w:spacing w:after="0"/>
              <w:rPr>
                <w:sz w:val="20"/>
                <w:szCs w:val="20"/>
                <w:color w:val="auto"/>
              </w:rPr>
            </w:pPr>
            <w:r>
              <w:rPr>
                <w:rFonts w:ascii="Arial" w:cs="Arial" w:eastAsia="Arial" w:hAnsi="Arial"/>
                <w:sz w:val="14"/>
                <w:szCs w:val="14"/>
                <w:color w:val="auto"/>
              </w:rPr>
              <w:t>Unrealized (losses)</w:t>
            </w:r>
          </w:p>
        </w:tc>
        <w:tc>
          <w:tcPr>
            <w:tcW w:w="160" w:type="dxa"/>
            <w:vAlign w:val="bottom"/>
            <w:tcBorders>
              <w:bottom w:val="single" w:sz="8" w:color="auto"/>
            </w:tcBorders>
            <w:shd w:val="clear" w:color="auto" w:fill="DBDBDB"/>
          </w:tcPr>
          <w:p>
            <w:pPr>
              <w:spacing w:after="0"/>
              <w:rPr>
                <w:sz w:val="18"/>
                <w:szCs w:val="18"/>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(7.5)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r>
      <w:tr>
        <w:trPr>
          <w:trHeight w:val="222"/>
        </w:trPr>
        <w:tc>
          <w:tcPr>
            <w:tcW w:w="668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6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expect the net unrealized gains of approximately $11.5 million to be settled over the next 15 months, of which approximately $7.9 million of these net unrealized gains are expected to be settled over the next 12 months, with any amounts in AOCI to be reported as an adjustment to revenue or operating expense. We consider the impact of our and our counterparties’ credit risk on the fair value of the contracts as well as the ability of each party to execute its contractual obligations. As of September 30, 2023 and December 31, 2022, credit risk did not materially change the fair value of our foreign currency forward contracts and forward currency options.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700"/>
        <w:spacing w:after="0" w:line="273" w:lineRule="auto"/>
        <w:rPr>
          <w:sz w:val="20"/>
          <w:szCs w:val="20"/>
          <w:color w:val="auto"/>
        </w:rPr>
      </w:pPr>
      <w:r>
        <w:rPr>
          <w:rFonts w:ascii="Arial" w:cs="Arial" w:eastAsia="Arial" w:hAnsi="Arial"/>
          <w:sz w:val="18"/>
          <w:szCs w:val="18"/>
          <w:color w:val="auto"/>
        </w:rPr>
        <w:t>The following tables summarize the effect of foreign currency forward contracts and forward currency options designated as hedging instruments in our condensed 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3"/>
          </w:tcPr>
          <w:p>
            <w:pPr>
              <w:jc w:val="center"/>
              <w:ind w:left="148"/>
              <w:spacing w:after="0" w:line="145" w:lineRule="exact"/>
              <w:rPr>
                <w:sz w:val="20"/>
                <w:szCs w:val="20"/>
                <w:color w:val="auto"/>
              </w:rPr>
            </w:pPr>
            <w:r>
              <w:rPr>
                <w:rFonts w:ascii="Arial" w:cs="Arial" w:eastAsia="Arial" w:hAnsi="Arial"/>
                <w:sz w:val="14"/>
                <w:szCs w:val="14"/>
                <w:b w:val="1"/>
                <w:bCs w:val="1"/>
                <w:color w:val="auto"/>
              </w:rPr>
              <w:t>Net Gains/(Losses)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3"/>
          </w:tcPr>
          <w:p>
            <w:pPr>
              <w:jc w:val="center"/>
              <w:ind w:left="368"/>
              <w:spacing w:after="0" w:line="145" w:lineRule="exact"/>
              <w:rPr>
                <w:sz w:val="20"/>
                <w:szCs w:val="20"/>
                <w:color w:val="auto"/>
              </w:rPr>
            </w:pPr>
            <w:r>
              <w:rPr>
                <w:rFonts w:ascii="Arial" w:cs="Arial" w:eastAsia="Arial" w:hAnsi="Arial"/>
                <w:sz w:val="14"/>
                <w:szCs w:val="14"/>
                <w:b w:val="1"/>
                <w:bCs w:val="1"/>
                <w:color w:val="auto"/>
              </w:rPr>
              <w:t>Net Gains/(Losses)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r>
      <w:tr>
        <w:trPr>
          <w:trHeight w:val="189"/>
        </w:trPr>
        <w:tc>
          <w:tcPr>
            <w:tcW w:w="4560" w:type="dxa"/>
            <w:vAlign w:val="bottom"/>
            <w:tcBorders>
              <w:bottom w:val="single" w:sz="8" w:color="auto"/>
            </w:tcBorders>
            <w:gridSpan w:val="7"/>
          </w:tcPr>
          <w:p>
            <w:pPr>
              <w:jc w:val="center"/>
              <w:ind w:left="968"/>
              <w:spacing w:after="0"/>
              <w:rPr>
                <w:sz w:val="20"/>
                <w:szCs w:val="20"/>
                <w:color w:val="auto"/>
              </w:rPr>
            </w:pPr>
            <w:r>
              <w:rPr>
                <w:rFonts w:ascii="Arial" w:cs="Arial" w:eastAsia="Arial" w:hAnsi="Arial"/>
                <w:sz w:val="14"/>
                <w:szCs w:val="14"/>
                <w:b w:val="1"/>
                <w:bCs w:val="1"/>
                <w:color w:val="auto"/>
              </w:rPr>
              <w:t>Reclassified from AOCI into Operating Income</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Recognized in Operating Income</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2023</w:t>
            </w:r>
          </w:p>
        </w:tc>
        <w:tc>
          <w:tcPr>
            <w:tcW w:w="42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2023</w:t>
            </w:r>
          </w:p>
        </w:tc>
        <w:tc>
          <w:tcPr>
            <w:tcW w:w="42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85"/>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shd w:val="clear" w:color="auto" w:fill="DBDBDB"/>
          </w:tcPr>
          <w:p>
            <w:pPr>
              <w:jc w:val="center"/>
              <w:ind w:right="748"/>
              <w:spacing w:after="0"/>
              <w:rPr>
                <w:sz w:val="20"/>
                <w:szCs w:val="20"/>
                <w:color w:val="auto"/>
              </w:rPr>
            </w:pPr>
            <w:r>
              <w:rPr>
                <w:rFonts w:ascii="Arial" w:cs="Arial" w:eastAsia="Arial" w:hAnsi="Arial"/>
                <w:sz w:val="14"/>
                <w:szCs w:val="14"/>
                <w:color w:val="257ACB"/>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16"/>
                <w:szCs w:val="16"/>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Revenue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257ACB"/>
              </w:rPr>
              <w:t>$</w:t>
            </w:r>
          </w:p>
        </w:tc>
        <w:tc>
          <w:tcPr>
            <w:tcW w:w="42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257ACB"/>
              </w:rPr>
              <w:t>(2.1)</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668"/>
              <w:spacing w:after="0"/>
              <w:rPr>
                <w:sz w:val="20"/>
                <w:szCs w:val="20"/>
                <w:color w:val="auto"/>
              </w:rPr>
            </w:pPr>
            <w:r>
              <w:rPr>
                <w:rFonts w:ascii="Arial" w:cs="Arial" w:eastAsia="Arial" w:hAnsi="Arial"/>
                <w:sz w:val="14"/>
                <w:szCs w:val="14"/>
                <w:color w:val="auto"/>
              </w:rPr>
              <w:t>6.6</w:t>
            </w:r>
          </w:p>
        </w:tc>
      </w:tr>
      <w:tr>
        <w:trPr>
          <w:trHeight w:val="215"/>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Operating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420" w:type="dxa"/>
            <w:vAlign w:val="bottom"/>
            <w:shd w:val="clear" w:color="auto" w:fill="DBDBDB"/>
          </w:tcPr>
          <w:p>
            <w:pPr>
              <w:jc w:val="center"/>
              <w:ind w:left="28"/>
              <w:spacing w:after="0"/>
              <w:rPr>
                <w:sz w:val="20"/>
                <w:szCs w:val="20"/>
                <w:color w:val="auto"/>
              </w:rPr>
            </w:pPr>
            <w:r>
              <w:rPr>
                <w:rFonts w:ascii="Arial" w:cs="Arial" w:eastAsia="Arial" w:hAnsi="Arial"/>
                <w:sz w:val="14"/>
                <w:szCs w:val="14"/>
                <w:color w:val="257ACB"/>
              </w:rPr>
              <w:t>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668"/>
              <w:spacing w:after="0"/>
              <w:rPr>
                <w:sz w:val="20"/>
                <w:szCs w:val="20"/>
                <w:color w:val="auto"/>
              </w:rPr>
            </w:pPr>
            <w:r>
              <w:rPr>
                <w:rFonts w:ascii="Arial" w:cs="Arial" w:eastAsia="Arial" w:hAnsi="Arial"/>
                <w:sz w:val="14"/>
                <w:szCs w:val="14"/>
                <w:color w:val="auto"/>
                <w:w w:val="97"/>
              </w:rPr>
              <w:t>(0.1)</w:t>
            </w:r>
          </w:p>
        </w:tc>
      </w:tr>
      <w:tr>
        <w:trPr>
          <w:trHeight w:val="417"/>
        </w:trPr>
        <w:tc>
          <w:tcPr>
            <w:tcW w:w="1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Nine Months Ended September 30,</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3"/>
        </w:trPr>
        <w:tc>
          <w:tcPr>
            <w:tcW w:w="1700" w:type="dxa"/>
            <w:vAlign w:val="bottom"/>
          </w:tcPr>
          <w:p>
            <w:pPr>
              <w:spacing w:after="0"/>
              <w:rPr>
                <w:sz w:val="12"/>
                <w:szCs w:val="12"/>
                <w:color w:val="auto"/>
              </w:rPr>
            </w:pPr>
          </w:p>
        </w:tc>
        <w:tc>
          <w:tcPr>
            <w:tcW w:w="1960" w:type="dxa"/>
            <w:vAlign w:val="bottom"/>
            <w:gridSpan w:val="3"/>
          </w:tcPr>
          <w:p>
            <w:pPr>
              <w:jc w:val="center"/>
              <w:ind w:left="148"/>
              <w:spacing w:after="0" w:line="143" w:lineRule="exact"/>
              <w:rPr>
                <w:sz w:val="20"/>
                <w:szCs w:val="20"/>
                <w:color w:val="auto"/>
              </w:rPr>
            </w:pPr>
            <w:r>
              <w:rPr>
                <w:rFonts w:ascii="Arial" w:cs="Arial" w:eastAsia="Arial" w:hAnsi="Arial"/>
                <w:sz w:val="14"/>
                <w:szCs w:val="14"/>
                <w:b w:val="1"/>
                <w:bCs w:val="1"/>
                <w:color w:val="auto"/>
              </w:rPr>
              <w:t>Net Gains/(Losses)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60" w:type="dxa"/>
            <w:vAlign w:val="bottom"/>
            <w:gridSpan w:val="3"/>
          </w:tcPr>
          <w:p>
            <w:pPr>
              <w:jc w:val="center"/>
              <w:ind w:left="368"/>
              <w:spacing w:after="0" w:line="143" w:lineRule="exact"/>
              <w:rPr>
                <w:sz w:val="20"/>
                <w:szCs w:val="20"/>
                <w:color w:val="auto"/>
              </w:rPr>
            </w:pPr>
            <w:r>
              <w:rPr>
                <w:rFonts w:ascii="Arial" w:cs="Arial" w:eastAsia="Arial" w:hAnsi="Arial"/>
                <w:sz w:val="14"/>
                <w:szCs w:val="14"/>
                <w:b w:val="1"/>
                <w:bCs w:val="1"/>
                <w:color w:val="auto"/>
              </w:rPr>
              <w:t>Net Gains/(Losses)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9"/>
        </w:trPr>
        <w:tc>
          <w:tcPr>
            <w:tcW w:w="4560" w:type="dxa"/>
            <w:vAlign w:val="bottom"/>
            <w:tcBorders>
              <w:bottom w:val="single" w:sz="8" w:color="auto"/>
            </w:tcBorders>
            <w:gridSpan w:val="7"/>
          </w:tcPr>
          <w:p>
            <w:pPr>
              <w:jc w:val="center"/>
              <w:ind w:left="968"/>
              <w:spacing w:after="0"/>
              <w:rPr>
                <w:sz w:val="20"/>
                <w:szCs w:val="20"/>
                <w:color w:val="auto"/>
              </w:rPr>
            </w:pPr>
            <w:r>
              <w:rPr>
                <w:rFonts w:ascii="Arial" w:cs="Arial" w:eastAsia="Arial" w:hAnsi="Arial"/>
                <w:sz w:val="14"/>
                <w:szCs w:val="14"/>
                <w:b w:val="1"/>
                <w:bCs w:val="1"/>
                <w:color w:val="auto"/>
              </w:rPr>
              <w:t>Reclassified from AOCI into Operating Income</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Recognized in Operating Income</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5"/>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2023</w:t>
            </w:r>
          </w:p>
        </w:tc>
        <w:tc>
          <w:tcPr>
            <w:tcW w:w="42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2023</w:t>
            </w:r>
          </w:p>
        </w:tc>
        <w:tc>
          <w:tcPr>
            <w:tcW w:w="42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r>
      <w:tr>
        <w:trPr>
          <w:trHeight w:val="185"/>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shd w:val="clear" w:color="auto" w:fill="DBDBDB"/>
          </w:tcPr>
          <w:p>
            <w:pPr>
              <w:jc w:val="center"/>
              <w:ind w:right="748"/>
              <w:spacing w:after="0"/>
              <w:rPr>
                <w:sz w:val="20"/>
                <w:szCs w:val="20"/>
                <w:color w:val="auto"/>
              </w:rPr>
            </w:pPr>
            <w:r>
              <w:rPr>
                <w:rFonts w:ascii="Arial" w:cs="Arial" w:eastAsia="Arial" w:hAnsi="Arial"/>
                <w:sz w:val="14"/>
                <w:szCs w:val="14"/>
                <w:color w:val="257ACB"/>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Revenue</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257ACB"/>
              </w:rPr>
              <w:t>$</w:t>
            </w:r>
          </w:p>
        </w:tc>
        <w:tc>
          <w:tcPr>
            <w:tcW w:w="42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257ACB"/>
              </w:rPr>
              <w:t>(1.5)</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left="668"/>
              <w:spacing w:after="0"/>
              <w:rPr>
                <w:sz w:val="20"/>
                <w:szCs w:val="20"/>
                <w:color w:val="auto"/>
              </w:rPr>
            </w:pPr>
            <w:r>
              <w:rPr>
                <w:rFonts w:ascii="Arial" w:cs="Arial" w:eastAsia="Arial" w:hAnsi="Arial"/>
                <w:sz w:val="14"/>
                <w:szCs w:val="14"/>
                <w:color w:val="auto"/>
                <w:w w:val="97"/>
              </w:rPr>
              <w:t>(0.8)</w:t>
            </w:r>
          </w:p>
        </w:tc>
      </w:tr>
      <w:tr>
        <w:trPr>
          <w:trHeight w:val="215"/>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Operating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420" w:type="dxa"/>
            <w:vAlign w:val="bottom"/>
            <w:shd w:val="clear" w:color="auto" w:fill="DBDBDB"/>
          </w:tcPr>
          <w:p>
            <w:pPr>
              <w:jc w:val="center"/>
              <w:ind w:left="8"/>
              <w:spacing w:after="0"/>
              <w:rPr>
                <w:sz w:val="20"/>
                <w:szCs w:val="20"/>
                <w:color w:val="auto"/>
              </w:rPr>
            </w:pPr>
            <w:r>
              <w:rPr>
                <w:rFonts w:ascii="Arial" w:cs="Arial" w:eastAsia="Arial" w:hAnsi="Arial"/>
                <w:sz w:val="14"/>
                <w:szCs w:val="14"/>
                <w:color w:val="257ACB"/>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center"/>
              <w:ind w:left="668"/>
              <w:spacing w:after="0"/>
              <w:rPr>
                <w:sz w:val="20"/>
                <w:szCs w:val="20"/>
                <w:color w:val="auto"/>
              </w:rPr>
            </w:pPr>
            <w:r>
              <w:rPr>
                <w:rFonts w:ascii="Arial" w:cs="Arial" w:eastAsia="Arial" w:hAnsi="Arial"/>
                <w:sz w:val="14"/>
                <w:szCs w:val="14"/>
                <w:color w:val="auto"/>
                <w:w w:val="97"/>
              </w:rPr>
              <w:t>(0.4)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Net Investment Hedges - Hedging Instruments</w:t>
      </w:r>
    </w:p>
    <w:p>
      <w:pPr>
        <w:spacing w:after="0" w:line="12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Our investment in the equity of Samsung Bioepis related to this transaction was exposed to the currency fluctuations in the South Korean won.</w:t>
      </w:r>
    </w:p>
    <w:p>
      <w:pPr>
        <w:spacing w:after="0" w:line="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order to mitigate the currency fluctuations between the U.S. dollar and South Korean won, we entered into foreign currency forward contracts. These contracts were designated as net investment hedges. In April 2022 we completed the sale of our 49.9% equity interest in Samsung Bioepis to Samsung BioLogics and closed these foreign currency forward contracts. Upon completing this sale, the cumulative gains on our net investment hedges of $57.0 million were reclassified from AOCI and reflected within the total pre-tax gain recognized from the sale, which was recorded in other (income) expense, net in our condensed consolidated statements of income. 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xml:space="preserve"> to these condensed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our net investment hedges in our condensed consolidated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39" w:lineRule="exact"/>
        <w:rPr>
          <w:sz w:val="20"/>
          <w:szCs w:val="20"/>
          <w:color w:val="auto"/>
        </w:rPr>
      </w:pPr>
    </w:p>
    <w:tbl>
      <w:tblPr>
        <w:tblLayout w:type="fixed"/>
        <w:tblInd w:w="80" w:type="dxa"/>
        <w:tblCellMar>
          <w:top w:w="0" w:type="dxa"/>
          <w:left w:w="0" w:type="dxa"/>
          <w:bottom w:w="0" w:type="dxa"/>
          <w:right w:w="0" w:type="dxa"/>
        </w:tblCellMar>
      </w:tblPr>
      <w:tr>
        <w:trPr>
          <w:trHeight w:val="144"/>
        </w:trPr>
        <w:tc>
          <w:tcPr>
            <w:tcW w:w="2960" w:type="dxa"/>
            <w:vAlign w:val="bottom"/>
            <w:tcBorders>
              <w:top w:val="single" w:sz="8" w:color="auto"/>
            </w:tcBorders>
            <w:gridSpan w:val="2"/>
          </w:tcPr>
          <w:p>
            <w:pPr>
              <w:jc w:val="center"/>
              <w:ind w:left="708"/>
              <w:spacing w:after="0" w:line="145" w:lineRule="exact"/>
              <w:rPr>
                <w:sz w:val="20"/>
                <w:szCs w:val="20"/>
                <w:color w:val="auto"/>
              </w:rPr>
            </w:pPr>
            <w:r>
              <w:rPr>
                <w:rFonts w:ascii="Arial" w:cs="Arial" w:eastAsia="Arial" w:hAnsi="Arial"/>
                <w:sz w:val="14"/>
                <w:szCs w:val="14"/>
                <w:b w:val="1"/>
                <w:bCs w:val="1"/>
                <w:color w:val="auto"/>
              </w:rPr>
              <w:t>Net Gains/(Losses)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2"/>
          </w:tcPr>
          <w:p>
            <w:pPr>
              <w:jc w:val="center"/>
              <w:ind w:left="708"/>
              <w:spacing w:after="0" w:line="145" w:lineRule="exact"/>
              <w:rPr>
                <w:sz w:val="20"/>
                <w:szCs w:val="20"/>
                <w:color w:val="auto"/>
              </w:rPr>
            </w:pPr>
            <w:r>
              <w:rPr>
                <w:rFonts w:ascii="Arial" w:cs="Arial" w:eastAsia="Arial" w:hAnsi="Arial"/>
                <w:sz w:val="14"/>
                <w:szCs w:val="14"/>
                <w:b w:val="1"/>
                <w:bCs w:val="1"/>
                <w:color w:val="auto"/>
              </w:rPr>
              <w:t>Net Gains/(Losses)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jc w:val="center"/>
              <w:spacing w:after="0" w:line="145" w:lineRule="exact"/>
              <w:rPr>
                <w:sz w:val="20"/>
                <w:szCs w:val="20"/>
                <w:color w:val="auto"/>
              </w:rPr>
            </w:pPr>
            <w:r>
              <w:rPr>
                <w:rFonts w:ascii="Arial" w:cs="Arial" w:eastAsia="Arial" w:hAnsi="Arial"/>
                <w:sz w:val="14"/>
                <w:szCs w:val="14"/>
                <w:b w:val="1"/>
                <w:bCs w:val="1"/>
                <w:color w:val="auto"/>
              </w:rPr>
              <w:t>Net Gains/(Losses) Recognized in Net Income</w:t>
            </w:r>
          </w:p>
        </w:tc>
      </w:tr>
      <w:tr>
        <w:trPr>
          <w:trHeight w:val="149"/>
        </w:trPr>
        <w:tc>
          <w:tcPr>
            <w:tcW w:w="38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rPr>
              <w:t>Recognized in Other Comprehensive Income</w:t>
            </w:r>
          </w:p>
        </w:tc>
        <w:tc>
          <w:tcPr>
            <w:tcW w:w="39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rPr>
              <w:t>Recognized in Other Comprehensive Income (Amounts</w:t>
            </w:r>
          </w:p>
        </w:tc>
        <w:tc>
          <w:tcPr>
            <w:tcW w:w="32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rPr>
              <w:t>(Amounts Excluded from Effectiveness</w:t>
            </w:r>
          </w:p>
        </w:tc>
      </w:tr>
      <w:tr>
        <w:trPr>
          <w:trHeight w:val="189"/>
        </w:trPr>
        <w:tc>
          <w:tcPr>
            <w:tcW w:w="2960" w:type="dxa"/>
            <w:vAlign w:val="bottom"/>
            <w:tcBorders>
              <w:bottom w:val="single" w:sz="8" w:color="auto"/>
            </w:tcBorders>
            <w:gridSpan w:val="2"/>
          </w:tcPr>
          <w:p>
            <w:pPr>
              <w:jc w:val="center"/>
              <w:ind w:left="688"/>
              <w:spacing w:after="0"/>
              <w:rPr>
                <w:sz w:val="20"/>
                <w:szCs w:val="20"/>
                <w:color w:val="auto"/>
              </w:rPr>
            </w:pPr>
            <w:r>
              <w:rPr>
                <w:rFonts w:ascii="Arial" w:cs="Arial" w:eastAsia="Arial" w:hAnsi="Arial"/>
                <w:sz w:val="14"/>
                <w:szCs w:val="14"/>
                <w:b w:val="1"/>
                <w:bCs w:val="1"/>
                <w:color w:val="auto"/>
              </w:rPr>
              <w:t>(Effective Portion)</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Excluded from Effectiveness Testing)</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4"/>
                <w:szCs w:val="14"/>
                <w:b w:val="1"/>
                <w:bCs w:val="1"/>
                <w:color w:val="auto"/>
              </w:rPr>
              <w:t>Testing)</w:t>
            </w:r>
          </w:p>
        </w:tc>
        <w:tc>
          <w:tcPr>
            <w:tcW w:w="620" w:type="dxa"/>
            <w:vAlign w:val="bottom"/>
            <w:tcBorders>
              <w:bottom w:val="single" w:sz="8" w:color="auto"/>
            </w:tcBorders>
          </w:tcPr>
          <w:p>
            <w:pPr>
              <w:spacing w:after="0"/>
              <w:rPr>
                <w:sz w:val="16"/>
                <w:szCs w:val="16"/>
                <w:color w:val="auto"/>
              </w:rPr>
            </w:pPr>
          </w:p>
        </w:tc>
      </w:tr>
      <w:tr>
        <w:trPr>
          <w:trHeight w:val="195"/>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60" w:type="dxa"/>
            <w:vAlign w:val="bottom"/>
          </w:tcPr>
          <w:p>
            <w:pPr>
              <w:spacing w:after="0"/>
              <w:rPr>
                <w:sz w:val="16"/>
                <w:szCs w:val="16"/>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2022</w:t>
            </w:r>
          </w:p>
        </w:tc>
      </w:tr>
      <w:tr>
        <w:trPr>
          <w:trHeight w:val="147"/>
        </w:trPr>
        <w:tc>
          <w:tcPr>
            <w:tcW w:w="2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tcPr>
          <w:p>
            <w:pPr>
              <w:ind w:left="20"/>
              <w:spacing w:after="0" w:line="147" w:lineRule="exact"/>
              <w:rPr>
                <w:sz w:val="20"/>
                <w:szCs w:val="20"/>
                <w:color w:val="auto"/>
              </w:rPr>
            </w:pPr>
            <w:r>
              <w:rPr>
                <w:rFonts w:ascii="Arial" w:cs="Arial" w:eastAsia="Arial" w:hAnsi="Arial"/>
                <w:sz w:val="14"/>
                <w:szCs w:val="14"/>
                <w:color w:val="auto"/>
              </w:rPr>
              <w:t>Other (income)</w:t>
            </w:r>
          </w:p>
        </w:tc>
        <w:tc>
          <w:tcPr>
            <w:tcW w:w="1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r>
      <w:tr>
        <w:trPr>
          <w:trHeight w:val="246"/>
        </w:trPr>
        <w:tc>
          <w:tcPr>
            <w:tcW w:w="2960" w:type="dxa"/>
            <w:vAlign w:val="bottom"/>
            <w:gridSpan w:val="2"/>
          </w:tcPr>
          <w:p>
            <w:pPr>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9"/>
                <w:szCs w:val="9"/>
                <w:color w:val="auto"/>
              </w:rPr>
              <w:t>(1)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1"/>
                <w:szCs w:val="21"/>
                <w:color w:val="auto"/>
              </w:rPr>
            </w:pPr>
          </w:p>
        </w:tc>
        <w:tc>
          <w:tcPr>
            <w:tcW w:w="3060" w:type="dxa"/>
            <w:vAlign w:val="bottom"/>
            <w:gridSpan w:val="2"/>
          </w:tcPr>
          <w:p>
            <w:pPr>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9"/>
                <w:szCs w:val="9"/>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expense</w:t>
            </w:r>
            <w:r>
              <w:rPr>
                <w:rFonts w:ascii="Arial" w:cs="Arial" w:eastAsia="Arial" w:hAnsi="Arial"/>
                <w:sz w:val="18"/>
                <w:szCs w:val="18"/>
                <w:color w:val="auto"/>
                <w:vertAlign w:val="superscript"/>
              </w:rPr>
              <w:t>(1)</w:t>
            </w:r>
          </w:p>
        </w:tc>
        <w:tc>
          <w:tcPr>
            <w:tcW w:w="14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81280</wp:posOffset>
            </wp:positionV>
            <wp:extent cx="24085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1" w:lineRule="exact"/>
        <w:rPr>
          <w:sz w:val="20"/>
          <w:szCs w:val="20"/>
          <w:color w:val="auto"/>
        </w:rPr>
      </w:pPr>
    </w:p>
    <w:p>
      <w:pPr>
        <w:jc w:val="both"/>
        <w:ind w:right="100" w:firstLine="8"/>
        <w:spacing w:after="0" w:line="239" w:lineRule="auto"/>
        <w:tabs>
          <w:tab w:leader="none" w:pos="15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3"/>
          <w:szCs w:val="13"/>
          <w:i w:val="1"/>
          <w:iCs w:val="1"/>
          <w:color w:val="auto"/>
        </w:rPr>
        <w:t>Note 3, Dispositions,</w:t>
      </w:r>
      <w:r>
        <w:rPr>
          <w:rFonts w:ascii="Arial" w:cs="Arial" w:eastAsia="Arial" w:hAnsi="Arial"/>
          <w:sz w:val="13"/>
          <w:szCs w:val="13"/>
          <w:color w:val="auto"/>
        </w:rPr>
        <w:t xml:space="preserve"> to these condensed consolidated financial statements.</w:t>
      </w:r>
    </w:p>
    <w:p>
      <w:pPr>
        <w:spacing w:after="0" w:line="88"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these condensed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Foreign Currency Forward Contracts - Other Derivative Instruments</w:t>
      </w:r>
    </w:p>
    <w:p>
      <w:pPr>
        <w:spacing w:after="0" w:line="13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6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aggregate notional amount of these outstanding foreign currency forward contracts was $1,340.8 million and $1,238.8 million as of September 30, 2023 and December 31, 2022, respectively. Net losses of $22.6 million and $28.0 million related to these contracts were recorded as a component of other (income) expense, net for the three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and nine months ended September 30, 2023, respectively, compared to net losses of $36.5 million and $85.8 million, respectively, in the prior year comparative periods.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Summary of Derivative Instruments</w:t>
      </w:r>
    </w:p>
    <w:p>
      <w:pPr>
        <w:spacing w:after="0" w:line="13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following table summarizes the fair value and presentation in our condensed consolidated balance sheets of our outstanding derivative instruments, including those designated as hedging instruments: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2022</w:t>
            </w:r>
          </w:p>
        </w:tc>
      </w:tr>
      <w:tr>
        <w:trPr>
          <w:trHeight w:val="190"/>
        </w:trPr>
        <w:tc>
          <w:tcPr>
            <w:tcW w:w="3360" w:type="dxa"/>
            <w:vAlign w:val="bottom"/>
            <w:gridSpan w:val="2"/>
          </w:tcPr>
          <w:p>
            <w:pPr>
              <w:ind w:left="20"/>
              <w:spacing w:after="0"/>
              <w:rPr>
                <w:sz w:val="20"/>
                <w:szCs w:val="20"/>
                <w:color w:val="auto"/>
              </w:rPr>
            </w:pPr>
            <w:r>
              <w:rPr>
                <w:rFonts w:ascii="Arial" w:cs="Arial" w:eastAsia="Arial" w:hAnsi="Arial"/>
                <w:sz w:val="14"/>
                <w:szCs w:val="14"/>
                <w:i w:val="1"/>
                <w:iCs w:val="1"/>
                <w:color w:val="auto"/>
              </w:rPr>
              <w:t>Cash Flow Hedging Instruments:</w:t>
            </w:r>
          </w:p>
        </w:tc>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20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96"/>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20.8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37.9</w:t>
            </w:r>
          </w:p>
        </w:tc>
      </w:tr>
      <w:tr>
        <w:trPr>
          <w:trHeight w:val="203"/>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Investments and other assets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18.4</w:t>
            </w:r>
          </w:p>
        </w:tc>
      </w:tr>
      <w:tr>
        <w:trPr>
          <w:trHeight w:val="257"/>
        </w:trPr>
        <w:tc>
          <w:tcPr>
            <w:tcW w:w="3360" w:type="dxa"/>
            <w:vAlign w:val="bottom"/>
            <w:gridSpan w:val="2"/>
          </w:tcPr>
          <w:p>
            <w:pPr>
              <w:ind w:left="20"/>
              <w:spacing w:after="0"/>
              <w:rPr>
                <w:sz w:val="20"/>
                <w:szCs w:val="20"/>
                <w:color w:val="auto"/>
              </w:rPr>
            </w:pPr>
            <w:r>
              <w:rPr>
                <w:rFonts w:ascii="Arial" w:cs="Arial" w:eastAsia="Arial" w:hAnsi="Arial"/>
                <w:sz w:val="14"/>
                <w:szCs w:val="14"/>
                <w:i w:val="1"/>
                <w:iCs w:val="1"/>
                <w:color w:val="auto"/>
              </w:rPr>
              <w:t>Other Derivative Instruments:</w:t>
            </w:r>
          </w:p>
        </w:tc>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20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2"/>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25.1</w:t>
            </w:r>
          </w:p>
        </w:tc>
      </w:tr>
      <w:tr>
        <w:trPr>
          <w:trHeight w:val="215"/>
        </w:trPr>
        <w:tc>
          <w:tcPr>
            <w:tcW w:w="336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160" w:type="dxa"/>
            <w:vAlign w:val="bottom"/>
            <w:shd w:val="clear" w:color="auto" w:fill="DBDBDB"/>
          </w:tcPr>
          <w:p>
            <w:pPr>
              <w:spacing w:after="0"/>
              <w:rPr>
                <w:sz w:val="18"/>
                <w:szCs w:val="18"/>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96925" cy="3429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11:</w:t>
      </w:r>
      <w:r>
        <w:rPr>
          <w:sz w:val="20"/>
          <w:szCs w:val="20"/>
          <w:color w:val="auto"/>
        </w:rPr>
        <w:tab/>
      </w:r>
      <w:r>
        <w:rPr>
          <w:rFonts w:ascii="Arial" w:cs="Arial" w:eastAsia="Arial" w:hAnsi="Arial"/>
          <w:sz w:val="21"/>
          <w:szCs w:val="21"/>
          <w:b w:val="1"/>
          <w:bCs w:val="1"/>
          <w:color w:val="0070C0"/>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1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Property, plant and equipment are recorded at historical cost, net of accumulated depreciation. Accumulated depreciation on property, plant and equipment was $2,342.7 million and $2,165.7 million as of September 30, 2023 and December 31, 2022, respectively. For the three and nine months ended September 30, 2023, depreciation expense totaled $64.1 million and $190.7 million, respectively, compared to $64.2 million and $207.7 million, respectively, in the prior year comparative periods.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Solothurn, Switzerland Manufacturing Facility</w:t>
      </w:r>
    </w:p>
    <w:p>
      <w:pPr>
        <w:spacing w:after="0" w:line="13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order to support our future growth and drug development pipeline, we are nearing completion of a large-scale biologics manufacturing facility in Solothurn, Switzerland. This facility will include 393,000 square feet related to a large-scale biologics manufacturing facility, 290,000 square feet of warehouse, utilities and support space and 51,000 square feet of administrative space. As of September 30, 2023 and December 31, 2022, we had approximately $742.0 million and $ 711.1 million, respectively, capitalized as construction in progress related to this facility. In the second quarter of 2021 a portion of the facility (the first manufacturing suite) received a GMP multi-product license from the SWISSMEDIC and was placed into service. Solothurn has been approved for the manufacture of ADUHELM and LEQEMBI by the FDA. We estimate the second manufacturing suite will be operational by the end of 2023.</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125 Broadway Building Sale</w:t>
      </w:r>
    </w:p>
    <w:p>
      <w:pPr>
        <w:spacing w:after="0" w:line="122"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In September 2022 we completed the sale of our building and land parcel located at 125 Broadway for an aggregate sales price of approximately $603.0 million, which is inclusive of a $10.8 million tenant allowance. This sale resulted in a pre-tax gain on sale of approximately $503.7 million, net of transaction costs, which is reflected within gain on sale of building in our condensed consolidated statements of income for the three and nine months ended September 30, 2022. This transaction included approximately $79.2 million of property, plant and equipment, net, which comprised of approximately $72.6 million for buildings, approximately $1.6 million for land and approximately $5.0 million for machinery and equipment.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12:</w:t>
      </w:r>
      <w:r>
        <w:rPr>
          <w:sz w:val="20"/>
          <w:szCs w:val="20"/>
          <w:color w:val="auto"/>
        </w:rPr>
        <w:tab/>
      </w:r>
      <w:r>
        <w:rPr>
          <w:rFonts w:ascii="Arial" w:cs="Arial" w:eastAsia="Arial" w:hAnsi="Arial"/>
          <w:sz w:val="21"/>
          <w:szCs w:val="21"/>
          <w:b w:val="1"/>
          <w:bCs w:val="1"/>
          <w:color w:val="0070C0"/>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6100 Legacy Drive Lease</w:t>
      </w:r>
    </w:p>
    <w:p>
      <w:pPr>
        <w:spacing w:after="0" w:line="12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connection with our acquisition of Reata we assumed responsibility for a single-tenant, build-to-suit building of approximately 327,400 square feet of office and laboratory space located in Plano, Texas, with an initial lease term of 16 years. We recorded a lease liability of approximately $151.8 million, which represents the net present value of rental expense over the remaining lease term of approximately 15 years, with a corresponding right-of-use asset of approximately $ 122.4 million, which represents our estimate of the fair value for a market participant of the current rental market in the Dallas, Texas area. Included in our estimate of the market rental rate is the value of any leasehold improvements or tenant allowances related to the building. We do not intend to occupy this building and are evaluating opportunities to sublease the property.</w:t>
      </w:r>
    </w:p>
    <w:p>
      <w:pPr>
        <w:spacing w:after="0" w:line="81"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125 Broadway Building Sale and Leaseback Transaction</w:t>
      </w:r>
    </w:p>
    <w:p>
      <w:pPr>
        <w:spacing w:after="0" w:line="13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In connection with the sale of our 125 Broadway building during the third quarter of 2022, we simultaneously leased back the building for a term of approximately 5.5 years, which resulted in the recognition of approximately $168.2 million in a new lease liability and right-of-use asset recorded within our condensed consolidated balance sheets as of December 31, 2022. The sale and immediate leaseback of this building qualified for sale and leaseback treatment and is classified as an operating lease. For additional information on the sale of our 125 Broadway building,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to these condensed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300 Binney Street Lease Modification</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September 2022 we entered into an agreement to partially terminate a portion of our lease located at 300 Binney Street, as well as to reduce the lease term for the majority of the remaining space. The agreement was driven by our 2022 efforts to reduce costs by consolidating real estate locations. The transaction was treated as a lease modification as of the effective date and resulted in the derecognition of a right-of-use asset of approximately $47.4 million and lease liability of approximately $52.7 million, which resulted in a gain of approximately $5.3 million, which was recorded within restructuring charges in our condensed consolidated statements of income for the three and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96925" cy="342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9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13:</w:t>
      </w:r>
      <w:r>
        <w:rPr>
          <w:sz w:val="20"/>
          <w:szCs w:val="20"/>
          <w:color w:val="auto"/>
        </w:rPr>
        <w:tab/>
      </w:r>
      <w:r>
        <w:rPr>
          <w:rFonts w:ascii="Arial" w:cs="Arial" w:eastAsia="Arial" w:hAnsi="Arial"/>
          <w:sz w:val="21"/>
          <w:szCs w:val="21"/>
          <w:b w:val="1"/>
          <w:bCs w:val="1"/>
          <w:color w:val="0070C0"/>
        </w:rPr>
        <w:t>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Term Loan Credit Agreement</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our acquisition of Reata in September 2023 we entered into a $1.5 billion term loan credit agreement. On the closing date of the Reata acquisition we drew $1.0 billion from the term loan, comprised of a $500.0 million floating rate 364-day tranche and a</w:t>
      </w:r>
    </w:p>
    <w:p>
      <w:pPr>
        <w:spacing w:after="0" w:line="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$500.0 million floating rate three-year tranche. The remaining unused commitment of $500.0 million was terminated. As of September 30, 2023, we had $1.0 billion outstanding under the term loan credit agreement, of which $500.0 million was outstanding under the 364-day tranche and $500.0 million outstanding under the three-year tranche.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3.625% Senior Notes due September 15,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On September 15, 2015, we issued $1.0 billion aggregate principal amount of our 3.625% Senior Notes due September 15, 2022, at</w:t>
      </w:r>
    </w:p>
    <w:p>
      <w:pPr>
        <w:spacing w:after="0" w:line="2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99.920% of par. Our 3.625% Senior Notes were senior unsecured obligations. In July 2022 we redeemed our 3.625% Senior Notes prior to their maturity and recognized a net pre-tax charge of approximately $2.4 million upon the extinguishment of these Senior Notes, which primarily reflects the payment of an early call premium as well as the write-off of remaining unamortized original debt issuance costs and discount balances. These charges were recognized as interest expense in other (income) expense, net in our condensed consolidated statements of income for the three and nine months ended September 30, 2022.</w:t>
      </w: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 w:right="4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14:</w:t>
      </w:r>
      <w:r>
        <w:rPr>
          <w:sz w:val="20"/>
          <w:szCs w:val="20"/>
          <w:color w:val="auto"/>
        </w:rPr>
        <w:tab/>
      </w:r>
      <w:r>
        <w:rPr>
          <w:rFonts w:ascii="Arial" w:cs="Arial" w:eastAsia="Arial" w:hAnsi="Arial"/>
          <w:sz w:val="21"/>
          <w:szCs w:val="21"/>
          <w:b w:val="1"/>
          <w:bCs w:val="1"/>
          <w:color w:val="0070C0"/>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 Repurchases</w:t>
      </w:r>
    </w:p>
    <w:p>
      <w:pPr>
        <w:spacing w:after="0" w:line="1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1.2 million and 3.6 million shares of our common stock at a cost of approximately $250.0 million and $750.0 million during the three and nine months ended September 30, 2022, respectively. There were no share repurchases of our common stock during the three and nine months ended September 30, 2023. Approximately $2.1 billion remained available under our 2020 Share Repurchase Program as of September 30, 2023.</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Accumulated Other Comprehensive Income (Loss)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AOCI, net of tax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31115</wp:posOffset>
            </wp:positionV>
            <wp:extent cx="478345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83455" cy="12890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2802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42" w:lineRule="exact"/>
        <w:rPr>
          <w:sz w:val="20"/>
          <w:szCs w:val="20"/>
          <w:color w:val="auto"/>
        </w:rPr>
      </w:pPr>
    </w:p>
    <w:p>
      <w:pPr>
        <w:ind w:left="220" w:right="640"/>
        <w:spacing w:after="0" w:line="251"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55" w:lineRule="exact"/>
        <w:rPr>
          <w:sz w:val="20"/>
          <w:szCs w:val="20"/>
          <w:color w:val="auto"/>
        </w:rPr>
      </w:pPr>
    </w:p>
    <w:p>
      <w:pPr>
        <w:ind w:left="20" w:firstLine="121"/>
        <w:spacing w:after="0" w:line="393" w:lineRule="auto"/>
        <w:rPr>
          <w:sz w:val="20"/>
          <w:szCs w:val="20"/>
          <w:color w:val="auto"/>
        </w:rPr>
      </w:pPr>
      <w:r>
        <w:rPr>
          <w:rFonts w:ascii="Arial" w:cs="Arial" w:eastAsia="Arial" w:hAnsi="Arial"/>
          <w:sz w:val="14"/>
          <w:szCs w:val="14"/>
          <w:color w:val="auto"/>
        </w:rPr>
        <w:t>Net current period other comprehensive income (loss) Balance, September 30, 2023</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70C0"/>
        </w:rPr>
        <w:t>September 30, 2023</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28"/>
              <w:spacing w:after="0" w:line="145"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28"/>
              <w:spacing w:after="0" w:line="148" w:lineRule="exact"/>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3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(Losses) 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(Losses) on Cash</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Pension Benefit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Securities Available</w:t>
            </w:r>
          </w:p>
        </w:tc>
        <w:tc>
          <w:tcPr>
            <w:tcW w:w="1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Flow Hedges, Net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Obligation, Net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Translation</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for Sale, Net of Tax</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(15.7)</w:t>
            </w:r>
          </w:p>
        </w:tc>
        <w:tc>
          <w:tcPr>
            <w:tcW w:w="12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15.1</w:t>
            </w:r>
          </w:p>
        </w:tc>
        <w:tc>
          <w:tcPr>
            <w:tcW w:w="12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(163.2)</w:t>
            </w:r>
          </w:p>
        </w:tc>
        <w:tc>
          <w:tcPr>
            <w:tcW w:w="420" w:type="dxa"/>
            <w:vAlign w:val="bottom"/>
            <w:gridSpan w:val="2"/>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(164.9)</w:t>
            </w:r>
          </w:p>
        </w:tc>
        <w:tc>
          <w:tcPr>
            <w:tcW w:w="0" w:type="dxa"/>
            <w:vAlign w:val="bottom"/>
          </w:tcPr>
          <w:p>
            <w:pPr>
              <w:spacing w:after="0"/>
              <w:rPr>
                <w:sz w:val="1"/>
                <w:szCs w:val="1"/>
                <w:color w:val="auto"/>
              </w:rPr>
            </w:pPr>
          </w:p>
        </w:tc>
      </w:tr>
      <w:tr>
        <w:trPr>
          <w:trHeight w:val="338"/>
        </w:trPr>
        <w:tc>
          <w:tcPr>
            <w:tcW w:w="120" w:type="dxa"/>
            <w:vAlign w:val="bottom"/>
            <w:shd w:val="clear" w:color="auto" w:fill="DBDBDB"/>
          </w:tcPr>
          <w:p>
            <w:pPr>
              <w:spacing w:after="0"/>
              <w:rPr>
                <w:sz w:val="24"/>
                <w:szCs w:val="2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w:t>
            </w:r>
          </w:p>
        </w:tc>
        <w:tc>
          <w:tcPr>
            <w:tcW w:w="120" w:type="dxa"/>
            <w:vAlign w:val="bottom"/>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18.9</w:t>
            </w:r>
          </w:p>
        </w:tc>
        <w:tc>
          <w:tcPr>
            <w:tcW w:w="120" w:type="dxa"/>
            <w:vAlign w:val="bottom"/>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3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0.6</w:t>
            </w:r>
          </w:p>
        </w:tc>
        <w:tc>
          <w:tcPr>
            <w:tcW w:w="100" w:type="dxa"/>
            <w:vAlign w:val="bottom"/>
          </w:tcPr>
          <w:p>
            <w:pPr>
              <w:spacing w:after="0"/>
              <w:rPr>
                <w:sz w:val="24"/>
                <w:szCs w:val="24"/>
                <w:color w:val="auto"/>
              </w:rPr>
            </w:pPr>
          </w:p>
        </w:tc>
        <w:tc>
          <w:tcPr>
            <w:tcW w:w="200" w:type="dxa"/>
            <w:vAlign w:val="bottom"/>
            <w:shd w:val="clear" w:color="auto" w:fill="DBDBDB"/>
          </w:tcPr>
          <w:p>
            <w:pPr>
              <w:spacing w:after="0"/>
              <w:rPr>
                <w:sz w:val="24"/>
                <w:szCs w:val="24"/>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w:t>
            </w:r>
          </w:p>
        </w:tc>
        <w:tc>
          <w:tcPr>
            <w:tcW w:w="10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w:t>
            </w:r>
          </w:p>
        </w:tc>
        <w:tc>
          <w:tcPr>
            <w:tcW w:w="0" w:type="dxa"/>
            <w:vAlign w:val="bottom"/>
          </w:tcPr>
          <w:p>
            <w:pPr>
              <w:spacing w:after="0"/>
              <w:rPr>
                <w:sz w:val="1"/>
                <w:szCs w:val="1"/>
                <w:color w:val="auto"/>
              </w:rPr>
            </w:pPr>
          </w:p>
        </w:tc>
      </w:tr>
      <w:tr>
        <w:trPr>
          <w:trHeight w:val="209"/>
        </w:trPr>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13.4</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(17.8)</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w:t>
            </w:r>
          </w:p>
        </w:tc>
        <w:tc>
          <w:tcPr>
            <w:tcW w:w="0" w:type="dxa"/>
            <w:vAlign w:val="bottom"/>
          </w:tcPr>
          <w:p>
            <w:pPr>
              <w:spacing w:after="0"/>
              <w:rPr>
                <w:sz w:val="1"/>
                <w:szCs w:val="1"/>
                <w:color w:val="auto"/>
              </w:rPr>
            </w:pPr>
          </w:p>
        </w:tc>
      </w:tr>
      <w:tr>
        <w:trPr>
          <w:trHeight w:val="196"/>
        </w:trPr>
        <w:tc>
          <w:tcPr>
            <w:tcW w:w="12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15.7</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0.6</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(11.8)</w:t>
            </w: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5.6</w:t>
            </w:r>
          </w:p>
        </w:tc>
        <w:tc>
          <w:tcPr>
            <w:tcW w:w="0" w:type="dxa"/>
            <w:vAlign w:val="bottom"/>
          </w:tcPr>
          <w:p>
            <w:pPr>
              <w:spacing w:after="0"/>
              <w:rPr>
                <w:sz w:val="1"/>
                <w:szCs w:val="1"/>
                <w:color w:val="auto"/>
              </w:rPr>
            </w:pPr>
          </w:p>
        </w:tc>
      </w:tr>
      <w:tr>
        <w:trPr>
          <w:trHeight w:val="221"/>
        </w:trPr>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16.2</w:t>
            </w:r>
          </w:p>
        </w:tc>
        <w:tc>
          <w:tcPr>
            <w:tcW w:w="12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(0.5)</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(175.0)</w:t>
            </w:r>
          </w:p>
        </w:tc>
        <w:tc>
          <w:tcPr>
            <w:tcW w:w="10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(159.3)</w:t>
            </w:r>
          </w:p>
        </w:tc>
        <w:tc>
          <w:tcPr>
            <w:tcW w:w="0" w:type="dxa"/>
            <w:vAlign w:val="bottom"/>
          </w:tcPr>
          <w:p>
            <w:pPr>
              <w:spacing w:after="0"/>
              <w:rPr>
                <w:sz w:val="1"/>
                <w:szCs w:val="1"/>
                <w:color w:val="auto"/>
              </w:rPr>
            </w:pPr>
          </w:p>
        </w:tc>
      </w:tr>
      <w:tr>
        <w:trPr>
          <w:trHeight w:val="20"/>
        </w:trPr>
        <w:tc>
          <w:tcPr>
            <w:tcW w:w="1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sectPr>
          <w:pgSz w:w="11900" w:h="16838" w:orient="portrait"/>
          <w:cols w:equalWidth="0" w:num="2">
            <w:col w:w="3580" w:space="120"/>
            <w:col w:w="7540"/>
          </w:cols>
          <w:pgMar w:left="320" w:top="126" w:right="339" w:bottom="1440" w:gutter="0" w:footer="0" w:header="0"/>
          <w:type w:val="continuous"/>
        </w:sectPr>
      </w:pPr>
    </w:p>
    <w:tbl>
      <w:tblPr>
        <w:tblLayout w:type="fixed"/>
        <w:tblInd w:w="20" w:type="dxa"/>
        <w:tblCellMar>
          <w:top w:w="0" w:type="dxa"/>
          <w:left w:w="0" w:type="dxa"/>
          <w:bottom w:w="0" w:type="dxa"/>
          <w:right w:w="0" w:type="dxa"/>
        </w:tblCellMar>
      </w:tblPr>
      <w:tr>
        <w:trPr>
          <w:trHeight w:val="201"/>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September 30, 2022</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Unrealized</w:t>
            </w:r>
          </w:p>
        </w:tc>
        <w:tc>
          <w:tcPr>
            <w:tcW w:w="126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rPr>
              <w:t>Gains (Losses)</w:t>
            </w:r>
          </w:p>
        </w:tc>
        <w:tc>
          <w:tcPr>
            <w:tcW w:w="140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Gains (Losses)</w:t>
            </w:r>
          </w:p>
        </w:tc>
        <w:tc>
          <w:tcPr>
            <w:tcW w:w="12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Gains (Losses)</w:t>
            </w:r>
          </w:p>
        </w:tc>
        <w:tc>
          <w:tcPr>
            <w:tcW w:w="1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on Net</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(Losses) on</w:t>
            </w: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on Securities</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on Cash Flow</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Pension Benefit</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Available for</w:t>
            </w:r>
          </w:p>
        </w:tc>
        <w:tc>
          <w:tcPr>
            <w:tcW w:w="12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Hedges, Net of</w:t>
            </w: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Hedges, Net of</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Obligation, Net of</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5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Sale, Net of Tax</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1"/>
              <w:spacing w:after="0" w:line="202" w:lineRule="exact"/>
              <w:rPr>
                <w:sz w:val="20"/>
                <w:szCs w:val="20"/>
                <w:color w:val="auto"/>
              </w:rPr>
            </w:pPr>
            <w:r>
              <w:rPr>
                <w:rFonts w:ascii="Arial" w:cs="Arial" w:eastAsia="Arial" w:hAnsi="Arial"/>
                <w:sz w:val="23"/>
                <w:szCs w:val="23"/>
                <w:b w:val="1"/>
                <w:bCs w:val="1"/>
                <w:color w:val="auto"/>
                <w:w w:val="99"/>
                <w:vertAlign w:val="subscript"/>
              </w:rPr>
              <w:t>Tax</w:t>
            </w:r>
            <w:r>
              <w:rPr>
                <w:rFonts w:ascii="Arial" w:cs="Arial" w:eastAsia="Arial" w:hAnsi="Arial"/>
                <w:sz w:val="8"/>
                <w:szCs w:val="8"/>
                <w:b w:val="1"/>
                <w:bCs w:val="1"/>
                <w:color w:val="auto"/>
                <w:w w:val="99"/>
              </w:rPr>
              <w:t>(1)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Balance, December 31, 2021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60"/>
        </w:trPr>
        <w:tc>
          <w:tcPr>
            <w:tcW w:w="3660" w:type="dxa"/>
            <w:vAlign w:val="bottom"/>
            <w:gridSpan w:val="2"/>
          </w:tcPr>
          <w:p>
            <w:pPr>
              <w:ind w:left="220"/>
              <w:spacing w:after="0"/>
              <w:rPr>
                <w:sz w:val="20"/>
                <w:szCs w:val="20"/>
                <w:color w:val="auto"/>
              </w:rPr>
            </w:pPr>
            <w:r>
              <w:rPr>
                <w:rFonts w:ascii="Arial" w:cs="Arial" w:eastAsia="Arial" w:hAnsi="Arial"/>
                <w:sz w:val="14"/>
                <w:szCs w:val="14"/>
                <w:color w:val="auto"/>
              </w:rPr>
              <w:t>Other comprehensive income (loss) before</w:t>
            </w: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204.5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82"/>
        </w:trPr>
        <w:tc>
          <w:tcPr>
            <w:tcW w:w="3660" w:type="dxa"/>
            <w:vAlign w:val="bottom"/>
            <w:gridSpan w:val="2"/>
          </w:tcPr>
          <w:p>
            <w:pPr>
              <w:ind w:left="220"/>
              <w:spacing w:after="0"/>
              <w:rPr>
                <w:sz w:val="20"/>
                <w:szCs w:val="20"/>
                <w:color w:val="auto"/>
              </w:rPr>
            </w:pPr>
            <w:r>
              <w:rPr>
                <w:rFonts w:ascii="Arial" w:cs="Arial" w:eastAsia="Arial" w:hAnsi="Arial"/>
                <w:sz w:val="14"/>
                <w:szCs w:val="14"/>
                <w:color w:val="auto"/>
              </w:rPr>
              <w:t>reclassifications</w:t>
            </w: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gridSpan w:val="2"/>
          </w:tcPr>
          <w:p>
            <w:pPr>
              <w:ind w:left="220"/>
              <w:spacing w:after="0"/>
              <w:rPr>
                <w:sz w:val="20"/>
                <w:szCs w:val="20"/>
                <w:color w:val="auto"/>
              </w:rPr>
            </w:pPr>
            <w:r>
              <w:rPr>
                <w:rFonts w:ascii="Arial" w:cs="Arial" w:eastAsia="Arial" w:hAnsi="Arial"/>
                <w:sz w:val="14"/>
                <w:szCs w:val="14"/>
                <w:color w:val="auto"/>
              </w:rPr>
              <w:t>Amounts reclassified from AOCI</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35"/>
        </w:trPr>
        <w:tc>
          <w:tcPr>
            <w:tcW w:w="366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Net current period other comprehensive income</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86"/>
        </w:trPr>
        <w:tc>
          <w:tcPr>
            <w:tcW w:w="3660" w:type="dxa"/>
            <w:vAlign w:val="bottom"/>
            <w:gridSpan w:val="2"/>
          </w:tcPr>
          <w:p>
            <w:pPr>
              <w:ind w:left="140"/>
              <w:spacing w:after="0"/>
              <w:rPr>
                <w:sz w:val="20"/>
                <w:szCs w:val="20"/>
                <w:color w:val="auto"/>
              </w:rPr>
            </w:pPr>
            <w:r>
              <w:rPr>
                <w:rFonts w:ascii="Arial" w:cs="Arial" w:eastAsia="Arial" w:hAnsi="Arial"/>
                <w:sz w:val="14"/>
                <w:szCs w:val="14"/>
                <w:color w:val="auto"/>
              </w:rPr>
              <w:t>(loss)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660" w:type="dxa"/>
            <w:vAlign w:val="bottom"/>
            <w:gridSpan w:val="2"/>
          </w:tcPr>
          <w:p>
            <w:pPr>
              <w:ind w:left="20"/>
              <w:spacing w:after="0"/>
              <w:rPr>
                <w:sz w:val="20"/>
                <w:szCs w:val="20"/>
                <w:color w:val="auto"/>
              </w:rPr>
            </w:pPr>
            <w:r>
              <w:rPr>
                <w:rFonts w:ascii="Arial" w:cs="Arial" w:eastAsia="Arial" w:hAnsi="Arial"/>
                <w:sz w:val="14"/>
                <w:szCs w:val="14"/>
                <w:color w:val="auto"/>
              </w:rPr>
              <w:t>Balance, September 30, 2022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132.8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171450</wp:posOffset>
            </wp:positionV>
            <wp:extent cx="24085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353" w:lineRule="exact"/>
        <w:rPr>
          <w:sz w:val="20"/>
          <w:szCs w:val="20"/>
          <w:color w:val="auto"/>
        </w:rPr>
      </w:pPr>
    </w:p>
    <w:p>
      <w:pPr>
        <w:jc w:val="both"/>
        <w:ind w:right="120" w:firstLine="8"/>
        <w:spacing w:after="0" w:line="260" w:lineRule="auto"/>
        <w:tabs>
          <w:tab w:leader="none" w:pos="154"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3"/>
          <w:szCs w:val="13"/>
          <w:i w:val="1"/>
          <w:iCs w:val="1"/>
          <w:color w:val="auto"/>
        </w:rPr>
        <w:t>Note 3, Dispositions,</w:t>
      </w:r>
      <w:r>
        <w:rPr>
          <w:rFonts w:ascii="Arial" w:cs="Arial" w:eastAsia="Arial" w:hAnsi="Arial"/>
          <w:sz w:val="13"/>
          <w:szCs w:val="13"/>
          <w:color w:val="auto"/>
        </w:rPr>
        <w:t xml:space="preserve"> to these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reclassified from AOCI:</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Amounts Reclassified from AOCI</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57"/>
        </w:trPr>
        <w:tc>
          <w:tcPr>
            <w:tcW w:w="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5"/>
          </w:tcPr>
          <w:p>
            <w:pPr>
              <w:jc w:val="center"/>
              <w:ind w:right="220"/>
              <w:spacing w:after="0" w:line="157" w:lineRule="exact"/>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3"/>
                <w:szCs w:val="13"/>
                <w:color w:val="auto"/>
              </w:rPr>
            </w:pPr>
          </w:p>
        </w:tc>
        <w:tc>
          <w:tcPr>
            <w:tcW w:w="2260" w:type="dxa"/>
            <w:vAlign w:val="bottom"/>
            <w:gridSpan w:val="4"/>
          </w:tcPr>
          <w:p>
            <w:pPr>
              <w:jc w:val="right"/>
              <w:ind w:right="228"/>
              <w:spacing w:after="0" w:line="157" w:lineRule="exact"/>
              <w:rPr>
                <w:sz w:val="20"/>
                <w:szCs w:val="20"/>
                <w:color w:val="auto"/>
              </w:rPr>
            </w:pPr>
            <w:r>
              <w:rPr>
                <w:rFonts w:ascii="Arial" w:cs="Arial" w:eastAsia="Arial" w:hAnsi="Arial"/>
                <w:sz w:val="14"/>
                <w:szCs w:val="14"/>
                <w:b w:val="1"/>
                <w:bCs w:val="1"/>
                <w:color w:val="auto"/>
              </w:rPr>
              <w:t>For the Nine Months Ended</w:t>
            </w: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89"/>
        </w:trPr>
        <w:tc>
          <w:tcPr>
            <w:tcW w:w="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8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49"/>
        </w:trPr>
        <w:tc>
          <w:tcPr>
            <w:tcW w:w="3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shd w:val="clear" w:color="auto" w:fill="DDDDDD"/>
          </w:tcPr>
          <w:p>
            <w:pPr>
              <w:spacing w:after="0"/>
              <w:rPr>
                <w:sz w:val="21"/>
                <w:szCs w:val="21"/>
                <w:color w:val="auto"/>
              </w:rPr>
            </w:pPr>
          </w:p>
        </w:tc>
        <w:tc>
          <w:tcPr>
            <w:tcW w:w="106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DDDDDD"/>
          </w:tcPr>
          <w:p>
            <w:pPr>
              <w:spacing w:after="0"/>
              <w:rPr>
                <w:sz w:val="21"/>
                <w:szCs w:val="21"/>
                <w:color w:val="auto"/>
              </w:rPr>
            </w:pPr>
          </w:p>
        </w:tc>
        <w:tc>
          <w:tcPr>
            <w:tcW w:w="980" w:type="dxa"/>
            <w:vAlign w:val="bottom"/>
            <w:tcBorders>
              <w:top w:val="single" w:sz="8" w:color="auto"/>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 Statement Location</w:t>
            </w:r>
          </w:p>
        </w:tc>
      </w:tr>
      <w:tr>
        <w:trPr>
          <w:trHeight w:val="185"/>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(15.2)</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(17.0)</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(income) expense</w:t>
            </w:r>
          </w:p>
        </w:tc>
      </w:tr>
      <w:tr>
        <w:trPr>
          <w:trHeight w:val="203"/>
        </w:trPr>
        <w:tc>
          <w:tcPr>
            <w:tcW w:w="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Income tax (benefit) expense</w:t>
            </w:r>
          </w:p>
        </w:tc>
      </w:tr>
      <w:tr>
        <w:trPr>
          <w:trHeight w:val="257"/>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Gains (losses) on cash flow hedges</w:t>
            </w:r>
          </w:p>
        </w:tc>
        <w:tc>
          <w:tcPr>
            <w:tcW w:w="100" w:type="dxa"/>
            <w:vAlign w:val="bottom"/>
            <w:shd w:val="clear" w:color="auto" w:fill="DBDBDB"/>
          </w:tcPr>
          <w:p>
            <w:pPr>
              <w:spacing w:after="0"/>
              <w:rPr>
                <w:sz w:val="22"/>
                <w:szCs w:val="22"/>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77.7</w:t>
            </w:r>
          </w:p>
        </w:tc>
        <w:tc>
          <w:tcPr>
            <w:tcW w:w="100" w:type="dxa"/>
            <w:vAlign w:val="bottom"/>
          </w:tcPr>
          <w:p>
            <w:pPr>
              <w:spacing w:after="0"/>
              <w:rPr>
                <w:sz w:val="22"/>
                <w:szCs w:val="22"/>
                <w:color w:val="auto"/>
              </w:rPr>
            </w:pPr>
          </w:p>
        </w:tc>
        <w:tc>
          <w:tcPr>
            <w:tcW w:w="200" w:type="dxa"/>
            <w:vAlign w:val="bottom"/>
            <w:shd w:val="clear" w:color="auto" w:fill="DBDBDB"/>
          </w:tcPr>
          <w:p>
            <w:pPr>
              <w:spacing w:after="0"/>
              <w:rPr>
                <w:sz w:val="22"/>
                <w:szCs w:val="22"/>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18.3</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w w:val="96"/>
              </w:rPr>
              <w:t>143.2</w:t>
            </w:r>
          </w:p>
        </w:tc>
        <w:tc>
          <w:tcPr>
            <w:tcW w:w="100" w:type="dxa"/>
            <w:vAlign w:val="bottom"/>
          </w:tcPr>
          <w:p>
            <w:pPr>
              <w:spacing w:after="0"/>
              <w:rPr>
                <w:sz w:val="22"/>
                <w:szCs w:val="22"/>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Revenue</w:t>
            </w:r>
          </w:p>
        </w:tc>
      </w:tr>
      <w:tr>
        <w:trPr>
          <w:trHeight w:val="203"/>
        </w:trPr>
        <w:tc>
          <w:tcPr>
            <w:tcW w:w="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2.1</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Operating expense</w:t>
            </w:r>
          </w:p>
        </w:tc>
      </w:tr>
      <w:tr>
        <w:trPr>
          <w:trHeight w:val="203"/>
        </w:trPr>
        <w:tc>
          <w:tcPr>
            <w:tcW w:w="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(income) expense</w:t>
            </w:r>
          </w:p>
        </w:tc>
      </w:tr>
      <w:tr>
        <w:trPr>
          <w:trHeight w:val="203"/>
        </w:trPr>
        <w:tc>
          <w:tcPr>
            <w:tcW w:w="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Income tax (benefit) expense</w:t>
            </w:r>
          </w:p>
        </w:tc>
      </w:tr>
      <w:tr>
        <w:trPr>
          <w:trHeight w:val="315"/>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18"/>
                <w:szCs w:val="18"/>
                <w:color w:val="auto"/>
                <w:vertAlign w:val="superscript"/>
              </w:rPr>
              <w:t>(1)</w:t>
            </w:r>
          </w:p>
        </w:tc>
        <w:tc>
          <w:tcPr>
            <w:tcW w:w="100" w:type="dxa"/>
            <w:vAlign w:val="bottom"/>
            <w:shd w:val="clear" w:color="auto" w:fill="DBDBDB"/>
          </w:tcPr>
          <w:p>
            <w:pPr>
              <w:spacing w:after="0"/>
              <w:rPr>
                <w:sz w:val="24"/>
                <w:szCs w:val="2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24"/>
                <w:szCs w:val="24"/>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(income) expense</w:t>
            </w:r>
          </w:p>
        </w:tc>
      </w:tr>
      <w:tr>
        <w:trPr>
          <w:trHeight w:val="204"/>
        </w:trPr>
        <w:tc>
          <w:tcPr>
            <w:tcW w:w="3740" w:type="dxa"/>
            <w:vAlign w:val="bottom"/>
            <w:gridSpan w:val="3"/>
          </w:tcPr>
          <w:p>
            <w:pPr>
              <w:ind w:left="20"/>
              <w:spacing w:after="0"/>
              <w:rPr>
                <w:sz w:val="20"/>
                <w:szCs w:val="20"/>
                <w:color w:val="auto"/>
              </w:rPr>
            </w:pPr>
            <w:r>
              <w:rPr>
                <w:rFonts w:ascii="Arial" w:cs="Arial" w:eastAsia="Arial" w:hAnsi="Arial"/>
                <w:sz w:val="14"/>
                <w:szCs w:val="14"/>
                <w:color w:val="auto"/>
              </w:rPr>
              <w:t>Currency translation adjustments</w:t>
            </w:r>
          </w:p>
        </w:tc>
        <w:tc>
          <w:tcPr>
            <w:tcW w:w="1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Other (income) expense</w:t>
            </w:r>
          </w:p>
        </w:tc>
      </w:tr>
      <w:tr>
        <w:trPr>
          <w:trHeight w:val="222"/>
        </w:trPr>
        <w:tc>
          <w:tcPr>
            <w:tcW w:w="40" w:type="dxa"/>
            <w:vAlign w:val="bottom"/>
          </w:tcPr>
          <w:p>
            <w:pPr>
              <w:spacing w:after="0"/>
              <w:rPr>
                <w:sz w:val="19"/>
                <w:szCs w:val="19"/>
                <w:color w:val="auto"/>
              </w:rPr>
            </w:pPr>
          </w:p>
        </w:tc>
        <w:tc>
          <w:tcPr>
            <w:tcW w:w="3700" w:type="dxa"/>
            <w:vAlign w:val="bottom"/>
            <w:gridSpan w:val="2"/>
          </w:tcPr>
          <w:p>
            <w:pPr>
              <w:ind w:left="100"/>
              <w:spacing w:after="0"/>
              <w:rPr>
                <w:sz w:val="20"/>
                <w:szCs w:val="20"/>
                <w:color w:val="auto"/>
              </w:rPr>
            </w:pPr>
            <w:r>
              <w:rPr>
                <w:rFonts w:ascii="Arial" w:cs="Arial" w:eastAsia="Arial" w:hAnsi="Arial"/>
                <w:sz w:val="14"/>
                <w:szCs w:val="14"/>
                <w:color w:val="auto"/>
              </w:rPr>
              <w:t>Total reclassifications, net of tax</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4.4</w:t>
            </w:r>
          </w:p>
        </w:tc>
        <w:tc>
          <w:tcPr>
            <w:tcW w:w="840" w:type="dxa"/>
            <w:vAlign w:val="bottom"/>
            <w:gridSpan w:val="2"/>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49"/>
        </w:trPr>
        <w:tc>
          <w:tcPr>
            <w:tcW w:w="40" w:type="dxa"/>
            <w:vAlign w:val="bottom"/>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r>
    </w:tbl>
    <w:p>
      <w:pPr>
        <w:spacing w:after="0" w:line="76" w:lineRule="exact"/>
        <w:rPr>
          <w:sz w:val="20"/>
          <w:szCs w:val="20"/>
          <w:color w:val="auto"/>
        </w:rPr>
      </w:pPr>
    </w:p>
    <w:p>
      <w:pPr>
        <w:jc w:val="both"/>
        <w:ind w:right="120" w:firstLine="8"/>
        <w:spacing w:after="0" w:line="293" w:lineRule="auto"/>
        <w:tabs>
          <w:tab w:leader="none" w:pos="154"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4"/>
          <w:szCs w:val="14"/>
          <w:i w:val="1"/>
          <w:iCs w:val="1"/>
          <w:color w:val="auto"/>
        </w:rPr>
        <w:t>Note 3, Dispositions,</w:t>
      </w:r>
      <w:r>
        <w:rPr>
          <w:rFonts w:ascii="Arial" w:cs="Arial" w:eastAsia="Arial" w:hAnsi="Arial"/>
          <w:sz w:val="14"/>
          <w:szCs w:val="14"/>
          <w:color w:val="auto"/>
        </w:rPr>
        <w:t xml:space="preserve">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96925"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7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15:</w:t>
      </w:r>
      <w:r>
        <w:rPr>
          <w:sz w:val="20"/>
          <w:szCs w:val="20"/>
          <w:color w:val="auto"/>
        </w:rPr>
        <w:tab/>
      </w:r>
      <w:r>
        <w:rPr>
          <w:rFonts w:ascii="Arial" w:cs="Arial" w:eastAsia="Arial" w:hAnsi="Arial"/>
          <w:sz w:val="21"/>
          <w:szCs w:val="21"/>
          <w:b w:val="1"/>
          <w:bCs w:val="1"/>
          <w:color w:val="0070C0"/>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3"/>
                <w:szCs w:val="13"/>
                <w:color w:val="auto"/>
              </w:rPr>
            </w:pPr>
          </w:p>
        </w:tc>
        <w:tc>
          <w:tcPr>
            <w:tcW w:w="22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r>
      <w:tr>
        <w:trPr>
          <w:trHeight w:val="185"/>
        </w:trPr>
        <w:tc>
          <w:tcPr>
            <w:tcW w:w="6200" w:type="dxa"/>
            <w:vAlign w:val="bottom"/>
            <w:gridSpan w:val="2"/>
          </w:tcPr>
          <w:p>
            <w:pPr>
              <w:ind w:left="20"/>
              <w:spacing w:after="0"/>
              <w:rPr>
                <w:sz w:val="20"/>
                <w:szCs w:val="20"/>
                <w:color w:val="auto"/>
              </w:rPr>
            </w:pPr>
            <w:r>
              <w:rPr>
                <w:rFonts w:ascii="Arial" w:cs="Arial" w:eastAsia="Arial" w:hAnsi="Arial"/>
                <w:sz w:val="14"/>
                <w:szCs w:val="14"/>
                <w:i w:val="1"/>
                <w:iCs w:val="1"/>
                <w:color w:val="auto"/>
              </w:rPr>
              <w:t>Numerator:</w:t>
            </w: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5"/>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Net income (loss) attributable to Biogen Inc.</w:t>
            </w:r>
          </w:p>
        </w:tc>
        <w:tc>
          <w:tcPr>
            <w:tcW w:w="1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(68.1)</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1,134.7</w:t>
            </w:r>
          </w:p>
        </w:tc>
        <w:tc>
          <w:tcPr>
            <w:tcW w:w="100" w:type="dxa"/>
            <w:vAlign w:val="bottom"/>
          </w:tcPr>
          <w:p>
            <w:pPr>
              <w:spacing w:after="0"/>
              <w:rPr>
                <w:sz w:val="22"/>
                <w:szCs w:val="22"/>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911.4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2,496.5</w:t>
            </w:r>
          </w:p>
        </w:tc>
      </w:tr>
      <w:tr>
        <w:trPr>
          <w:trHeight w:val="157"/>
        </w:trPr>
        <w:tc>
          <w:tcPr>
            <w:tcW w:w="620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Denominator:</w:t>
            </w:r>
          </w:p>
        </w:tc>
        <w:tc>
          <w:tcPr>
            <w:tcW w:w="180" w:type="dxa"/>
            <w:vAlign w:val="bottom"/>
            <w:tcBorders>
              <w:top w:val="single" w:sz="8" w:color="auto"/>
            </w:tcBorders>
            <w:shd w:val="clear" w:color="auto" w:fill="DBDBDB"/>
          </w:tcPr>
          <w:p>
            <w:pPr>
              <w:spacing w:after="0"/>
              <w:rPr>
                <w:sz w:val="13"/>
                <w:szCs w:val="13"/>
                <w:color w:val="auto"/>
              </w:rPr>
            </w:pPr>
          </w:p>
        </w:tc>
        <w:tc>
          <w:tcPr>
            <w:tcW w:w="98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shd w:val="clear" w:color="auto" w:fill="DBDBDB"/>
          </w:tcPr>
          <w:p>
            <w:pPr>
              <w:spacing w:after="0"/>
              <w:rPr>
                <w:sz w:val="13"/>
                <w:szCs w:val="13"/>
                <w:color w:val="auto"/>
              </w:rPr>
            </w:pPr>
          </w:p>
        </w:tc>
        <w:tc>
          <w:tcPr>
            <w:tcW w:w="100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03"/>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Weighted average number of common shares outstanding</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145.8</w:t>
            </w:r>
          </w:p>
        </w:tc>
      </w:tr>
      <w:tr>
        <w:trPr>
          <w:trHeight w:val="203"/>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Time-vested restricted stock units</w:t>
            </w: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9"/>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1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96"/>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Dilutive potential common shares</w:t>
            </w:r>
          </w:p>
        </w:tc>
        <w:tc>
          <w:tcPr>
            <w:tcW w:w="1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22"/>
        </w:trPr>
        <w:tc>
          <w:tcPr>
            <w:tcW w:w="6200" w:type="dxa"/>
            <w:vAlign w:val="bottom"/>
            <w:gridSpan w:val="2"/>
          </w:tcPr>
          <w:p>
            <w:pPr>
              <w:ind w:left="220"/>
              <w:spacing w:after="0"/>
              <w:rPr>
                <w:sz w:val="20"/>
                <w:szCs w:val="20"/>
                <w:color w:val="auto"/>
              </w:rPr>
            </w:pPr>
            <w:r>
              <w:rPr>
                <w:rFonts w:ascii="Arial" w:cs="Arial" w:eastAsia="Arial" w:hAnsi="Arial"/>
                <w:sz w:val="14"/>
                <w:szCs w:val="14"/>
                <w:color w:val="auto"/>
              </w:rPr>
              <w:t>Shares used in calculating diluted earnings per share</w:t>
            </w:r>
          </w:p>
        </w:tc>
        <w:tc>
          <w:tcPr>
            <w:tcW w:w="1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144.8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145.5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146.2</w:t>
            </w: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Amounts excluded from the calculation of net income (loss) per diluted share because their effects were anti-dilutive were insignificant.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16:</w:t>
      </w:r>
      <w:r>
        <w:rPr>
          <w:sz w:val="20"/>
          <w:szCs w:val="20"/>
          <w:color w:val="auto"/>
        </w:rPr>
        <w:tab/>
      </w:r>
      <w:r>
        <w:rPr>
          <w:rFonts w:ascii="Arial" w:cs="Arial" w:eastAsia="Arial" w:hAnsi="Arial"/>
          <w:sz w:val="21"/>
          <w:szCs w:val="21"/>
          <w:b w:val="1"/>
          <w:bCs w:val="1"/>
          <w:color w:val="0070C0"/>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Expense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included in our condensed consolidated statements of 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r>
      <w:tr>
        <w:trPr>
          <w:trHeight w:val="185"/>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217.1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276.3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72.6</w:t>
            </w:r>
          </w:p>
        </w:tc>
      </w:tr>
      <w:tr>
        <w:trPr>
          <w:trHeight w:val="20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234.9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333.4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w:t>
            </w:r>
          </w:p>
        </w:tc>
      </w:tr>
      <w:tr>
        <w:trPr>
          <w:trHeight w:val="190"/>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1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201.9</w:t>
            </w:r>
          </w:p>
        </w:tc>
      </w:tr>
      <w:tr>
        <w:trPr>
          <w:trHeight w:val="208"/>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1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190"/>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18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194.8</w:t>
            </w:r>
          </w:p>
        </w:tc>
      </w:tr>
      <w:tr>
        <w:trPr>
          <w:trHeight w:val="209"/>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1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(98.5)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(126.5)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r>
      <w:tr>
        <w:trPr>
          <w:trHeight w:val="222"/>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(loss) attributable to Biogen Inc.</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350.9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474.7</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158.8</w:t>
            </w: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In connection with our acquisition of Reata in September 2023 we </w:t>
      </w:r>
      <w:r>
        <w:rPr>
          <w:rFonts w:ascii="Arial" w:cs="Arial" w:eastAsia="Arial" w:hAnsi="Arial"/>
          <w:sz w:val="18"/>
          <w:szCs w:val="18"/>
          <w:b w:val="1"/>
          <w:bCs w:val="1"/>
          <w:color w:val="auto"/>
        </w:rPr>
        <w:t>recognized Reata equity-based compensation expense, inclusive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employer taxes, of approximately $393.4 million attributable to the post-acquisition service period, of which $196.4 million was recognized as a charge to selling, general and administrative expense with the remaining $197.0 million as a charge to research and development expense within our condensed consolidated statements of income </w:t>
      </w:r>
      <w:r>
        <w:rPr>
          <w:rFonts w:ascii="Arial" w:cs="Arial" w:eastAsia="Arial" w:hAnsi="Arial"/>
          <w:sz w:val="18"/>
          <w:szCs w:val="18"/>
          <w:color w:val="auto"/>
        </w:rPr>
        <w:t>for the three and nine months ended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30, 2023</w:t>
      </w:r>
      <w:r>
        <w:rPr>
          <w:rFonts w:ascii="Arial" w:cs="Arial" w:eastAsia="Arial" w:hAnsi="Arial"/>
          <w:sz w:val="18"/>
          <w:szCs w:val="18"/>
          <w:b w:val="1"/>
          <w:bCs w:val="1"/>
          <w:color w:val="auto"/>
        </w:rPr>
        <w:t>.</w:t>
      </w:r>
      <w:r>
        <w:rPr>
          <w:rFonts w:ascii="Arial" w:cs="Arial" w:eastAsia="Arial" w:hAnsi="Arial"/>
          <w:sz w:val="18"/>
          <w:szCs w:val="18"/>
          <w:color w:val="auto"/>
        </w:rPr>
        <w:t xml:space="preserve"> T</w:t>
      </w:r>
      <w:r>
        <w:rPr>
          <w:rFonts w:ascii="Arial" w:cs="Arial" w:eastAsia="Arial" w:hAnsi="Arial"/>
          <w:sz w:val="18"/>
          <w:szCs w:val="18"/>
          <w:b w:val="1"/>
          <w:bCs w:val="1"/>
          <w:color w:val="auto"/>
        </w:rPr>
        <w:t>hese amounts were associated with the accelerated vesting of stock options and RSUs previously granted to Reata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employees and required no future services to vest.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these condensed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associated with each of our share-based compensation programs: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r>
      <w:tr>
        <w:trPr>
          <w:trHeight w:val="185"/>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Market stock units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Time-vested restricted stock units</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150.4</w:t>
            </w: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Performance stock units settled in cash</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3"/>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Employee stock purchase plan</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18"/>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Stock options</w:t>
            </w:r>
            <w:r>
              <w:rPr>
                <w:rFonts w:ascii="Arial" w:cs="Arial" w:eastAsia="Arial" w:hAnsi="Arial"/>
                <w:sz w:val="18"/>
                <w:szCs w:val="18"/>
                <w:color w:val="auto"/>
                <w:vertAlign w:val="superscript"/>
              </w:rPr>
              <w:t>(1)</w:t>
            </w: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200" w:type="dxa"/>
            <w:vAlign w:val="bottom"/>
            <w:gridSpan w:val="4"/>
          </w:tcPr>
          <w:p>
            <w:pPr>
              <w:ind w:left="20"/>
              <w:spacing w:after="0" w:line="199" w:lineRule="exact"/>
              <w:rPr>
                <w:sz w:val="20"/>
                <w:szCs w:val="20"/>
                <w:color w:val="auto"/>
              </w:rPr>
            </w:pPr>
            <w:r>
              <w:rPr>
                <w:rFonts w:ascii="Arial" w:cs="Arial" w:eastAsia="Arial" w:hAnsi="Arial"/>
                <w:sz w:val="14"/>
                <w:szCs w:val="14"/>
                <w:color w:val="auto"/>
              </w:rPr>
              <w:t>Reata equity awards</w:t>
            </w:r>
            <w:r>
              <w:rPr>
                <w:rFonts w:ascii="Arial" w:cs="Arial" w:eastAsia="Arial" w:hAnsi="Arial"/>
                <w:sz w:val="18"/>
                <w:szCs w:val="18"/>
                <w:color w:val="auto"/>
                <w:vertAlign w:val="superscript"/>
              </w:rPr>
              <w:t>(2)</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40" w:type="dxa"/>
            <w:vAlign w:val="bottom"/>
          </w:tcPr>
          <w:p>
            <w:pPr>
              <w:spacing w:after="0"/>
              <w:rPr>
                <w:sz w:val="16"/>
                <w:szCs w:val="16"/>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Subtotal</w:t>
            </w:r>
          </w:p>
        </w:tc>
        <w:tc>
          <w:tcPr>
            <w:tcW w:w="180" w:type="dxa"/>
            <w:vAlign w:val="bottom"/>
            <w:tcBorders>
              <w:top w:val="single" w:sz="8" w:color="auto"/>
            </w:tcBorders>
            <w:shd w:val="clear" w:color="auto" w:fill="DBDBDB"/>
          </w:tcPr>
          <w:p>
            <w:pPr>
              <w:spacing w:after="0"/>
              <w:rPr>
                <w:sz w:val="16"/>
                <w:szCs w:val="16"/>
                <w:color w:val="auto"/>
              </w:rPr>
            </w:pP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452.0</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200" w:type="dxa"/>
            <w:vAlign w:val="bottom"/>
            <w:tcBorders>
              <w:top w:val="single" w:sz="8" w:color="auto"/>
            </w:tcBorders>
            <w:shd w:val="clear" w:color="auto" w:fill="DBDBDB"/>
          </w:tcPr>
          <w:p>
            <w:pPr>
              <w:spacing w:after="0"/>
              <w:rPr>
                <w:sz w:val="16"/>
                <w:szCs w:val="16"/>
                <w:color w:val="auto"/>
              </w:rPr>
            </w:pP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609.7</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w:t>
            </w:r>
          </w:p>
        </w:tc>
      </w:tr>
      <w:tr>
        <w:trPr>
          <w:trHeight w:val="209"/>
        </w:trPr>
        <w:tc>
          <w:tcPr>
            <w:tcW w:w="6200" w:type="dxa"/>
            <w:vAlign w:val="bottom"/>
            <w:gridSpan w:val="4"/>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1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222"/>
        </w:trPr>
        <w:tc>
          <w:tcPr>
            <w:tcW w:w="40" w:type="dxa"/>
            <w:vAlign w:val="bottom"/>
          </w:tcPr>
          <w:p>
            <w:pPr>
              <w:spacing w:after="0"/>
              <w:rPr>
                <w:sz w:val="19"/>
                <w:szCs w:val="19"/>
                <w:color w:val="auto"/>
              </w:rPr>
            </w:pPr>
          </w:p>
        </w:tc>
        <w:tc>
          <w:tcPr>
            <w:tcW w:w="6160" w:type="dxa"/>
            <w:vAlign w:val="bottom"/>
            <w:gridSpan w:val="3"/>
          </w:tcPr>
          <w:p>
            <w:pPr>
              <w:ind w:left="10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449.4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601.2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194.8</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800" w:type="dxa"/>
            <w:vAlign w:val="bottom"/>
            <w:tcBorders>
              <w:bottom w:val="single" w:sz="8" w:color="auto"/>
            </w:tcBorders>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72" w:lineRule="exact"/>
        <w:rPr>
          <w:sz w:val="20"/>
          <w:szCs w:val="20"/>
          <w:color w:val="auto"/>
        </w:rPr>
      </w:pPr>
    </w:p>
    <w:p>
      <w:pPr>
        <w:ind w:left="180" w:right="80" w:hanging="172"/>
        <w:spacing w:after="0" w:line="284" w:lineRule="auto"/>
        <w:tabs>
          <w:tab w:leader="none" w:pos="172" w:val="left"/>
        </w:tabs>
        <w:numPr>
          <w:ilvl w:val="0"/>
          <w:numId w:val="17"/>
        </w:numPr>
        <w:rPr>
          <w:rFonts w:ascii="Arial" w:cs="Arial" w:eastAsia="Arial" w:hAnsi="Arial"/>
          <w:sz w:val="9"/>
          <w:szCs w:val="9"/>
          <w:color w:val="auto"/>
        </w:rPr>
      </w:pPr>
      <w:r>
        <w:rPr>
          <w:rFonts w:ascii="Arial" w:cs="Arial" w:eastAsia="Arial" w:hAnsi="Arial"/>
          <w:sz w:val="14"/>
          <w:szCs w:val="14"/>
          <w:color w:val="auto"/>
        </w:rPr>
        <w:t xml:space="preserve">During the fourth quarter of 2022 we granted stock options. For additional information, please read </w:t>
      </w:r>
      <w:r>
        <w:rPr>
          <w:rFonts w:ascii="Arial" w:cs="Arial" w:eastAsia="Arial" w:hAnsi="Arial"/>
          <w:sz w:val="14"/>
          <w:szCs w:val="14"/>
          <w:i w:val="1"/>
          <w:iCs w:val="1"/>
          <w:color w:val="auto"/>
        </w:rPr>
        <w:t>Note 16, Share-Based Payments</w:t>
      </w:r>
      <w:r>
        <w:rPr>
          <w:rFonts w:ascii="Arial" w:cs="Arial" w:eastAsia="Arial" w:hAnsi="Arial"/>
          <w:sz w:val="14"/>
          <w:szCs w:val="14"/>
          <w:color w:val="auto"/>
        </w:rPr>
        <w:t>, to our consolidated financial statements included in our 2022 Form 10-K.</w:t>
      </w:r>
    </w:p>
    <w:p>
      <w:pPr>
        <w:ind w:left="180" w:right="40" w:hanging="172"/>
        <w:spacing w:after="0" w:line="277" w:lineRule="auto"/>
        <w:tabs>
          <w:tab w:leader="none" w:pos="172" w:val="left"/>
        </w:tabs>
        <w:numPr>
          <w:ilvl w:val="0"/>
          <w:numId w:val="17"/>
        </w:numPr>
        <w:rPr>
          <w:rFonts w:ascii="Arial" w:cs="Arial" w:eastAsia="Arial" w:hAnsi="Arial"/>
          <w:sz w:val="9"/>
          <w:szCs w:val="9"/>
          <w:color w:val="auto"/>
        </w:rPr>
      </w:pPr>
      <w:r>
        <w:rPr>
          <w:rFonts w:ascii="Arial" w:cs="Arial" w:eastAsia="Arial" w:hAnsi="Arial"/>
          <w:sz w:val="14"/>
          <w:szCs w:val="14"/>
          <w:color w:val="auto"/>
        </w:rPr>
        <w:t xml:space="preserve">Relates to the Reata equity-based compensation expense attributable to the post-acquisition service period, associated with the accelerated vesting of stock options and RSUs previously granted to Reata employees and required no future services to vest. For additional information on our acquisition of Reata, please read </w:t>
      </w:r>
      <w:r>
        <w:rPr>
          <w:rFonts w:ascii="Arial" w:cs="Arial" w:eastAsia="Arial" w:hAnsi="Arial"/>
          <w:sz w:val="14"/>
          <w:szCs w:val="14"/>
          <w:i w:val="1"/>
          <w:iCs w:val="1"/>
          <w:color w:val="auto"/>
        </w:rPr>
        <w:t>Note 2, Acquisitions</w:t>
      </w:r>
      <w:r>
        <w:rPr>
          <w:rFonts w:ascii="Arial" w:cs="Arial" w:eastAsia="Arial" w:hAnsi="Arial"/>
          <w:sz w:val="14"/>
          <w:szCs w:val="14"/>
          <w:color w:val="auto"/>
        </w:rPr>
        <w:t>, to these condensed consolidated financial statements.</w:t>
      </w:r>
    </w:p>
    <w:p>
      <w:pPr>
        <w:spacing w:after="0" w:line="6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estimate the fair value of our obligations associated with our performance stock units settled in cash at the end of each reporting period through expected settlement. Cumulative adjustments to these obligations are recognized each quarter to reflect changes in the stock price and estimated outcome of the performance-related conditions.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17:</w:t>
      </w:r>
      <w:r>
        <w:rPr>
          <w:sz w:val="20"/>
          <w:szCs w:val="20"/>
          <w:color w:val="auto"/>
        </w:rPr>
        <w:tab/>
      </w:r>
      <w:r>
        <w:rPr>
          <w:rFonts w:ascii="Arial" w:cs="Arial" w:eastAsia="Arial" w:hAnsi="Arial"/>
          <w:sz w:val="21"/>
          <w:szCs w:val="21"/>
          <w:b w:val="1"/>
          <w:bCs w:val="1"/>
          <w:color w:val="0070C0"/>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Inflation Reduction Act</w:t>
      </w:r>
    </w:p>
    <w:p>
      <w:pPr>
        <w:spacing w:after="0" w:line="10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September 30, 2023 and December 31, 2022. Preliminary guidance has been issued by the IRS and we expect additional guidance and regulations to be issued in future periods. We will continue to assess its potential impact on our business and results of operations as further information becomes available.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Tax Rate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the U.S. federal statutory tax rate and our effective tax rate is summarized as follows: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720" w:type="dxa"/>
            <w:vAlign w:val="bottom"/>
            <w:gridSpan w:val="7"/>
          </w:tcPr>
          <w:p>
            <w:pPr>
              <w:ind w:left="320"/>
              <w:spacing w:after="0"/>
              <w:rPr>
                <w:sz w:val="20"/>
                <w:szCs w:val="20"/>
                <w:color w:val="auto"/>
              </w:rPr>
            </w:pPr>
            <w:r>
              <w:rPr>
                <w:rFonts w:ascii="Arial" w:cs="Arial" w:eastAsia="Arial" w:hAnsi="Arial"/>
                <w:sz w:val="14"/>
                <w:szCs w:val="14"/>
                <w:b w:val="1"/>
                <w:bCs w:val="1"/>
                <w:color w:val="auto"/>
              </w:rPr>
              <w:t>For the Three Months Ended</w:t>
            </w:r>
          </w:p>
        </w:tc>
        <w:tc>
          <w:tcPr>
            <w:tcW w:w="262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8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gridSpan w:val="4"/>
          </w:tcPr>
          <w:p>
            <w:pPr>
              <w:jc w:val="center"/>
              <w:ind w:left="728"/>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5"/>
        </w:trPr>
        <w:tc>
          <w:tcPr>
            <w:tcW w:w="5880" w:type="dxa"/>
            <w:vAlign w:val="bottom"/>
          </w:tcPr>
          <w:p>
            <w:pPr>
              <w:spacing w:after="0"/>
              <w:rPr>
                <w:sz w:val="16"/>
                <w:szCs w:val="16"/>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ACB"/>
              </w:rPr>
              <w:t>2023</w:t>
            </w:r>
          </w:p>
        </w:tc>
        <w:tc>
          <w:tcPr>
            <w:tcW w:w="320" w:type="dxa"/>
            <w:vAlign w:val="bottom"/>
            <w:tcBorders>
              <w:bottom w:val="single" w:sz="8" w:color="auto"/>
            </w:tcBorders>
            <w:shd w:val="clear" w:color="auto" w:fill="DDDDDD"/>
          </w:tcPr>
          <w:p>
            <w:pPr>
              <w:spacing w:after="0"/>
              <w:rPr>
                <w:sz w:val="16"/>
                <w:szCs w:val="16"/>
                <w:color w:val="auto"/>
              </w:rPr>
            </w:pPr>
          </w:p>
        </w:tc>
        <w:tc>
          <w:tcPr>
            <w:tcW w:w="140" w:type="dxa"/>
            <w:vAlign w:val="bottom"/>
            <w:tcBorders>
              <w:bottom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12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b w:val="1"/>
                <w:bCs w:val="1"/>
                <w:color w:val="257ACB"/>
              </w:rPr>
              <w:t>2023</w:t>
            </w:r>
          </w:p>
        </w:tc>
        <w:tc>
          <w:tcPr>
            <w:tcW w:w="14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r>
      <w:tr>
        <w:trPr>
          <w:trHeight w:val="185"/>
        </w:trPr>
        <w:tc>
          <w:tcPr>
            <w:tcW w:w="5880" w:type="dxa"/>
            <w:vAlign w:val="bottom"/>
          </w:tcPr>
          <w:p>
            <w:pPr>
              <w:spacing w:after="0"/>
              <w:rPr>
                <w:sz w:val="20"/>
                <w:szCs w:val="20"/>
                <w:color w:val="auto"/>
              </w:rPr>
            </w:pPr>
            <w:r>
              <w:rPr>
                <w:rFonts w:ascii="Arial" w:cs="Arial" w:eastAsia="Arial" w:hAnsi="Arial"/>
                <w:sz w:val="14"/>
                <w:szCs w:val="14"/>
                <w:color w:val="auto"/>
              </w:rPr>
              <w:t>Statutory rate</w:t>
            </w:r>
          </w:p>
        </w:tc>
        <w:tc>
          <w:tcPr>
            <w:tcW w:w="780" w:type="dxa"/>
            <w:vAlign w:val="bottom"/>
            <w:shd w:val="clear" w:color="auto" w:fill="DBDBDB"/>
          </w:tcPr>
          <w:p>
            <w:pPr>
              <w:spacing w:after="0"/>
              <w:rPr>
                <w:sz w:val="16"/>
                <w:szCs w:val="16"/>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5"/>
              </w:rPr>
              <w:t>21.0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6"/>
                <w:szCs w:val="16"/>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21.0 %</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State taxes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4"/>
                <w:szCs w:val="14"/>
                <w:color w:val="257ACB"/>
                <w:w w:val="97"/>
              </w:rPr>
              <w:t>(1.3)</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1.1</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Taxes on foreign earnings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(4.4)</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Tax credits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5"/>
              </w:rPr>
              <w:t>24.6</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(7.7)</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Purchased intangible assets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4"/>
                <w:szCs w:val="14"/>
                <w:color w:val="257ACB"/>
                <w:w w:val="97"/>
              </w:rPr>
              <w:t>(2.3)</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0.2</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GILTI</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5"/>
              </w:rPr>
              <w:t>14.8</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0.5</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Sale of Samsung Bioepis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Litigation settlement agreement</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3.1</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Neurimmune tax impacts</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4"/>
                <w:szCs w:val="14"/>
                <w:color w:val="257ACB"/>
                <w:w w:val="97"/>
              </w:rPr>
              <w:t>(0.1)</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2.8</w:t>
            </w:r>
          </w:p>
        </w:tc>
      </w:tr>
      <w:tr>
        <w:trPr>
          <w:trHeight w:val="203"/>
        </w:trPr>
        <w:tc>
          <w:tcPr>
            <w:tcW w:w="5880" w:type="dxa"/>
            <w:vAlign w:val="bottom"/>
          </w:tcPr>
          <w:p>
            <w:pPr>
              <w:spacing w:after="0"/>
              <w:rPr>
                <w:sz w:val="20"/>
                <w:szCs w:val="20"/>
                <w:color w:val="auto"/>
              </w:rPr>
            </w:pPr>
            <w:r>
              <w:rPr>
                <w:rFonts w:ascii="Arial" w:cs="Arial" w:eastAsia="Arial" w:hAnsi="Arial"/>
                <w:sz w:val="14"/>
                <w:szCs w:val="14"/>
                <w:color w:val="auto"/>
              </w:rPr>
              <w:t>International reorganization</w:t>
            </w:r>
          </w:p>
        </w:tc>
        <w:tc>
          <w:tcPr>
            <w:tcW w:w="780" w:type="dxa"/>
            <w:vAlign w:val="bottom"/>
            <w:shd w:val="clear" w:color="auto" w:fill="DBDBDB"/>
          </w:tcPr>
          <w:p>
            <w:pPr>
              <w:spacing w:after="0"/>
              <w:rPr>
                <w:sz w:val="17"/>
                <w:szCs w:val="17"/>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w:t>
            </w:r>
          </w:p>
        </w:tc>
      </w:tr>
      <w:tr>
        <w:trPr>
          <w:trHeight w:val="208"/>
        </w:trPr>
        <w:tc>
          <w:tcPr>
            <w:tcW w:w="5880" w:type="dxa"/>
            <w:vAlign w:val="bottom"/>
          </w:tcPr>
          <w:p>
            <w:pPr>
              <w:spacing w:after="0"/>
              <w:rPr>
                <w:sz w:val="20"/>
                <w:szCs w:val="20"/>
                <w:color w:val="auto"/>
              </w:rPr>
            </w:pPr>
            <w:r>
              <w:rPr>
                <w:rFonts w:ascii="Arial" w:cs="Arial" w:eastAsia="Arial" w:hAnsi="Arial"/>
                <w:sz w:val="14"/>
                <w:szCs w:val="14"/>
                <w:color w:val="auto"/>
              </w:rPr>
              <w:t>Other, including permanent items</w:t>
            </w:r>
          </w:p>
        </w:tc>
        <w:tc>
          <w:tcPr>
            <w:tcW w:w="780" w:type="dxa"/>
            <w:vAlign w:val="bottom"/>
            <w:tcBorders>
              <w:bottom w:val="single" w:sz="8" w:color="auto"/>
            </w:tcBorders>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ACB"/>
                <w:w w:val="97"/>
              </w:rPr>
              <w:t>(7.7)</w:t>
            </w:r>
          </w:p>
        </w:tc>
        <w:tc>
          <w:tcPr>
            <w:tcW w:w="140" w:type="dxa"/>
            <w:vAlign w:val="bottom"/>
            <w:tcBorders>
              <w:bottom w:val="single" w:sz="8" w:color="auto"/>
            </w:tcBorders>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w:t>
            </w:r>
          </w:p>
        </w:tc>
        <w:tc>
          <w:tcPr>
            <w:tcW w:w="140" w:type="dxa"/>
            <w:vAlign w:val="bottom"/>
            <w:tcBorders>
              <w:bottom w:val="single" w:sz="8" w:color="auto"/>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r>
      <w:tr>
        <w:trPr>
          <w:trHeight w:val="222"/>
        </w:trPr>
        <w:tc>
          <w:tcPr>
            <w:tcW w:w="5880" w:type="dxa"/>
            <w:vAlign w:val="bottom"/>
          </w:tcPr>
          <w:p>
            <w:pPr>
              <w:ind w:left="220"/>
              <w:spacing w:after="0"/>
              <w:rPr>
                <w:sz w:val="20"/>
                <w:szCs w:val="20"/>
                <w:color w:val="auto"/>
              </w:rPr>
            </w:pPr>
            <w:r>
              <w:rPr>
                <w:rFonts w:ascii="Arial" w:cs="Arial" w:eastAsia="Arial" w:hAnsi="Arial"/>
                <w:sz w:val="14"/>
                <w:szCs w:val="14"/>
                <w:color w:val="auto"/>
              </w:rPr>
              <w:t>Effective tax rate</w:t>
            </w:r>
          </w:p>
        </w:tc>
        <w:tc>
          <w:tcPr>
            <w:tcW w:w="78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95"/>
              </w:rPr>
              <w:t>51.6</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17.2 %</w:t>
            </w:r>
          </w:p>
        </w:tc>
        <w:tc>
          <w:tcPr>
            <w:tcW w:w="100" w:type="dxa"/>
            <w:vAlign w:val="bottom"/>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9.2</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19.4 %</w:t>
            </w:r>
          </w:p>
        </w:tc>
      </w:tr>
      <w:tr>
        <w:trPr>
          <w:trHeight w:val="20"/>
        </w:trPr>
        <w:tc>
          <w:tcPr>
            <w:tcW w:w="5880" w:type="dxa"/>
            <w:vAlign w:val="bottom"/>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effective tax rate for the three months ended September 30, 2023, reflects a tax benefit of $72.9 million recognized as a result of a pretax loss from operations of $141.2 million recorded during the third quarter of 2023, which was driven, in part, by the impact of the non-cash changes in the value of our equity investments and Reata acquisition-related expenses. For all other periods presented, the effective tax rates reflect tax expense on pretax income from operations in the respective periods.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Changes in Tax Rate</w:t>
      </w:r>
    </w:p>
    <w:p>
      <w:pPr>
        <w:spacing w:after="0" w:line="12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For the three months ended September 30, 2023, compared to the same period in 2022, the change in our effective tax rate was driven by the impact of the non-cash changes in the value of our equity investments and Reata acquisition-related expenses.</w:t>
      </w:r>
    </w:p>
    <w:p>
      <w:pPr>
        <w:spacing w:after="0" w:line="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nine months ended September 30, 2023, compared to the same period in 2022, our effective tax rate, in addition to the items noted above, was also impacted by the combined net unfavorable tax rate impacts in 2022 related to a litigation settlement agreement, the sale of our equity interest in Samsung Bioepis, the impact of a Neurimmune valuation allowance and an international reorganization to align with global tax developments. The change also benefits from the resolution of an uncertain tax matter during the first quarter of 2023 related to tax credits.</w:t>
      </w:r>
    </w:p>
    <w:p>
      <w:pPr>
        <w:spacing w:after="0" w:line="78"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Accounting for Uncertainty in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and our subsidiaries are routinely examined by various taxing authorities. We file income tax returns in various U.S. states and in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federal and other foreign jurisdictions. With few exceptions, we are no longer subject to U.S.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federal tax examination for years before 2019 or state, local or non-U.S. income tax examinations for years before 2013.</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76"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withholding taxes and other issues as we receive additional information from various taxing authorities, including reaching settlements with such authorities.</w:t>
      </w:r>
    </w:p>
    <w:p>
      <w:pPr>
        <w:spacing w:after="0" w:line="76" w:lineRule="exact"/>
        <w:rPr>
          <w:sz w:val="20"/>
          <w:szCs w:val="20"/>
          <w:color w:val="auto"/>
        </w:rPr>
      </w:pPr>
    </w:p>
    <w:p>
      <w:pPr>
        <w:ind w:right="2100"/>
        <w:spacing w:after="0" w:line="257" w:lineRule="auto"/>
        <w:rPr>
          <w:sz w:val="20"/>
          <w:szCs w:val="20"/>
          <w:color w:val="auto"/>
        </w:rPr>
      </w:pPr>
      <w:r>
        <w:rPr>
          <w:rFonts w:ascii="Arial" w:cs="Arial" w:eastAsia="Arial" w:hAnsi="Arial"/>
          <w:sz w:val="18"/>
          <w:szCs w:val="18"/>
          <w:color w:val="auto"/>
        </w:rPr>
        <w:t>We estimate that it is reasonably possible that our gross unrecognized tax benefits, exclusive of interest, could decrease by up to approximately $460.0 million, including approximately $450.0 million related to the unrecognized</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tax benefits related to Neurimmune's tax basis in ADUHELM, as discussed above, in the next 12 months as a result of various audit closures, settlements and expiration of the statute of limitations. Any changes to our gross unrecognized tax benefits related to Neurimmune's tax basis in ADUHELM would result in a zero net impact to net income attributable to Biogen, Inc., as we have recorded a full valuation allowance against the relevant deferred tax assets.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260" w:type="dxa"/>
            <w:vAlign w:val="bottom"/>
            <w:tcBorders>
              <w:bottom w:val="single" w:sz="8" w:color="0070C0"/>
            </w:tcBorders>
            <w:gridSpan w:val="2"/>
            <w:shd w:val="clear" w:color="auto" w:fill="0070C0"/>
          </w:tcPr>
          <w:p>
            <w:pPr>
              <w:ind w:left="20"/>
              <w:spacing w:after="0"/>
              <w:rPr>
                <w:sz w:val="20"/>
                <w:szCs w:val="20"/>
                <w:color w:val="auto"/>
              </w:rPr>
            </w:pPr>
            <w:r>
              <w:rPr>
                <w:rFonts w:ascii="Arial" w:cs="Arial" w:eastAsia="Arial" w:hAnsi="Arial"/>
                <w:sz w:val="22"/>
                <w:szCs w:val="22"/>
                <w:b w:val="1"/>
                <w:bCs w:val="1"/>
                <w:color w:val="FFFFFF"/>
              </w:rPr>
              <w:t>Note 18:</w:t>
            </w:r>
          </w:p>
        </w:tc>
        <w:tc>
          <w:tcPr>
            <w:tcW w:w="4940" w:type="dxa"/>
            <w:vAlign w:val="bottom"/>
            <w:tcBorders>
              <w:bottom w:val="single" w:sz="8" w:color="0070C0"/>
            </w:tcBorders>
            <w:gridSpan w:val="3"/>
          </w:tcPr>
          <w:p>
            <w:pPr>
              <w:ind w:left="20"/>
              <w:spacing w:after="0"/>
              <w:rPr>
                <w:sz w:val="20"/>
                <w:szCs w:val="20"/>
                <w:color w:val="auto"/>
              </w:rPr>
            </w:pPr>
            <w:r>
              <w:rPr>
                <w:rFonts w:ascii="Arial" w:cs="Arial" w:eastAsia="Arial" w:hAnsi="Arial"/>
                <w:sz w:val="22"/>
                <w:szCs w:val="22"/>
                <w:b w:val="1"/>
                <w:bCs w:val="1"/>
                <w:color w:val="0070C0"/>
              </w:rPr>
              <w:t>Other Consolidated Financial Statement Detail</w:t>
            </w:r>
          </w:p>
        </w:tc>
        <w:tc>
          <w:tcPr>
            <w:tcW w:w="180" w:type="dxa"/>
            <w:vAlign w:val="bottom"/>
            <w:tcBorders>
              <w:bottom w:val="single" w:sz="8" w:color="0070C0"/>
            </w:tcBorders>
          </w:tcPr>
          <w:p>
            <w:pPr>
              <w:spacing w:after="0"/>
              <w:rPr>
                <w:sz w:val="24"/>
                <w:szCs w:val="24"/>
                <w:color w:val="auto"/>
              </w:rPr>
            </w:pPr>
          </w:p>
        </w:tc>
        <w:tc>
          <w:tcPr>
            <w:tcW w:w="100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260" w:type="dxa"/>
            <w:vAlign w:val="bottom"/>
            <w:tcBorders>
              <w:bottom w:val="single" w:sz="8" w:color="0070C0"/>
            </w:tcBorders>
          </w:tcPr>
          <w:p>
            <w:pPr>
              <w:spacing w:after="0"/>
              <w:rPr>
                <w:sz w:val="24"/>
                <w:szCs w:val="24"/>
                <w:color w:val="auto"/>
              </w:rPr>
            </w:pPr>
          </w:p>
        </w:tc>
        <w:tc>
          <w:tcPr>
            <w:tcW w:w="92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200" w:type="dxa"/>
            <w:vAlign w:val="bottom"/>
            <w:tcBorders>
              <w:bottom w:val="single" w:sz="8" w:color="0070C0"/>
            </w:tcBorders>
          </w:tcPr>
          <w:p>
            <w:pPr>
              <w:spacing w:after="0"/>
              <w:rPr>
                <w:sz w:val="24"/>
                <w:szCs w:val="24"/>
                <w:color w:val="auto"/>
              </w:rPr>
            </w:pPr>
          </w:p>
        </w:tc>
        <w:tc>
          <w:tcPr>
            <w:tcW w:w="100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260" w:type="dxa"/>
            <w:vAlign w:val="bottom"/>
            <w:tcBorders>
              <w:bottom w:val="single" w:sz="8" w:color="0070C0"/>
            </w:tcBorders>
          </w:tcPr>
          <w:p>
            <w:pPr>
              <w:spacing w:after="0"/>
              <w:rPr>
                <w:sz w:val="24"/>
                <w:szCs w:val="24"/>
                <w:color w:val="auto"/>
              </w:rPr>
            </w:pPr>
          </w:p>
        </w:tc>
        <w:tc>
          <w:tcPr>
            <w:tcW w:w="440" w:type="dxa"/>
            <w:vAlign w:val="bottom"/>
            <w:tcBorders>
              <w:bottom w:val="single" w:sz="8" w:color="0070C0"/>
            </w:tcBorders>
          </w:tcPr>
          <w:p>
            <w:pPr>
              <w:spacing w:after="0"/>
              <w:rPr>
                <w:sz w:val="24"/>
                <w:szCs w:val="24"/>
                <w:color w:val="auto"/>
              </w:rPr>
            </w:pPr>
          </w:p>
        </w:tc>
        <w:tc>
          <w:tcPr>
            <w:tcW w:w="480" w:type="dxa"/>
            <w:vAlign w:val="bottom"/>
          </w:tcPr>
          <w:p>
            <w:pPr>
              <w:spacing w:after="0"/>
              <w:rPr>
                <w:sz w:val="24"/>
                <w:szCs w:val="24"/>
                <w:color w:val="auto"/>
              </w:rPr>
            </w:pPr>
          </w:p>
        </w:tc>
      </w:tr>
      <w:tr>
        <w:trPr>
          <w:trHeight w:val="446"/>
        </w:trPr>
        <w:tc>
          <w:tcPr>
            <w:tcW w:w="6200" w:type="dxa"/>
            <w:vAlign w:val="bottom"/>
            <w:gridSpan w:val="5"/>
          </w:tcPr>
          <w:p>
            <w:pPr>
              <w:spacing w:after="0"/>
              <w:rPr>
                <w:sz w:val="20"/>
                <w:szCs w:val="20"/>
                <w:color w:val="auto"/>
              </w:rPr>
            </w:pPr>
            <w:r>
              <w:rPr>
                <w:rFonts w:ascii="Arial" w:cs="Arial" w:eastAsia="Arial" w:hAnsi="Arial"/>
                <w:sz w:val="20"/>
                <w:szCs w:val="20"/>
                <w:b w:val="1"/>
                <w:bCs w:val="1"/>
                <w:color w:val="2573BA"/>
              </w:rPr>
              <w:t>Other (Income) Expense, Net</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04"/>
        </w:trPr>
        <w:tc>
          <w:tcPr>
            <w:tcW w:w="6200" w:type="dxa"/>
            <w:vAlign w:val="bottom"/>
            <w:gridSpan w:val="5"/>
          </w:tcPr>
          <w:p>
            <w:pPr>
              <w:spacing w:after="0"/>
              <w:rPr>
                <w:sz w:val="20"/>
                <w:szCs w:val="20"/>
                <w:color w:val="auto"/>
              </w:rPr>
            </w:pPr>
            <w:r>
              <w:rPr>
                <w:rFonts w:ascii="Arial" w:cs="Arial" w:eastAsia="Arial" w:hAnsi="Arial"/>
                <w:sz w:val="18"/>
                <w:szCs w:val="18"/>
                <w:color w:val="auto"/>
              </w:rPr>
              <w:t>Components of other (income) expense, net, are summarized as follows: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6"/>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5"/>
                <w:szCs w:val="15"/>
                <w:color w:val="auto"/>
              </w:rPr>
            </w:pPr>
          </w:p>
        </w:tc>
        <w:tc>
          <w:tcPr>
            <w:tcW w:w="22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DDDDD"/>
          </w:tcPr>
          <w:p>
            <w:pPr>
              <w:spacing w:after="0"/>
              <w:rPr>
                <w:sz w:val="16"/>
                <w:szCs w:val="16"/>
                <w:color w:val="auto"/>
              </w:rPr>
            </w:pPr>
          </w:p>
        </w:tc>
        <w:tc>
          <w:tcPr>
            <w:tcW w:w="1000" w:type="dxa"/>
            <w:vAlign w:val="bottom"/>
            <w:tcBorders>
              <w:top w:val="single" w:sz="8" w:color="auto"/>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2022</w:t>
            </w:r>
          </w:p>
        </w:tc>
      </w:tr>
      <w:tr>
        <w:trPr>
          <w:trHeight w:val="185"/>
        </w:trPr>
        <w:tc>
          <w:tcPr>
            <w:tcW w:w="6200" w:type="dxa"/>
            <w:vAlign w:val="bottom"/>
            <w:gridSpan w:val="5"/>
          </w:tcPr>
          <w:p>
            <w:pPr>
              <w:ind w:left="20"/>
              <w:spacing w:after="0"/>
              <w:rPr>
                <w:sz w:val="20"/>
                <w:szCs w:val="20"/>
                <w:color w:val="auto"/>
              </w:rPr>
            </w:pPr>
            <w:r>
              <w:rPr>
                <w:rFonts w:ascii="Arial" w:cs="Arial" w:eastAsia="Arial" w:hAnsi="Arial"/>
                <w:sz w:val="14"/>
                <w:szCs w:val="14"/>
                <w:color w:val="auto"/>
              </w:rPr>
              <w:t>Gain on sale of equity interest in Samsung Bioepis</w:t>
            </w:r>
            <w:r>
              <w:rPr>
                <w:rFonts w:ascii="Arial" w:cs="Arial" w:eastAsia="Arial" w:hAnsi="Arial"/>
                <w:sz w:val="9"/>
                <w:szCs w:val="9"/>
                <w:color w:val="auto"/>
              </w:rPr>
              <w:t>(1)</w:t>
            </w:r>
          </w:p>
        </w:tc>
        <w:tc>
          <w:tcPr>
            <w:tcW w:w="1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(1,505.4)</w:t>
            </w:r>
          </w:p>
        </w:tc>
      </w:tr>
      <w:tr>
        <w:trPr>
          <w:trHeight w:val="203"/>
        </w:trPr>
        <w:tc>
          <w:tcPr>
            <w:tcW w:w="6200" w:type="dxa"/>
            <w:vAlign w:val="bottom"/>
            <w:gridSpan w:val="5"/>
          </w:tcPr>
          <w:p>
            <w:pPr>
              <w:ind w:left="20"/>
              <w:spacing w:after="0"/>
              <w:rPr>
                <w:sz w:val="20"/>
                <w:szCs w:val="20"/>
                <w:color w:val="auto"/>
              </w:rPr>
            </w:pPr>
            <w:r>
              <w:rPr>
                <w:rFonts w:ascii="Arial" w:cs="Arial" w:eastAsia="Arial" w:hAnsi="Arial"/>
                <w:sz w:val="14"/>
                <w:szCs w:val="14"/>
                <w:color w:val="auto"/>
              </w:rPr>
              <w:t>Litigation settlement agreement</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900.0</w:t>
            </w:r>
          </w:p>
        </w:tc>
      </w:tr>
      <w:tr>
        <w:trPr>
          <w:trHeight w:val="203"/>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2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(95.9)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(39.4)</w:t>
            </w:r>
          </w:p>
        </w:tc>
      </w:tr>
      <w:tr>
        <w:trPr>
          <w:trHeight w:val="203"/>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25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175.4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191.8</w:t>
            </w:r>
          </w:p>
        </w:tc>
      </w:tr>
      <w:tr>
        <w:trPr>
          <w:trHeight w:val="203"/>
        </w:trPr>
        <w:tc>
          <w:tcPr>
            <w:tcW w:w="6200" w:type="dxa"/>
            <w:vAlign w:val="bottom"/>
            <w:gridSpan w:val="5"/>
          </w:tcPr>
          <w:p>
            <w:pPr>
              <w:ind w:left="20"/>
              <w:spacing w:after="0"/>
              <w:rPr>
                <w:sz w:val="20"/>
                <w:szCs w:val="20"/>
                <w:color w:val="auto"/>
              </w:rPr>
            </w:pPr>
            <w:r>
              <w:rPr>
                <w:rFonts w:ascii="Arial" w:cs="Arial" w:eastAsia="Arial" w:hAnsi="Arial"/>
                <w:sz w:val="14"/>
                <w:szCs w:val="14"/>
                <w:color w:val="auto"/>
              </w:rPr>
              <w:t>(Gains) losses on investments, net</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317.3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167.5</w:t>
            </w:r>
          </w:p>
        </w:tc>
      </w:tr>
      <w:tr>
        <w:trPr>
          <w:trHeight w:val="203"/>
        </w:trPr>
        <w:tc>
          <w:tcPr>
            <w:tcW w:w="6200" w:type="dxa"/>
            <w:vAlign w:val="bottom"/>
            <w:gridSpan w:val="5"/>
          </w:tcPr>
          <w:p>
            <w:pPr>
              <w:ind w:left="20"/>
              <w:spacing w:after="0"/>
              <w:rPr>
                <w:sz w:val="20"/>
                <w:szCs w:val="20"/>
                <w:color w:val="auto"/>
              </w:rPr>
            </w:pPr>
            <w:r>
              <w:rPr>
                <w:rFonts w:ascii="Arial" w:cs="Arial" w:eastAsia="Arial" w:hAnsi="Arial"/>
                <w:sz w:val="14"/>
                <w:szCs w:val="14"/>
                <w:color w:val="auto"/>
              </w:rPr>
              <w:t>Foreign exchange (gains) losses, net</w:t>
            </w: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39.0</w:t>
            </w:r>
          </w:p>
        </w:tc>
      </w:tr>
      <w:tr>
        <w:trPr>
          <w:trHeight w:val="208"/>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2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25.2</w:t>
            </w:r>
          </w:p>
        </w:tc>
      </w:tr>
      <w:tr>
        <w:trPr>
          <w:trHeight w:val="222"/>
        </w:trPr>
        <w:tc>
          <w:tcPr>
            <w:tcW w:w="40" w:type="dxa"/>
            <w:vAlign w:val="bottom"/>
          </w:tcPr>
          <w:p>
            <w:pPr>
              <w:spacing w:after="0"/>
              <w:rPr>
                <w:sz w:val="19"/>
                <w:szCs w:val="19"/>
                <w:color w:val="auto"/>
              </w:rPr>
            </w:pPr>
          </w:p>
        </w:tc>
        <w:tc>
          <w:tcPr>
            <w:tcW w:w="6160" w:type="dxa"/>
            <w:vAlign w:val="bottom"/>
            <w:gridSpan w:val="4"/>
          </w:tcPr>
          <w:p>
            <w:pPr>
              <w:ind w:left="200"/>
              <w:spacing w:after="0"/>
              <w:rPr>
                <w:sz w:val="20"/>
                <w:szCs w:val="20"/>
                <w:color w:val="auto"/>
              </w:rPr>
            </w:pPr>
            <w:r>
              <w:rPr>
                <w:rFonts w:ascii="Arial" w:cs="Arial" w:eastAsia="Arial" w:hAnsi="Arial"/>
                <w:sz w:val="14"/>
                <w:szCs w:val="14"/>
                <w:color w:val="auto"/>
              </w:rPr>
              <w:t>Total other (income) expense, net</w:t>
            </w:r>
          </w:p>
        </w:tc>
        <w:tc>
          <w:tcPr>
            <w:tcW w:w="1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300.0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248.2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(221.3)</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r>
    </w:tbl>
    <w:p>
      <w:pPr>
        <w:spacing w:after="0" w:line="89" w:lineRule="exact"/>
        <w:rPr>
          <w:sz w:val="20"/>
          <w:szCs w:val="20"/>
          <w:color w:val="auto"/>
        </w:rPr>
      </w:pPr>
    </w:p>
    <w:p>
      <w:pPr>
        <w:ind w:right="600" w:firstLine="8"/>
        <w:spacing w:after="0" w:line="239" w:lineRule="auto"/>
        <w:tabs>
          <w:tab w:leader="none" w:pos="15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 xml:space="preserve">Reflects the pre-tax gain, net of transaction costs, recognized from the sale of our 49.9% equity interest in Samsung Bioepis to Samsung BioLogics in April 2022. For additional information on the sale of our equity interest in Samsung Bioepis, please read </w:t>
      </w:r>
      <w:r>
        <w:rPr>
          <w:rFonts w:ascii="Arial" w:cs="Arial" w:eastAsia="Arial" w:hAnsi="Arial"/>
          <w:sz w:val="13"/>
          <w:szCs w:val="13"/>
          <w:i w:val="1"/>
          <w:iCs w:val="1"/>
          <w:color w:val="auto"/>
        </w:rPr>
        <w:t>Note 3, Dispositions</w:t>
      </w:r>
      <w:r>
        <w:rPr>
          <w:rFonts w:ascii="Arial" w:cs="Arial" w:eastAsia="Arial" w:hAnsi="Arial"/>
          <w:sz w:val="13"/>
          <w:szCs w:val="13"/>
          <w:color w:val="auto"/>
        </w:rPr>
        <w:t>, to these condensed consolidated financial statements.</w:t>
      </w:r>
    </w:p>
    <w:p>
      <w:pPr>
        <w:spacing w:after="0" w:line="94"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76"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second quarter of 2022 we recorded a pre-tax charge of $900.0 million, plus settlement fees and expenses, related to a litigation settlement agreement to resolve a qui tam litigation relating to conduct prior to 2015. This charge is included within other (income) expense, net in our condensed consolidated statements of income for the nine months ended September 30,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(gains) losses on investments, net that relate to our equity securities held during the following periods: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1000" w:type="dxa"/>
            <w:vAlign w:val="bottom"/>
            <w:tcBorders>
              <w:top w:val="single" w:sz="8" w:color="auto"/>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r>
      <w:tr>
        <w:trPr>
          <w:trHeight w:val="185"/>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on equity securities</w:t>
            </w:r>
          </w:p>
        </w:tc>
        <w:tc>
          <w:tcPr>
            <w:tcW w:w="1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302.0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(109.8)</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273.6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158.1</w:t>
            </w:r>
          </w:p>
        </w:tc>
      </w:tr>
      <w:tr>
        <w:trPr>
          <w:trHeight w:val="208"/>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on equity securities</w:t>
            </w:r>
          </w:p>
        </w:tc>
        <w:tc>
          <w:tcPr>
            <w:tcW w:w="1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620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 recognized on equity securities</w:t>
            </w:r>
          </w:p>
        </w:tc>
        <w:tc>
          <w:tcPr>
            <w:tcW w:w="1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297.6</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268.3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158.1</w:t>
            </w: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net unrealized losses recognized during the three months ended September 30, 2023, primarily reflect a decrease in the aggregate fair value of our investments in Sage, Denali and Sangamo common stock of approximately $295.6 million.</w:t>
      </w:r>
    </w:p>
    <w:p>
      <w:pPr>
        <w:spacing w:after="0" w:line="6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net unrealized gains recognized during the three months ended September 30, 2022, primarily reflect an increase in the aggregate fair value of our investments in Sage, Ionis, Sangamo and Denali common stock of approximately $112.5 million.</w:t>
      </w:r>
    </w:p>
    <w:p>
      <w:pPr>
        <w:spacing w:after="0" w:line="6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net unrealized losses recognized during the nine months ended September 30, 2023, primarily reflect a decrease in the aggregate fair value of our investments in Sage, Denali, Sangamo and Ionis common stock of approximately $265.0 million.</w:t>
      </w:r>
    </w:p>
    <w:p>
      <w:pPr>
        <w:spacing w:after="0" w:line="6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net unrealized losses recognized during the nine months ended September 30, 2022, primarily reflect a decrease in the aggregate fair value of our investments in Denali and Sangamo common stock of approximately $198.0 million, partially offset by an increase in the fair value of Ionis and Sage common stock of approximately $52.2 million.</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Accrued Expense and Other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 and other consists of the following:</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Reata acquisition-related accrued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1,407.0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Revenue-related reserves for discounts and allowances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940.9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891.6</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276.7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395.6</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Collaboration expense</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298.3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277.9</w:t>
            </w:r>
          </w:p>
        </w:tc>
      </w:tr>
      <w:tr>
        <w:trPr>
          <w:trHeight w:val="20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Royalties and licensing fees</w:t>
            </w:r>
          </w:p>
        </w:tc>
        <w:tc>
          <w:tcPr>
            <w:tcW w:w="16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202.8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209.4</w:t>
            </w:r>
          </w:p>
        </w:tc>
      </w:tr>
      <w:tr>
        <w:trPr>
          <w:trHeight w:val="209"/>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712.7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746.9</w:t>
            </w:r>
          </w:p>
        </w:tc>
      </w:tr>
      <w:tr>
        <w:trPr>
          <w:trHeight w:val="222"/>
        </w:trPr>
        <w:tc>
          <w:tcPr>
            <w:tcW w:w="6760" w:type="dxa"/>
            <w:vAlign w:val="bottom"/>
            <w:gridSpan w:val="2"/>
          </w:tcPr>
          <w:p>
            <w:pPr>
              <w:ind w:left="240"/>
              <w:spacing w:after="0"/>
              <w:rPr>
                <w:sz w:val="20"/>
                <w:szCs w:val="20"/>
                <w:color w:val="auto"/>
              </w:rPr>
            </w:pPr>
            <w:r>
              <w:rPr>
                <w:rFonts w:ascii="Arial" w:cs="Arial" w:eastAsia="Arial" w:hAnsi="Arial"/>
                <w:sz w:val="14"/>
                <w:szCs w:val="14"/>
                <w:color w:val="auto"/>
              </w:rPr>
              <w:t>Total accrued expense and other</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3,838.4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2,521.4</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Reata Acquisition-Related Accrued Expense</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In connection with our acquisition of Reata we accrued approximately </w:t>
      </w:r>
      <w:r>
        <w:rPr>
          <w:rFonts w:ascii="Arial" w:cs="Arial" w:eastAsia="Arial" w:hAnsi="Arial"/>
          <w:sz w:val="17"/>
          <w:szCs w:val="17"/>
          <w:b w:val="1"/>
          <w:bCs w:val="1"/>
          <w:color w:val="auto"/>
        </w:rPr>
        <w:t>$983.9 million</w:t>
      </w:r>
      <w:r>
        <w:rPr>
          <w:rFonts w:ascii="Arial" w:cs="Arial" w:eastAsia="Arial" w:hAnsi="Arial"/>
          <w:sz w:val="17"/>
          <w:szCs w:val="17"/>
          <w:color w:val="auto"/>
        </w:rPr>
        <w:t xml:space="preserve"> related to Reata's outstanding equity awards, inclusive of employer taxes, of which approximately </w:t>
      </w:r>
      <w:r>
        <w:rPr>
          <w:rFonts w:ascii="Arial" w:cs="Arial" w:eastAsia="Arial" w:hAnsi="Arial"/>
          <w:sz w:val="17"/>
          <w:szCs w:val="17"/>
          <w:b w:val="1"/>
          <w:bCs w:val="1"/>
          <w:color w:val="auto"/>
        </w:rPr>
        <w:t>$980.0 million</w:t>
      </w:r>
      <w:r>
        <w:rPr>
          <w:rFonts w:ascii="Arial" w:cs="Arial" w:eastAsia="Arial" w:hAnsi="Arial"/>
          <w:sz w:val="17"/>
          <w:szCs w:val="17"/>
          <w:color w:val="auto"/>
        </w:rPr>
        <w:t xml:space="preserve"> was subsequently paid in October 2023. As of September 30, 2023, this amount was included within accrued expense and other within our condensed consolidated balance sheets. </w:t>
      </w:r>
      <w:r>
        <w:rPr>
          <w:rFonts w:ascii="Arial" w:cs="Arial" w:eastAsia="Arial" w:hAnsi="Arial"/>
          <w:sz w:val="17"/>
          <w:szCs w:val="17"/>
          <w:b w:val="1"/>
          <w:bCs w:val="1"/>
          <w:color w:val="auto"/>
        </w:rPr>
        <w:t>Additionally, we assumed a payable to</w:t>
      </w:r>
    </w:p>
    <w:p>
      <w:pPr>
        <w:spacing w:after="0" w:line="1"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b w:val="1"/>
          <w:bCs w:val="1"/>
          <w:color w:val="auto"/>
        </w:rPr>
        <w:t xml:space="preserve">Blackstone of approximately $300.0 million related to a one-time contract termination fee to eliminate potential future royalty obligations related to SKYCLARYS, which was triggered as part of the change in control provision under Reata's funding agreement with Blackstone. Payment to Blackstone is expected to be made in November 2023. </w:t>
      </w:r>
      <w:r>
        <w:rPr>
          <w:rFonts w:ascii="Arial" w:cs="Arial" w:eastAsia="Arial" w:hAnsi="Arial"/>
          <w:sz w:val="18"/>
          <w:szCs w:val="18"/>
          <w:color w:val="auto"/>
        </w:rPr>
        <w:t>For additional information on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2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Other long-term liabilities were $747.9 million and $944.2 million as of September 30, 2023 and December 31, 2022, respectively, and included accrued income taxes totaling $393.8 million and $541.7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96925" cy="342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64"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19:</w:t>
      </w:r>
      <w:r>
        <w:rPr>
          <w:sz w:val="20"/>
          <w:szCs w:val="20"/>
          <w:color w:val="auto"/>
        </w:rPr>
        <w:tab/>
      </w:r>
      <w:r>
        <w:rPr>
          <w:rFonts w:ascii="Arial" w:cs="Arial" w:eastAsia="Arial" w:hAnsi="Arial"/>
          <w:sz w:val="21"/>
          <w:szCs w:val="21"/>
          <w:b w:val="1"/>
          <w:bCs w:val="1"/>
          <w:color w:val="0070C0"/>
        </w:rPr>
        <w:t>Collaborative and Other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31750</wp:posOffset>
            </wp:positionV>
            <wp:extent cx="60261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Genentech, Inc. (Roche Group)</w:t>
      </w:r>
    </w:p>
    <w:p>
      <w:pPr>
        <w:spacing w:after="0" w:line="13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(mosunetuzumab), for the treatment of relapsed or refractory follicular lymphoma, which was granted accelerated approval in the U.S. during the fourth quarter of 2022; COLUMVI (glofitamab), a bispecific antibody for the treatment of non-Hodgkin's lymphoma, which was granted accelerated approval by the FDA during the second quarter of 2023; and have the option to add other potential anti-CD20 therapies, pursuant to our collaboration arrangements with Genentech, a wholly-owned member of the Roche Group. For purposes of this footnote, we refer to RITUXAN and RITUXAN HYCELA collectively as RITUXAN.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RITUXAN</w:t>
      </w:r>
    </w:p>
    <w:p>
      <w:pPr>
        <w:spacing w:after="0" w:line="123"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Genentech and its affiliates are responsible for the worldwide manufacture of RITUXAN as well as all development and commercialization activities as follows:</w:t>
      </w:r>
    </w:p>
    <w:p>
      <w:pPr>
        <w:spacing w:after="0" w:line="19" w:lineRule="exact"/>
        <w:rPr>
          <w:sz w:val="20"/>
          <w:szCs w:val="20"/>
          <w:color w:val="auto"/>
        </w:rPr>
      </w:pPr>
    </w:p>
    <w:p>
      <w:pPr>
        <w:ind w:left="600" w:hanging="268"/>
        <w:spacing w:after="0"/>
        <w:tabs>
          <w:tab w:leader="none" w:pos="600" w:val="left"/>
        </w:tabs>
        <w:numPr>
          <w:ilvl w:val="0"/>
          <w:numId w:val="19"/>
        </w:numPr>
        <w:rPr>
          <w:rFonts w:ascii="Arial" w:cs="Arial" w:eastAsia="Arial" w:hAnsi="Arial"/>
          <w:sz w:val="20"/>
          <w:szCs w:val="20"/>
          <w:i w:val="1"/>
          <w:iCs w:val="1"/>
          <w:color w:val="0070C0"/>
        </w:rPr>
      </w:pPr>
      <w:r>
        <w:rPr>
          <w:rFonts w:ascii="Arial" w:cs="Arial" w:eastAsia="Arial" w:hAnsi="Arial"/>
          <w:sz w:val="18"/>
          <w:szCs w:val="18"/>
          <w:i w:val="1"/>
          <w:iCs w:val="1"/>
          <w:color w:val="0070C0"/>
        </w:rPr>
        <w:t xml:space="preserve">U.S.: </w:t>
      </w:r>
      <w:r>
        <w:rPr>
          <w:rFonts w:ascii="Arial" w:cs="Arial" w:eastAsia="Arial" w:hAnsi="Arial"/>
          <w:sz w:val="18"/>
          <w:szCs w:val="18"/>
          <w:color w:val="000000"/>
        </w:rPr>
        <w:t>We have co-exclusively licensed our rights to develop, commercialize and market RITUXAN in the U.S.</w:t>
      </w:r>
    </w:p>
    <w:p>
      <w:pPr>
        <w:spacing w:after="0" w:line="67" w:lineRule="exact"/>
        <w:rPr>
          <w:rFonts w:ascii="Arial" w:cs="Arial" w:eastAsia="Arial" w:hAnsi="Arial"/>
          <w:sz w:val="20"/>
          <w:szCs w:val="20"/>
          <w:i w:val="1"/>
          <w:iCs w:val="1"/>
          <w:color w:val="0070C0"/>
        </w:rPr>
      </w:pPr>
    </w:p>
    <w:p>
      <w:pPr>
        <w:ind w:left="600" w:hanging="268"/>
        <w:spacing w:after="0"/>
        <w:tabs>
          <w:tab w:leader="none" w:pos="600" w:val="left"/>
        </w:tabs>
        <w:numPr>
          <w:ilvl w:val="0"/>
          <w:numId w:val="19"/>
        </w:numPr>
        <w:rPr>
          <w:rFonts w:ascii="Arial" w:cs="Arial" w:eastAsia="Arial" w:hAnsi="Arial"/>
          <w:sz w:val="20"/>
          <w:szCs w:val="20"/>
          <w:i w:val="1"/>
          <w:iCs w:val="1"/>
          <w:color w:val="0070C0"/>
        </w:rPr>
      </w:pPr>
      <w:r>
        <w:rPr>
          <w:rFonts w:ascii="Arial" w:cs="Arial" w:eastAsia="Arial" w:hAnsi="Arial"/>
          <w:sz w:val="18"/>
          <w:szCs w:val="18"/>
          <w:i w:val="1"/>
          <w:iCs w:val="1"/>
          <w:color w:val="0070C0"/>
        </w:rPr>
        <w:t xml:space="preserve">Canada: </w:t>
      </w:r>
      <w:r>
        <w:rPr>
          <w:rFonts w:ascii="Arial" w:cs="Arial" w:eastAsia="Arial" w:hAnsi="Arial"/>
          <w:sz w:val="18"/>
          <w:szCs w:val="18"/>
          <w:color w:val="000000"/>
        </w:rPr>
        <w:t>We have co-exclusively licensed our rights to develop, commercialize and market RITUXAN in Canada.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GAZYVA</w:t>
      </w:r>
    </w:p>
    <w:p>
      <w:pPr>
        <w:spacing w:after="0" w:line="12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Roche Group and its sub-licensees maintain sole responsibility for the development, manufacture and commercialization of GAZYVA in the U.S. The level of gross sales of GAZYVA in the U.S. has impacted our percentage of the co-promotion profits for RITUXAN and LUNSUMIO, as summarized in the table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OCREVUS</w:t>
      </w:r>
    </w:p>
    <w:p>
      <w:pPr>
        <w:spacing w:after="0" w:line="123"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Pursuant to the terms of our collaboration arrangements with Genentech, we receive a tiered royalty on U.S. net sales from 13.5% and increasing up to 24.0% if annual net sales exceed $900.0 million. There will be a 50.0% reduction to these royalties if a biosimilar to OCREVUS is approved in the U.S.</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spacing w:after="0" w:line="7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OCREVUS royalty revenue is based on our estimates from third-party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LUNSUMIO (mosunetuzumab)</w:t>
      </w:r>
    </w:p>
    <w:p>
      <w:pPr>
        <w:spacing w:after="0" w:line="1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January 2022 we exercised our option with Genentech to participate in the joint development and commercialization of LUNSUMIO. Under our collaboration with Genentech, we were responsible for 30.0% of development costs for LUNSUMIO prior to FDA approval and will be entitled to a tiered share of co-promotion operating profits and losses in the U.S., as summarized in the table below. In addition, we receive low single-digit royalties on sales of LUNSUMIO outside the U.S.</w:t>
      </w:r>
    </w:p>
    <w:p>
      <w:pPr>
        <w:spacing w:after="0" w:line="8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December 2022 LUNSUMIO was granted accelerated approval by the FDA for the treatment of relapsed or refractory follicular lymphoma. Prior to regulatory approval, we record our share of the expense incurred by the collaboration for the development of anti-CD20 products in research and development expense and pre-commercialization costs within selling, general and administrative expense in our condensed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COLUMVI (glofitamab)</w:t>
      </w:r>
    </w:p>
    <w:p>
      <w:pPr>
        <w:spacing w:after="0" w:line="1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2022 we entered into an agreement with Genentech related to the commercialization and sharing of economics for COLUMVI, a bispecific antibody for the treatment of B-cell non-Hodgkin's lymphoma, which was subsequently granted accelerated approval by the FDA in June 2023. Under the terms of this agreement, we will have no payment obligations. Genentech will have sole decision -making rights on the commercialization of COLUMVI within the U.S. and we will receive tiered royalties in the mid-single digit range on net sales of COLUMVI in the U.S. The commercialization of COLUMVI does not impact the percentage of the co-promotion profits we receive for RITUXAN, LUNSUMIO or GAZYVA.</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Profit-sharing Formulas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RITUXAN and LUNSUMIO Profit Share</w:t>
      </w:r>
    </w:p>
    <w:p>
      <w:pPr>
        <w:spacing w:after="0" w:line="12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current pretax co-promotion profit-sharing formula for RITUXAN and LUNSUMIO in the U.S. provides for a 30.0% share on the first $50.0 million of combined co-promotion operating profits earned each calendar year. As a result of the FDA approval of LUNSUMIO our share of the combined annual co-promotion profits for RITUXAN and LUNSUMIO in excess of $50.0 million varies upon the following events, as summarized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LUNSUMIO Approval until the First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2573BA"/>
              </w:rPr>
              <w:t>After First Threshold Date until the Second Threshold Date</w:t>
            </w:r>
          </w:p>
        </w:tc>
        <w:tc>
          <w:tcPr>
            <w:tcW w:w="3560" w:type="dxa"/>
            <w:vAlign w:val="bottom"/>
          </w:tcPr>
          <w:p>
            <w:pPr>
              <w:jc w:val="right"/>
              <w:spacing w:after="0"/>
              <w:rPr>
                <w:sz w:val="20"/>
                <w:szCs w:val="20"/>
                <w:color w:val="auto"/>
              </w:rPr>
            </w:pPr>
            <w:r>
              <w:rPr>
                <w:rFonts w:ascii="Arial" w:cs="Arial" w:eastAsia="Arial" w:hAnsi="Arial"/>
                <w:sz w:val="18"/>
                <w:szCs w:val="18"/>
                <w:color w:val="2573BA"/>
              </w:rPr>
              <w:t>35.0 %</w:t>
            </w:r>
          </w:p>
        </w:tc>
      </w:tr>
      <w:tr>
        <w:trPr>
          <w:trHeight w:val="230"/>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Second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30.0 %</w:t>
            </w:r>
          </w:p>
        </w:tc>
      </w:tr>
    </w:tbl>
    <w:p>
      <w:pPr>
        <w:spacing w:after="0" w:line="176" w:lineRule="exact"/>
        <w:rPr>
          <w:sz w:val="20"/>
          <w:szCs w:val="20"/>
          <w:color w:val="auto"/>
        </w:rPr>
      </w:pPr>
    </w:p>
    <w:p>
      <w:pPr>
        <w:ind w:left="420" w:right="220"/>
        <w:spacing w:after="0" w:line="263" w:lineRule="auto"/>
        <w:rPr>
          <w:sz w:val="20"/>
          <w:szCs w:val="20"/>
          <w:color w:val="auto"/>
        </w:rPr>
      </w:pPr>
      <w:r>
        <w:rPr>
          <w:rFonts w:ascii="Arial" w:cs="Arial" w:eastAsia="Arial" w:hAnsi="Arial"/>
          <w:sz w:val="18"/>
          <w:szCs w:val="18"/>
          <w:u w:val="single" w:color="auto"/>
          <w:color w:val="auto"/>
        </w:rPr>
        <w:t>First Threshold Date</w:t>
      </w:r>
      <w:r>
        <w:rPr>
          <w:rFonts w:ascii="Arial" w:cs="Arial" w:eastAsia="Arial" w:hAnsi="Arial"/>
          <w:sz w:val="18"/>
          <w:szCs w:val="18"/>
          <w:color w:val="auto"/>
        </w:rPr>
        <w:t xml:space="preserve"> means the earlier of (i) the first day of the calendar quarter following the date U.S. gross sales of GAZYVA within any consecutive 12-month period have reached $500.0 million or (ii) the first date in any calendar year in which U.S. gross sales of LUNSUMIO have reached $150.0 million.</w:t>
      </w:r>
    </w:p>
    <w:p>
      <w:pPr>
        <w:spacing w:after="0" w:line="76" w:lineRule="exact"/>
        <w:rPr>
          <w:sz w:val="20"/>
          <w:szCs w:val="20"/>
          <w:color w:val="auto"/>
        </w:rPr>
      </w:pPr>
    </w:p>
    <w:p>
      <w:pPr>
        <w:ind w:left="420"/>
        <w:spacing w:after="0" w:line="306" w:lineRule="auto"/>
        <w:rPr>
          <w:sz w:val="20"/>
          <w:szCs w:val="20"/>
          <w:color w:val="auto"/>
        </w:rPr>
      </w:pPr>
      <w:r>
        <w:rPr>
          <w:rFonts w:ascii="Arial" w:cs="Arial" w:eastAsia="Arial" w:hAnsi="Arial"/>
          <w:sz w:val="17"/>
          <w:szCs w:val="17"/>
          <w:u w:val="single" w:color="auto"/>
          <w:color w:val="auto"/>
        </w:rPr>
        <w:t>Second Threshold Date</w:t>
      </w:r>
      <w:r>
        <w:rPr>
          <w:rFonts w:ascii="Arial" w:cs="Arial" w:eastAsia="Arial" w:hAnsi="Arial"/>
          <w:sz w:val="17"/>
          <w:szCs w:val="17"/>
          <w:color w:val="auto"/>
        </w:rPr>
        <w:t xml:space="preserve"> means the later of (i) the first date the gross sales in any calendar year in which U.S. gross sales of LUNSUMIO reach $350.0 million or (ii) January 1 of the calendar year following the calendar year in which the First Threshold Date occurs.</w:t>
      </w:r>
    </w:p>
    <w:p>
      <w:pPr>
        <w:spacing w:after="0" w:line="4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In March 2023 the First Threshold Date was achieved. As a result, beginning in April 2023 the pre-tax profit share for RITUXAN and LUNSUMIO was 35.0%.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GAZYVA Profit Share</w:t>
      </w:r>
    </w:p>
    <w:p>
      <w:pPr>
        <w:spacing w:after="0" w:line="123"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current pretax profit-sharing formula for GAZYVA provides for a 35.0% share on the first $ 50.0 million of operating profits earned each calendar year. Our share of annual co-promotion profits in excess of $50.0 million varies upon the following events, as summarized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Until Second GAZYVA Threshold Date</w:t>
            </w:r>
          </w:p>
        </w:tc>
        <w:tc>
          <w:tcPr>
            <w:tcW w:w="43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2573BA"/>
              </w:rPr>
              <w:t>After Second GAZYVA Threshold Date</w:t>
            </w:r>
          </w:p>
        </w:tc>
        <w:tc>
          <w:tcPr>
            <w:tcW w:w="4360" w:type="dxa"/>
            <w:vAlign w:val="bottom"/>
          </w:tcPr>
          <w:p>
            <w:pPr>
              <w:jc w:val="right"/>
              <w:spacing w:after="0"/>
              <w:rPr>
                <w:sz w:val="20"/>
                <w:szCs w:val="20"/>
                <w:color w:val="auto"/>
              </w:rPr>
            </w:pPr>
            <w:r>
              <w:rPr>
                <w:rFonts w:ascii="Arial" w:cs="Arial" w:eastAsia="Arial" w:hAnsi="Arial"/>
                <w:sz w:val="18"/>
                <w:szCs w:val="18"/>
                <w:color w:val="2573BA"/>
              </w:rPr>
              <w:t>35.0 %</w:t>
            </w:r>
          </w:p>
        </w:tc>
      </w:tr>
    </w:tbl>
    <w:p>
      <w:pPr>
        <w:spacing w:after="0" w:line="190" w:lineRule="exact"/>
        <w:rPr>
          <w:sz w:val="20"/>
          <w:szCs w:val="20"/>
          <w:color w:val="auto"/>
        </w:rPr>
      </w:pPr>
    </w:p>
    <w:p>
      <w:pPr>
        <w:jc w:val="both"/>
        <w:ind w:left="420" w:right="80"/>
        <w:spacing w:after="0" w:line="263" w:lineRule="auto"/>
        <w:rPr>
          <w:sz w:val="20"/>
          <w:szCs w:val="20"/>
          <w:color w:val="auto"/>
        </w:rPr>
      </w:pPr>
      <w:r>
        <w:rPr>
          <w:rFonts w:ascii="Arial" w:cs="Arial" w:eastAsia="Arial" w:hAnsi="Arial"/>
          <w:sz w:val="18"/>
          <w:szCs w:val="18"/>
          <w:u w:val="single" w:color="auto"/>
          <w:color w:val="auto"/>
        </w:rPr>
        <w:t>Second GAZYVA Threshold Date</w:t>
      </w:r>
      <w:r>
        <w:rPr>
          <w:rFonts w:ascii="Arial" w:cs="Arial" w:eastAsia="Arial" w:hAnsi="Arial"/>
          <w:sz w:val="18"/>
          <w:szCs w:val="18"/>
          <w:color w:val="auto"/>
        </w:rPr>
        <w:t xml:space="preserve"> means the first day of the calendar quarter following the date U.S. gross sales of GAZYVA within any consecutive 12-month period have reached $500.0 million. The second GAZYVA threshold date can be achieved regardless of whether GAZYVA has been approved in a non-CLL indication.</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In March 2023 the Second GAZYVA Threshold Date was achieved. As a result, beginning in April 2023 the pre-tax profit share for GAZYVA was 35.0%.</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Eisai Co., Ltd.</w:t>
      </w:r>
    </w:p>
    <w:p>
      <w:pPr>
        <w:spacing w:after="0" w:line="12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first quarter of 2023 we accrued a $31.0 million payable to Eisai related to the termination of an agreement whereby Eisai co-promoted or distributed our MS products in certain Asia-Pacific markets and settings. This termination fee is included in selling, general and administrative expense in our condensed consolidated statements of income for the nine months ended September 30, 2023.</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LEQEMBI (lecanemab) Collaboration</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(the LEQEMBI Collaboration).</w:t>
      </w:r>
    </w:p>
    <w:p>
      <w:pPr>
        <w:spacing w:after="0" w:line="6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Eisai serves as the lead of LEQEMBI development and regulatory submissions globally with both companies co-commercializing and co-promoting the product, and Eisai having final decision-making authority. All costs, including research, development, sales and marketing expense, are shared equally between us and Eisai. We and Eisai co-promote LEQEMBI and share profits and losses equally. We currently manufacture LEQEMBI drug substance and drug product and in March 2022 we extended our supply agreement with Eisai related to LEQEMBI from five years to ten years for the manufacture of LEQEMBI drug substance.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In July 2023 the FDA granted traditional approval of LEQEMBI. Prior to receiving traditional approval, LEQEMBI had been granted accelerated approval by the FDA in January 2023, at which time it became commercially available in the U.S. Additionally, in September 2023 the Japanese Ministry of Health, Labor and Welfare approved LEQEMBI in Japan.</w:t>
      </w:r>
    </w:p>
    <w:p>
      <w:pPr>
        <w:spacing w:after="0" w:line="76"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Upon commercialization of LEQEMBI, we began recognizing our 50.0% share of LEQEMBI product revenue, net and cost of sales, including royalties, within other revenue in our condensed consolidated income statements, as we are not the principal.</w:t>
      </w:r>
    </w:p>
    <w:p>
      <w:pPr>
        <w:spacing w:after="0" w:line="66"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During the third quarter of 2023 we recorded a reclassification of $38.7 million in LEQEMBI collaboration costs from other revenue to selling, general and administrative expense within our condensed consolidated statements of income. We determined that this reclassification does not materially impact the current or previously issued condensed consolidated financial statements. Our share of LEQEMBI development expense will continue to be recorded within research and development expense in our condensed consolidated income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LEQEMBI Collaboration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10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21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right w:val="single" w:sz="8" w:color="DDDDDD"/>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shd w:val="clear" w:color="auto" w:fill="DDDDDD"/>
          </w:tcPr>
          <w:p>
            <w:pPr>
              <w:spacing w:after="0"/>
              <w:rPr>
                <w:sz w:val="16"/>
                <w:szCs w:val="16"/>
                <w:color w:val="auto"/>
              </w:rPr>
            </w:pPr>
          </w:p>
        </w:tc>
        <w:tc>
          <w:tcPr>
            <w:tcW w:w="920" w:type="dxa"/>
            <w:vAlign w:val="bottom"/>
            <w:tcBorders>
              <w:top w:val="single" w:sz="8" w:color="auto"/>
              <w:bottom w:val="single" w:sz="8" w:color="auto"/>
            </w:tcBorders>
            <w:shd w:val="clear" w:color="auto" w:fill="DDDDDD"/>
          </w:tcPr>
          <w:p>
            <w:pPr>
              <w:jc w:val="right"/>
              <w:ind w:right="288"/>
              <w:spacing w:after="0"/>
              <w:rPr>
                <w:sz w:val="20"/>
                <w:szCs w:val="20"/>
                <w:color w:val="auto"/>
              </w:rPr>
            </w:pPr>
            <w:r>
              <w:rPr>
                <w:rFonts w:ascii="Arial" w:cs="Arial" w:eastAsia="Arial" w:hAnsi="Arial"/>
                <w:sz w:val="14"/>
                <w:szCs w:val="14"/>
                <w:b w:val="1"/>
                <w:bCs w:val="1"/>
                <w:color w:val="257ACB"/>
              </w:rPr>
              <w:t>2023</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Total development expense incurred by the collaboration related to the advancement of LEQEMBI</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88.5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16"/>
                <w:szCs w:val="16"/>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282.6</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264.9</w:t>
            </w:r>
          </w:p>
        </w:tc>
        <w:tc>
          <w:tcPr>
            <w:tcW w:w="0" w:type="dxa"/>
            <w:vAlign w:val="bottom"/>
          </w:tcPr>
          <w:p>
            <w:pPr>
              <w:spacing w:after="0"/>
              <w:rPr>
                <w:sz w:val="1"/>
                <w:szCs w:val="1"/>
                <w:color w:val="auto"/>
              </w:rPr>
            </w:pPr>
          </w:p>
        </w:tc>
      </w:tr>
      <w:tr>
        <w:trPr>
          <w:trHeight w:val="169"/>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Biogen's share of the LEQEMBI Collaboration development expense reflected in research and</w:t>
            </w:r>
          </w:p>
        </w:tc>
        <w:tc>
          <w:tcPr>
            <w:tcW w:w="140" w:type="dxa"/>
            <w:vAlign w:val="bottom"/>
            <w:shd w:val="clear" w:color="auto" w:fill="DBDBDB"/>
          </w:tcPr>
          <w:p>
            <w:pPr>
              <w:spacing w:after="0"/>
              <w:rPr>
                <w:sz w:val="14"/>
                <w:szCs w:val="14"/>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44.3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141.3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82"/>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40" w:type="dxa"/>
            <w:vAlign w:val="bottom"/>
            <w:shd w:val="clear" w:color="auto" w:fill="DBDBDB"/>
          </w:tcPr>
          <w:p>
            <w:pPr>
              <w:spacing w:after="0"/>
              <w:rPr>
                <w:sz w:val="15"/>
                <w:szCs w:val="15"/>
                <w:color w:val="auto"/>
              </w:rPr>
            </w:pPr>
          </w:p>
        </w:tc>
        <w:tc>
          <w:tcPr>
            <w:tcW w:w="980" w:type="dxa"/>
            <w:vAlign w:val="bottom"/>
            <w:tcBorders>
              <w:right w:val="single" w:sz="8" w:color="DBDBDB"/>
            </w:tcBorders>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vMerge w:val="continue"/>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LEQEMBI Collaboration</w:t>
            </w:r>
          </w:p>
        </w:tc>
        <w:tc>
          <w:tcPr>
            <w:tcW w:w="140" w:type="dxa"/>
            <w:vAlign w:val="bottom"/>
            <w:shd w:val="clear" w:color="auto" w:fill="DBDBDB"/>
          </w:tcPr>
          <w:p>
            <w:pPr>
              <w:spacing w:after="0"/>
              <w:rPr>
                <w:sz w:val="16"/>
                <w:szCs w:val="16"/>
                <w:color w:val="auto"/>
              </w:rPr>
            </w:pP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163.4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69"/>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Biogen's share of the LEQEMBI Collaboration sales and marketing expense reflected in selling,</w:t>
            </w:r>
          </w:p>
        </w:tc>
        <w:tc>
          <w:tcPr>
            <w:tcW w:w="140" w:type="dxa"/>
            <w:vAlign w:val="bottom"/>
            <w:shd w:val="clear" w:color="auto" w:fill="DBDBDB"/>
          </w:tcPr>
          <w:p>
            <w:pPr>
              <w:spacing w:after="0"/>
              <w:rPr>
                <w:sz w:val="14"/>
                <w:szCs w:val="14"/>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81.7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95.5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81"/>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 in our condensed consolidated statements of income</w:t>
            </w:r>
          </w:p>
        </w:tc>
        <w:tc>
          <w:tcPr>
            <w:tcW w:w="140" w:type="dxa"/>
            <w:vAlign w:val="bottom"/>
            <w:shd w:val="clear" w:color="auto" w:fill="DBDBDB"/>
          </w:tcPr>
          <w:p>
            <w:pPr>
              <w:spacing w:after="0"/>
              <w:rPr>
                <w:sz w:val="15"/>
                <w:szCs w:val="15"/>
                <w:color w:val="auto"/>
              </w:rPr>
            </w:pPr>
          </w:p>
        </w:tc>
        <w:tc>
          <w:tcPr>
            <w:tcW w:w="980" w:type="dxa"/>
            <w:vAlign w:val="bottom"/>
            <w:tcBorders>
              <w:right w:val="single" w:sz="8" w:color="DBDBDB"/>
            </w:tcBorders>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20" w:type="dxa"/>
            <w:vAlign w:val="bottom"/>
            <w:vMerge w:val="continue"/>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ADUHELM Collaboration Agreement</w:t>
      </w:r>
    </w:p>
    <w:p>
      <w:pPr>
        <w:spacing w:after="0" w:line="12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LEQEMBI Collaboration also provided Eisai with an option to jointly develop and commercialize ADUHELM (aducanumab) (ADUHELM Option). In October 2017 Eisai exercised its ADUHELM Option and we entered into a new collaboration agreement for the joint development and commercialization of ADUHELM (the ADUHELM Collaboration Agreement).</w:t>
      </w:r>
    </w:p>
    <w:p>
      <w:pPr>
        <w:spacing w:after="0" w:line="7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Under our initial ADUHELM Collaboration Agreement, we would lead the ongoing development of ADUHELM, and we and Eisai would co-promote ADUHELM with a region-based profit split. Beginning in 2019, Eisai was reimbursing us for 45.0% of development and sales and marketing expense incurred by the collaboration for the advancement of ADUHELM.</w:t>
      </w:r>
    </w:p>
    <w:p>
      <w:pPr>
        <w:spacing w:after="0" w:line="7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March 2022 we amended our ADUHELM Collaboration Agreement with Eisai. As of the amendment date, we have sole decision making and commercialization rights worldwide on ADUHELM, and beginning January 1, 2023, Eisai receives only a tiered royalty based on net sales of ADUHELM, and no longer participates in sharing ADUHELM's global profits and losses. Eisai's share of development, commercialization and manufacturing expense was limited to $335.0 million for the period from January 1, 2022 to December 31, 2022, which was achieved as of December 31, 2022. Once this limit was achieved, we became responsible for all ADUHELM related costs.</w:t>
      </w:r>
    </w:p>
    <w:p>
      <w:pPr>
        <w:spacing w:after="0" w:line="84" w:lineRule="exact"/>
        <w:rPr>
          <w:sz w:val="20"/>
          <w:szCs w:val="20"/>
          <w:color w:val="auto"/>
        </w:rPr>
      </w:pPr>
    </w:p>
    <w:p>
      <w:pPr>
        <w:ind w:right="620"/>
        <w:spacing w:after="0" w:line="273" w:lineRule="auto"/>
        <w:rPr>
          <w:sz w:val="20"/>
          <w:szCs w:val="20"/>
          <w:color w:val="auto"/>
        </w:rPr>
      </w:pPr>
      <w:r>
        <w:rPr>
          <w:rFonts w:ascii="Arial" w:cs="Arial" w:eastAsia="Arial" w:hAnsi="Arial"/>
          <w:sz w:val="18"/>
          <w:szCs w:val="18"/>
          <w:color w:val="auto"/>
        </w:rPr>
        <w:t>A summary of development expense and sales and marketing expense related to our initial ADUHELM Collaboration Agreement is as follows:</w:t>
      </w: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2"/>
                <w:szCs w:val="12"/>
                <w:color w:val="auto"/>
              </w:rPr>
            </w:pPr>
          </w:p>
        </w:tc>
        <w:tc>
          <w:tcPr>
            <w:tcW w:w="16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89"/>
        </w:trPr>
        <w:tc>
          <w:tcPr>
            <w:tcW w:w="7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6"/>
                <w:szCs w:val="16"/>
                <w:color w:val="auto"/>
              </w:rPr>
            </w:pPr>
          </w:p>
        </w:tc>
        <w:tc>
          <w:tcPr>
            <w:tcW w:w="17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95"/>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Total ADUHELM Collaboration development expense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116.0</w:t>
            </w:r>
          </w:p>
        </w:tc>
        <w:tc>
          <w:tcPr>
            <w:tcW w:w="0" w:type="dxa"/>
            <w:vAlign w:val="bottom"/>
          </w:tcPr>
          <w:p>
            <w:pPr>
              <w:spacing w:after="0"/>
              <w:rPr>
                <w:sz w:val="1"/>
                <w:szCs w:val="1"/>
                <w:color w:val="auto"/>
              </w:rPr>
            </w:pPr>
          </w:p>
        </w:tc>
      </w:tr>
      <w:tr>
        <w:trPr>
          <w:trHeight w:val="160"/>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Biogen's share of ADUHELM Collaboration development expense reflected in research and development expense in</w:t>
            </w:r>
          </w:p>
        </w:tc>
        <w:tc>
          <w:tcPr>
            <w:tcW w:w="400" w:type="dxa"/>
            <w:vAlign w:val="bottom"/>
          </w:tcPr>
          <w:p>
            <w:pPr>
              <w:spacing w:after="0"/>
              <w:rPr>
                <w:sz w:val="13"/>
                <w:szCs w:val="13"/>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82"/>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our condensed consolidated statements of income</w:t>
            </w: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ADUHELM Collaboration Agreement</w:t>
            </w:r>
          </w:p>
        </w:tc>
        <w:tc>
          <w:tcPr>
            <w:tcW w:w="4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127.8</w:t>
            </w:r>
          </w:p>
        </w:tc>
        <w:tc>
          <w:tcPr>
            <w:tcW w:w="0" w:type="dxa"/>
            <w:vAlign w:val="bottom"/>
          </w:tcPr>
          <w:p>
            <w:pPr>
              <w:spacing w:after="0"/>
              <w:rPr>
                <w:sz w:val="1"/>
                <w:szCs w:val="1"/>
                <w:color w:val="auto"/>
              </w:rPr>
            </w:pPr>
          </w:p>
        </w:tc>
      </w:tr>
      <w:tr>
        <w:trPr>
          <w:trHeight w:val="160"/>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Biogen's share of ADUHELM Collaboration sales and marketing expense reflected in selling, general and</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7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administrative expense and collaboration profit sharing/(loss reimbursement) in our condensed consolidated</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20" w:type="dxa"/>
            <w:vAlign w:val="bottom"/>
            <w:gridSpan w:val="2"/>
          </w:tcPr>
          <w:p>
            <w:pPr>
              <w:ind w:left="20"/>
              <w:spacing w:after="0"/>
              <w:rPr>
                <w:sz w:val="20"/>
                <w:szCs w:val="20"/>
                <w:color w:val="auto"/>
              </w:rPr>
            </w:pPr>
            <w:r>
              <w:rPr>
                <w:rFonts w:ascii="Arial" w:cs="Arial" w:eastAsia="Arial" w:hAnsi="Arial"/>
                <w:sz w:val="14"/>
                <w:szCs w:val="14"/>
                <w:color w:val="auto"/>
              </w:rPr>
              <w:t>statements of income</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6DAD46"/>
        </w:rPr>
        <w:t>ADUHELM Co-promotion Profits and Losses</w:t>
      </w:r>
    </w:p>
    <w:p>
      <w:pPr>
        <w:spacing w:after="0" w:line="1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our initial ADUHELM Collaboration Agreement, we recognized revenue on sales of ADUHELM in the U.S. to third parties as a component of product revenue in our condensed consolidated statements of income. We also recorded the related cost of revenue and sales and marketing expense in our condensed consolidated statements of income as these costs were incurred. Payments made to and received from Eisai for its 45.0% share of the co-promotion profits or losses in the U.S. were recognized in collaboration profit sharing/(loss reimbursement) in our condensed consolidated statements of income. For the three and nine months ended September 30, 2022, we recognized net reductions to our operating expense of approximately $3.4 million and $214.0 million, respectively, to reflect Eisai's 45.0% share of net collaboration losses in the U.S.</w:t>
      </w:r>
    </w:p>
    <w:p>
      <w:pPr>
        <w:spacing w:after="0" w:line="8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During the first quarter of 2022, as a result of the final NCD, we recorded approximately $275.0 million of charges associated with the write-off of inventory and purchase commitments in excess of forecasted demand related to ADUHELM. Additionally, for the nine months ended September 30, 2022, we recorded approximately $76.0 million of aggregate gross idle capacity charges related to ADUHELM. These charges were recorded in cost of sales within our consolidated statements of income for the nine months ended September 30, 2022.</w:t>
      </w:r>
    </w:p>
    <w:p>
      <w:pPr>
        <w:spacing w:after="0" w:line="82" w:lineRule="exact"/>
        <w:rPr>
          <w:sz w:val="20"/>
          <w:szCs w:val="20"/>
          <w:color w:val="auto"/>
        </w:rPr>
      </w:pPr>
    </w:p>
    <w:p>
      <w:pPr>
        <w:ind w:right="1120"/>
        <w:spacing w:after="0" w:line="275" w:lineRule="auto"/>
        <w:rPr>
          <w:sz w:val="20"/>
          <w:szCs w:val="20"/>
          <w:color w:val="auto"/>
        </w:rPr>
      </w:pPr>
      <w:r>
        <w:rPr>
          <w:rFonts w:ascii="Arial" w:cs="Arial" w:eastAsia="Arial" w:hAnsi="Arial"/>
          <w:sz w:val="18"/>
          <w:szCs w:val="18"/>
          <w:color w:val="auto"/>
        </w:rPr>
        <w:t>We recognized approximately $177.0 million related to Eisai's 45.0% share of these charges in collaboration profit sharing/(loss reimbursement) within our condensed consolidated statements of income for the nine months ended September 30, 2022.</w:t>
      </w:r>
    </w:p>
    <w:p>
      <w:pPr>
        <w:spacing w:after="0" w:line="66"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Amounts receivable from Eisai related to the agreements discussed above were approximately $34.3 million and $88.0 million as of September 30, 2023 and December 31, 2022, respectively. Amounts payable to Eisai related to the agreements discussed above were $122.6 million and $81.2 million as of September 30, 2023 and December 31, 2022, respectively.</w:t>
      </w:r>
    </w:p>
    <w:p>
      <w:pPr>
        <w:spacing w:after="0" w:line="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2022 Form 10-K.</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UCB</w:t>
      </w:r>
    </w:p>
    <w:p>
      <w:pPr>
        <w:spacing w:after="0" w:line="13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84"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If marketing approval is obtained, both companies will co-promote dapirolizumab pegol and share profits and losses equally.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UCB collaboration agreement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96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13.6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60"/>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Biogen's share of UCB collaboration development expense reflected in research and</w:t>
            </w:r>
          </w:p>
        </w:tc>
        <w:tc>
          <w:tcPr>
            <w:tcW w:w="160" w:type="dxa"/>
            <w:vAlign w:val="bottom"/>
            <w:shd w:val="clear" w:color="auto" w:fill="DBDBDB"/>
          </w:tcPr>
          <w:p>
            <w:pPr>
              <w:spacing w:after="0"/>
              <w:rPr>
                <w:sz w:val="13"/>
                <w:szCs w:val="13"/>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6.8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89"/>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60" w:type="dxa"/>
            <w:vAlign w:val="bottom"/>
            <w:shd w:val="clear" w:color="auto" w:fill="DBDBDB"/>
          </w:tcPr>
          <w:p>
            <w:pPr>
              <w:spacing w:after="0"/>
              <w:rPr>
                <w:sz w:val="16"/>
                <w:szCs w:val="16"/>
                <w:color w:val="auto"/>
              </w:rPr>
            </w:pPr>
          </w:p>
        </w:tc>
        <w:tc>
          <w:tcPr>
            <w:tcW w:w="980" w:type="dxa"/>
            <w:vAlign w:val="bottom"/>
            <w:tcBorders>
              <w:right w:val="single" w:sz="8" w:color="DBDBDB"/>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Sage Therapeutics, Inc.</w:t>
      </w:r>
    </w:p>
    <w:p>
      <w:pPr>
        <w:spacing w:after="0" w:line="12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ZURZUVAE (zuranolone) for the potential treatment of MDD and PPD and BIIB124 (SAGE-324) for the potential treatment of essential tremor with potential in other neurological conditions such as epilepsy.</w:t>
      </w:r>
    </w:p>
    <w:p>
      <w:pPr>
        <w:spacing w:after="0" w:line="7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August 2023 the FDA approved ZURZUVAE for adults with PPD, pending DEA scheduling, which was completed in October 2023. Upon approval, ZURZUVAE became the first and only oral, once-daily, 14-day treatment that can provide rapid improvements in depressive symptoms by day 15 for women with PPD. We expect ZURZUVAE for PPD to be commercially available beginning in the fourth quarter of 2023. Additionally, the FDA issued a CRL for the NDA for zuranolone in the treatment of adults with MDD. The CRL stated that the application did not provide substantial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evidence of effectiveness to support the approval of zuranolone for the treatment of MDD and that an additional study or studies would be needed. We and Sage are reviewing the feedback and evaluating next steps.</w:t>
      </w:r>
    </w:p>
    <w:p>
      <w:pPr>
        <w:spacing w:after="0" w:line="6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 teens to low twenties. We will pay Sage a milestone payment of $75.0 million upon the first commercial sale of ZURZUVAE for PPD in the U.S.</w:t>
      </w:r>
    </w:p>
    <w:p>
      <w:pPr>
        <w:spacing w:after="0" w:line="82"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For the three and nine months ended September 30, 2023, we recorded $5.9 million to reflect Sage's 50.0% share of net collaboration expense in the U.S. related to commercialization activities to support ZURZUVAE for PPD, which is recognized in collaboration profit sharing/(loss reimbursement) in our condensed consolidated statements of income.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Sage collaboration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96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Total Sage collaboration development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72.0</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158.9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130.4</w:t>
            </w:r>
          </w:p>
        </w:tc>
        <w:tc>
          <w:tcPr>
            <w:tcW w:w="0" w:type="dxa"/>
            <w:vAlign w:val="bottom"/>
          </w:tcPr>
          <w:p>
            <w:pPr>
              <w:spacing w:after="0"/>
              <w:rPr>
                <w:sz w:val="1"/>
                <w:szCs w:val="1"/>
                <w:color w:val="auto"/>
              </w:rPr>
            </w:pPr>
          </w:p>
        </w:tc>
      </w:tr>
      <w:tr>
        <w:trPr>
          <w:trHeight w:val="169"/>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Biogen's share of Sage collaboration development expense reflected in research and</w:t>
            </w:r>
          </w:p>
        </w:tc>
        <w:tc>
          <w:tcPr>
            <w:tcW w:w="160" w:type="dxa"/>
            <w:vAlign w:val="bottom"/>
            <w:shd w:val="clear" w:color="auto" w:fill="DBDBDB"/>
          </w:tcPr>
          <w:p>
            <w:pPr>
              <w:spacing w:after="0"/>
              <w:rPr>
                <w:sz w:val="14"/>
                <w:szCs w:val="14"/>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36.0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79.5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82"/>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60" w:type="dxa"/>
            <w:vAlign w:val="bottom"/>
            <w:shd w:val="clear" w:color="auto" w:fill="DBDBDB"/>
          </w:tcPr>
          <w:p>
            <w:pPr>
              <w:spacing w:after="0"/>
              <w:rPr>
                <w:sz w:val="15"/>
                <w:szCs w:val="15"/>
                <w:color w:val="auto"/>
              </w:rPr>
            </w:pPr>
          </w:p>
        </w:tc>
        <w:tc>
          <w:tcPr>
            <w:tcW w:w="980" w:type="dxa"/>
            <w:vAlign w:val="bottom"/>
            <w:tcBorders>
              <w:right w:val="single" w:sz="8" w:color="DBDBDB"/>
            </w:tcBorders>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60" w:type="dxa"/>
            <w:vAlign w:val="bottom"/>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Sage collaboration</w:t>
            </w:r>
          </w:p>
        </w:tc>
        <w:tc>
          <w:tcPr>
            <w:tcW w:w="160" w:type="dxa"/>
            <w:vAlign w:val="bottom"/>
            <w:shd w:val="clear" w:color="auto" w:fill="DBDBDB"/>
          </w:tcPr>
          <w:p>
            <w:pPr>
              <w:spacing w:after="0"/>
              <w:rPr>
                <w:sz w:val="16"/>
                <w:szCs w:val="16"/>
                <w:color w:val="auto"/>
              </w:rPr>
            </w:pP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54.0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169"/>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Biogen's share of Sage collaboration sales and marketing expense reflected in selling, general</w:t>
            </w:r>
          </w:p>
        </w:tc>
        <w:tc>
          <w:tcPr>
            <w:tcW w:w="160" w:type="dxa"/>
            <w:vAlign w:val="bottom"/>
            <w:shd w:val="clear" w:color="auto" w:fill="DBDBDB"/>
          </w:tcPr>
          <w:p>
            <w:pPr>
              <w:spacing w:after="0"/>
              <w:rPr>
                <w:sz w:val="14"/>
                <w:szCs w:val="14"/>
                <w:color w:val="auto"/>
              </w:rPr>
            </w:pPr>
          </w:p>
        </w:tc>
        <w:tc>
          <w:tcPr>
            <w:tcW w:w="980" w:type="dxa"/>
            <w:vAlign w:val="bottom"/>
            <w:tcBorders>
              <w:right w:val="single" w:sz="8" w:color="DBDBDB"/>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and administrative expense and collaboration profit sharing/(loss reimbursement) in our</w:t>
            </w:r>
          </w:p>
        </w:tc>
        <w:tc>
          <w:tcPr>
            <w:tcW w:w="160" w:type="dxa"/>
            <w:vAlign w:val="bottom"/>
            <w:shd w:val="clear" w:color="auto" w:fill="DBDBDB"/>
          </w:tcPr>
          <w:p>
            <w:pPr>
              <w:spacing w:after="0"/>
              <w:rPr>
                <w:sz w:val="12"/>
                <w:szCs w:val="12"/>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27.0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76.1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81"/>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condensed consolidated statements of income</w:t>
            </w:r>
          </w:p>
        </w:tc>
        <w:tc>
          <w:tcPr>
            <w:tcW w:w="160" w:type="dxa"/>
            <w:vAlign w:val="bottom"/>
            <w:shd w:val="clear" w:color="auto" w:fill="DBDBDB"/>
          </w:tcPr>
          <w:p>
            <w:pPr>
              <w:spacing w:after="0"/>
              <w:rPr>
                <w:sz w:val="15"/>
                <w:szCs w:val="15"/>
                <w:color w:val="auto"/>
              </w:rPr>
            </w:pPr>
          </w:p>
        </w:tc>
        <w:tc>
          <w:tcPr>
            <w:tcW w:w="980" w:type="dxa"/>
            <w:vAlign w:val="bottom"/>
            <w:tcBorders>
              <w:right w:val="single" w:sz="8" w:color="DBDBDB"/>
            </w:tcBorders>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60" w:type="dxa"/>
            <w:vAlign w:val="bottom"/>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Denali Therapeutics Inc.</w:t>
      </w:r>
    </w:p>
    <w:p>
      <w:pPr>
        <w:spacing w:after="0" w:line="13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Denali's small molecule inhibitors of LRRK2 for Parkinson's disease and also entered into a separate agreement to obtain an exclusive option to license two preclinical programs from Denali's Transport Vehicle platform, including its ATV-enabled anti-amyloid beta program and a second program utilizing its Transport Vehicle technology.</w:t>
      </w:r>
    </w:p>
    <w:p>
      <w:pPr>
        <w:spacing w:after="0" w:line="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April 2023 we exercised our option with Denali to license the ATV-enabled anti-amyloid beta program. In connection with this exercise, we assumed responsibility for all development and commercial activities and associated expenses related to this program. In addition, we made a one-time option exercise payment to Denali and, should certain milestones be achieved, may pay Denali additional development and commercial milestone payments and royalties based on future net sales. Our agreement with Denali was amended in August 2023, whereby certain milestone criteria were changed, while the total amount of development, regulatory and commercial milestones remains the same. In addition, we agree to waive our option right to the second option program.</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Denali collaboration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right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96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5"/>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8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12.6</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51.3</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69"/>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Biogen's share of Denali collaboration development expense reflected in research and</w:t>
            </w:r>
          </w:p>
        </w:tc>
        <w:tc>
          <w:tcPr>
            <w:tcW w:w="160" w:type="dxa"/>
            <w:vAlign w:val="bottom"/>
            <w:shd w:val="clear" w:color="auto" w:fill="DBDBDB"/>
          </w:tcPr>
          <w:p>
            <w:pPr>
              <w:spacing w:after="0"/>
              <w:rPr>
                <w:sz w:val="14"/>
                <w:szCs w:val="14"/>
                <w:color w:val="auto"/>
              </w:rPr>
            </w:pPr>
          </w:p>
        </w:tc>
        <w:tc>
          <w:tcPr>
            <w:tcW w:w="98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30.8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1"/>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60" w:type="dxa"/>
            <w:vAlign w:val="bottom"/>
            <w:shd w:val="clear" w:color="auto" w:fill="DBDBDB"/>
          </w:tcPr>
          <w:p>
            <w:pPr>
              <w:spacing w:after="0"/>
              <w:rPr>
                <w:sz w:val="15"/>
                <w:szCs w:val="15"/>
                <w:color w:val="auto"/>
              </w:rPr>
            </w:pPr>
          </w:p>
        </w:tc>
        <w:tc>
          <w:tcPr>
            <w:tcW w:w="980" w:type="dxa"/>
            <w:vAlign w:val="bottom"/>
            <w:tcBorders>
              <w:right w:val="single" w:sz="8" w:color="DBDBDB"/>
            </w:tcBorders>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60" w:type="dxa"/>
            <w:vAlign w:val="bottom"/>
            <w:vMerge w:val="continue"/>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Research and Discovery Arrangements</w:t>
      </w:r>
    </w:p>
    <w:p>
      <w:pPr>
        <w:spacing w:after="0" w:line="12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w:t>
      </w:r>
    </w:p>
    <w:p>
      <w:pPr>
        <w:spacing w:after="0" w:line="12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For the three and nine months ended September 30, 2023, we recorded zero and $2.8 million, respectively, as research and development expense in our condensed consolidated statements of income related to other research and discovery related arrangements, compared to $14.0 million and $51.5 million, respectively, in the prior year comparative periods.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Samsung Bioepis Co.,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2019 Development and Commercialization Agreement</w:t>
      </w:r>
    </w:p>
    <w:p>
      <w:pPr>
        <w:spacing w:after="0" w:line="12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(ranibizumab-nuna), a ranibizumab biosimilar referencing LUCENTIS, and SB15, a proposed aflibercept biosimilar referencing EYLEA, in major markets worldwide, including the U.S., Canada, Europe, Japan and Australia. Samsung Bioepis will be responsible for development and will supply both products to us at a pre-specified gross margin of approximately 45.0%.</w:t>
      </w:r>
    </w:p>
    <w:p>
      <w:pPr>
        <w:spacing w:after="0" w:line="82"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In connection with this transaction, we may also pay Samsung Bioepis up to approximately $180.0 million in additional development, regulatory and sales-based milestones.</w:t>
      </w:r>
    </w:p>
    <w:p>
      <w:pPr>
        <w:spacing w:after="0" w:line="6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also acquired an option to extend the term of our 2013 commercial agreement for BENEPALI, IMRALDI and FLIXABI by an additional five years, subject to payment of an option exercise fee of $60.0 million, and obtained an option to acquire exclusive rights to commercialize these products in China.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2013 Commercial Agreement</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condensed consolidated statements of income and record the related cost of revenue and sales and marketing expense in our condensed consolidated statements of income to their respective line items when these costs are incurred.</w:t>
      </w:r>
    </w:p>
    <w:p>
      <w:pPr>
        <w:spacing w:after="0" w:line="7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share 50.0% of the profit or loss related to our commercial agreement with Samsung Bioepis, which is recognized in collaboration profit sharing/(loss reimbursement) in our condensed consolidated statements of income. For the three and nine months ended September 30, 2023, we recognized net profit-sharing expense of $56.4 million and $170.4 million, respectively, to reflect Samsung Bioepis' 50.0% sharing of the net collaboration profits, compared to a net profit-sharing expense of $48.7 million and $171.4 million, respectively, in the prior year comparative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Other Services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Simultaneous with the formation of Samsung Bioepis, we also entered into a license agreement with Samsung Bioepis. Under this license agreement, we granted Samsung Bioepis an exclusive license to use, develop, manufacture and commercialize biosimilar products created by Samsung Bioepis using Biogen product-specific technology. In exchange, we receive single digit royalties on biosimilar products developed and commercialized by Samsung Bioepis. Royalty revenue under the license agreement is recognized as a component of contract manufacturing, royalty and other revenue in our condensed consolidated statements of income.</w:t>
      </w:r>
    </w:p>
    <w:p>
      <w:pPr>
        <w:spacing w:after="0" w:line="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Amounts receivable from Samsung Bioepis related to the agreements discussed above were $13.0 million and $2.0 million as of September 30, 2023 and December 31, 2022, respectively. Amounts payable to Samsung Bioepis related to the agreements discussed above were $81.6 million and $40.5 million as of September 30, 2023 and December 31, 2022, respectively.</w:t>
      </w:r>
    </w:p>
    <w:p>
      <w:pPr>
        <w:spacing w:after="0" w:line="76"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our other significant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our 2022 Form 10-K.</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96925" cy="3429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20:</w:t>
      </w:r>
      <w:r>
        <w:rPr>
          <w:sz w:val="20"/>
          <w:szCs w:val="20"/>
          <w:color w:val="auto"/>
        </w:rPr>
        <w:tab/>
      </w:r>
      <w:r>
        <w:rPr>
          <w:rFonts w:ascii="Arial" w:cs="Arial" w:eastAsia="Arial" w:hAnsi="Arial"/>
          <w:sz w:val="21"/>
          <w:szCs w:val="21"/>
          <w:b w:val="1"/>
          <w:bCs w:val="1"/>
          <w:color w:val="0070C0"/>
        </w:rPr>
        <w:t>Investments in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2615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Consolidated Variable Interest Entities</w:t>
      </w:r>
    </w:p>
    <w:p>
      <w:pPr>
        <w:spacing w:after="0" w:line="122"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Our condensed consolidated financial statements include the financial results of variable interest entities in which we are the primary beneficiary. The following are our significant variable interest entities.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Neurimmune SubOne AG</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a collaboration and license agreement with Neurimmune for the development and commercialization of antibodies for the potential treatment of Alzheimer's disease, including ADUHELM (as amended, the Neurimmune Agreement). We are responsible for the development, manufacturing and commercialization of all collaboration products. The Neurimmune Agreement is effective for the longer of the duration of certain patents relating to a licensed product or 12 years from the first commercial sale of a licensed product.</w:t>
      </w:r>
    </w:p>
    <w:p>
      <w:pPr>
        <w:spacing w:after="0" w:line="8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consolidate the results of Neurimmune as we determined that we are the primary beneficiary of Neurimmune because we have the power through the collaboration to direct the activities that most significantly impact the entity’s economic performance and we are required to fund 100.0% of the research and development costs incurred in support of the collaboration. Our royalty rates payable on products developed under the Neurimmune Agreement, including royalty rates payable on commercial sales of ADUHELM, range from the high single digits to sub-teens.</w:t>
      </w:r>
    </w:p>
    <w:p>
      <w:pPr>
        <w:spacing w:after="0" w:line="84"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During the first quarter of 2022, upon issuance of the final NCD related to ADUHELM, we recorded an increase in a valuation allowance of approximately $85.0 million to reduce the net value of a previously recorded deferred tax asset to zero. This adjustment to our net deferred tax asset is recorded with an equal and offsetting amount assigned to net income (loss) attributable to noncontrolling interests, net of tax in our condensed consolidated statements of income, resulting in a zero net impact to net income attributable to Biogen Inc.</w:t>
      </w:r>
    </w:p>
    <w:p>
      <w:pPr>
        <w:spacing w:after="0" w:line="8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Excluding the impact of the Neurimmune deferred tax asset, the assets and liabilities of Neurimmune are not significant to our condensed consolidated financial position or results of operations as it is a research and development organization. We have provided no financing to Neurimmune other than contractually required amounts.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Unconsolidated Variable Interest Entities</w:t>
      </w:r>
    </w:p>
    <w:p>
      <w:pPr>
        <w:spacing w:after="0" w:line="13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September 30, 2023 and December 31, 2022, the carrying value of our investments in certain biotechnology companies representing potential unconsolidated variable interest entities totaled $24.4 million and $27.8 million, respectively. Our maximum exposure to loss related to these variable interest entities is limited to the carrying value of our investments.</w:t>
      </w:r>
    </w:p>
    <w:p>
      <w:pPr>
        <w:spacing w:after="0" w:line="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 contractually required amounts.</w:t>
      </w:r>
    </w:p>
    <w:p>
      <w:pPr>
        <w:spacing w:after="0" w:line="76"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color w:val="auto"/>
        </w:rPr>
        <w:t xml:space="preserve">For additional information on our investments in Neurimmune and other variable interest entities, please read </w:t>
      </w:r>
      <w:r>
        <w:rPr>
          <w:rFonts w:ascii="Arial" w:cs="Arial" w:eastAsia="Arial" w:hAnsi="Arial"/>
          <w:sz w:val="18"/>
          <w:szCs w:val="18"/>
          <w:i w:val="1"/>
          <w:iCs w:val="1"/>
          <w:color w:val="auto"/>
        </w:rPr>
        <w:t>Note 20,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Variable Interest Entities, </w:t>
      </w:r>
      <w:r>
        <w:rPr>
          <w:rFonts w:ascii="Arial" w:cs="Arial" w:eastAsia="Arial" w:hAnsi="Arial"/>
          <w:sz w:val="18"/>
          <w:szCs w:val="18"/>
          <w:color w:val="auto"/>
        </w:rPr>
        <w:t>to our consolidated financial statements included in our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96925" cy="342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96925" cy="342900"/>
                    </a:xfrm>
                    <a:prstGeom prst="rect">
                      <a:avLst/>
                    </a:prstGeom>
                    <a:noFill/>
                  </pic:spPr>
                </pic:pic>
              </a:graphicData>
            </a:graphic>
          </wp:anchor>
        </w:drawing>
      </w:r>
    </w:p>
    <w:p>
      <w:pPr>
        <w:spacing w:after="0" w:line="37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22"/>
          <w:szCs w:val="22"/>
          <w:b w:val="1"/>
          <w:bCs w:val="1"/>
          <w:color w:val="FFFFFF"/>
        </w:rPr>
        <w:t>Note 21:</w:t>
      </w:r>
      <w:r>
        <w:rPr>
          <w:sz w:val="20"/>
          <w:szCs w:val="20"/>
          <w:color w:val="auto"/>
        </w:rPr>
        <w:tab/>
      </w:r>
      <w:r>
        <w:rPr>
          <w:rFonts w:ascii="Arial" w:cs="Arial" w:eastAsia="Arial" w:hAnsi="Arial"/>
          <w:sz w:val="21"/>
          <w:szCs w:val="21"/>
          <w:b w:val="1"/>
          <w:bCs w:val="1"/>
          <w:color w:val="0070C0"/>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60261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We are currently involved in various claims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our consolidated financial statements included in our 2022 Form 10-K.</w:t>
      </w:r>
    </w:p>
    <w:p>
      <w:pPr>
        <w:spacing w:after="0" w:line="76" w:lineRule="exact"/>
        <w:rPr>
          <w:sz w:val="20"/>
          <w:szCs w:val="20"/>
          <w:color w:val="auto"/>
        </w:rPr>
      </w:pPr>
    </w:p>
    <w:p>
      <w:pPr>
        <w:jc w:val="both"/>
        <w:ind w:right="380"/>
        <w:spacing w:after="0" w:line="258"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possible loss or range of loss can be made at this time, it is included in the potential loss contingency description below.</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Loss 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ADUHELM Securities Litigation</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certain current and former officers are defendants in two actions related to ADUHELM filed in the United States District Court for the District of Massachusetts (the District Court). Both actions allege violations of federal securities laws under 15 U.S.C. §78j(b) and §78t(a) and 17 C.F.R. §240.10b-5 and seek declarations of the actions as class actions and monetary relief. In October 2023 the United States Court of Appeals for the First Circuit reversed in part and affirmed in part the dismissal of the shareholder action related to ADUHELM that was filed in November 2020. In March 2023 the District Court dismissed the shareholder action that had been filed in February 2022. In May 2023 the plaintiff filed a motion to alter the judgment and amend the complaint, which is pending.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Derivative Actions</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and members of the Board of Directors are named as defendants in derivative actions filed by shareholders in February and July 2022, in the U.S. District Court for the District of Massachusetts. The actions allege violations of federal securities laws under 15 U.S.C. §78n(a) and 17 C.F.R. §240 14.a-9, and breaches of fiduciary duties and waste of corporate assets, and seek declaratory and injunctive relief, monetary relief payable to Biogen, and attorneys’ fees and costs payable to the plaintiffs. The District Court has stayed both cases.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IMRALDI Patent Litigation</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2022 Fresenius Kabi Deutschland GmbH (Fresenius Kabi) filed a claim for damages and injunctive relief against Biogen France SAS in the Tribunal de Grande Instance de Paris, alleging that IMRALDI, the adalimumab biosimilar product of Samsung Bioepis that Biogen commercializes in Europe, infringes the French counterpart of European Patent 3 145 488 (the EP ‘488 Patent), which expires in May 2035. In August 2022 Fresenius Kabi filed a claim for damages and injunctive relief against Biogen GmbH in the Düsseldorf Regional Court, alleging infringement of the German counterpart of the EP '488 Patent. A hearing in the Düsseldorf Regional Court has been set for December 2023. No hearing has been set in the French action. The EP '488 Patent is the subject of opposition proceedings in the EPO and a hearing before the EPO's Technical Boards of Appeal is set for June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Litigation with Former Convergence Shareholders</w:t>
      </w:r>
    </w:p>
    <w:p>
      <w:pPr>
        <w:spacing w:after="0" w:line="12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2015 Biogen acquired Convergence, a U.K. company. In 2019 Shareholder Representative Services LLC, on behalf of the former shareholders of Convergence, asserted claims of $200.0 million for alleged breaches of the contract pursuant to which we acquired Convergence. In June 2023 Shareholder Representative Services LLC and 24 former shareholders filed suit against us in the High Court of Justice of England and Wales on one of the previously asserted claims, seeking payment of $49.9 million, interest and costs. No trial date has been set.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ERISA Class Action Litigation</w:t>
      </w:r>
    </w:p>
    <w:p>
      <w:pPr>
        <w:spacing w:after="0" w:line="12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In 2020 participants in the Biogen 401(k) Savings Plan filed actions against us in the U.S. District Court for the District of Massachusetts alleging breach of fiduciary duty under ERISA and seeking a declaration of the actions as class actions and monetary and other relief. In August 2023 the court preliminarily approved a settlement under which we agree to pay $9.75 million without any admission of liability. The court has set a hearing for January 2024 to determine whether to grant final approval.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Humana Patient Assistance Litigation</w:t>
      </w:r>
    </w:p>
    <w:p>
      <w:pPr>
        <w:spacing w:after="0" w:line="12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In March 2023 the District Court for the District of Massachusetts dismissed the previously disclosed action filed against us by Humana in September 2020. Humana had alleged damages related to our providing MS patients with free medications and making charitable contributions to non-profit organizations that assist MS patients and had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587F"/>
        </w:rPr>
        <w:t>(unaudited, continued)</w:t>
      </w:r>
    </w:p>
    <w:p>
      <w:pPr>
        <w:spacing w:after="0" w:line="200" w:lineRule="exact"/>
        <w:rPr>
          <w:sz w:val="20"/>
          <w:szCs w:val="20"/>
          <w:color w:val="auto"/>
        </w:rPr>
      </w:pPr>
    </w:p>
    <w:p>
      <w:pPr>
        <w:spacing w:after="0" w:line="297"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color w:val="auto"/>
        </w:rPr>
        <w:t>alleged violations of the federal RICO Act and state laws. In April 2023 Humana filed a motion to alter the judgment and amend the complaint, which is pending.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Distributor Matter</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December 2022 we terminated our distribution agreement with the distributor of products for Biogen in various countries in the Middle East and northern Africa. The former distributor has asserted breach of contract. No suit has been filed.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Litigation</w:t>
      </w:r>
    </w:p>
    <w:p>
      <w:pPr>
        <w:spacing w:after="0" w:line="1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February 2023 Genentech, Inc. filed suit against us in the U.S. District Court for the Northern District of California, alleging that it is owed royalties on sales of TYSABRI that occurred after the expiration of a patent licensed by Genentech to Biogen, together with interest and costs. The Company estimates that the royalties claimed total approximately $88.3 million. No trial date has been set.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Bardoxolone Securities Litigation</w:t>
      </w:r>
    </w:p>
    <w:p>
      <w:pPr>
        <w:spacing w:after="0" w:line="1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2021 and 2022 putative stockholders of Reata (later acquired by Biogen) filed litigation in the United States District Court for the Eastern District of Texas alleging violations of the federal securities laws by Reata, certain former officers and directors and certain underwriters under 15 U.S.C. §78j(b) and §78t(a), 17 C.F.R. §240.10b -5, and 15 U.S.C. §§77k, 77l(a)(2) and 77o in connection with Reata's asset bardoxolone. Plaintiffs seek declaration of the actions as a class actions and monetary relief. In October 2023 the parties reached a settlement, subject to approval by the court, providing for payment by Reata of $45.0 million without any admission of liability. We expect a portion of the payment to be reimbursed under Reata's insurance coverage.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Lender Dispute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One of Reata's lenders claims that approximately $23.3 million is owing under its loan agreement with Reata.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Government Investigation</w:t>
      </w:r>
    </w:p>
    <w:p>
      <w:pPr>
        <w:spacing w:after="0" w:line="12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Company has received subpoenas from the Securities and Exchange Commission seeking information relating to ADUHELM, including healthcare sites and ADUHELM’s approval.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TYSABRI Biosimilar Patent Matter</w:t>
      </w:r>
    </w:p>
    <w:p>
      <w:pPr>
        <w:spacing w:after="0" w:line="12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September 2022 we filed an action in the U.S. District Court for the District of Delaware against Sandoz Inc., other Sandoz entities and Polpharma Biologics S.A. under the Biologics Price Competition and Innovation Act, 42 U.S.C. §262, seeking a declaratory judgment of patent infringement. The trial has been set for May 2025.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Annulment Proceedings in the General Court of the European Union relating to TECFIDERA</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November 2020 Mylan Ireland filed an action in the General Court of the European Union (the General Court) to annul the EMA's decision not to validate its applications to market generic versions of TECFIDERA on the grounds that TECFIDERA benefits from regulatory data protection. No hearing has been set.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Hatch-Waxman Act Litigation relating to VUMERITY Orange-Book Listed Patents</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July 2023 Biogen and Alkermes Pharma Ireland Limited filed patent infringement proceedings relating to VUMERITY Orange-Book listed patents (U.S. Patent Nos. 8,669,281, 9,090,558 and 10,080,733) pursuant to the Drug Price Competition and Patent Term Restoration Act of 1984 (the Hatch-Waxman Act) in the U.S. District Court for the District of Delaware against Zydus Worldwide DMCC. No trial date has been set.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Product Liability and Other Legal Proceedings</w:t>
      </w:r>
    </w:p>
    <w:p>
      <w:pPr>
        <w:spacing w:after="0" w:line="12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right="480"/>
        <w:spacing w:after="0" w:line="303"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The following discussion should be read in conjunction with our unaudited condensed consolidated financial statements (condensed consolidated financial statements) and the accompanying notes beginning on page 7 of this quarterly report on Form 10-Q and our audited consolidated financial statements and the accompanying notes included in our 2022 Form 10-K. </w:t>
      </w:r>
      <w:r>
        <w:rPr>
          <w:rFonts w:ascii="Arial" w:cs="Arial" w:eastAsia="Arial" w:hAnsi="Arial"/>
          <w:sz w:val="18"/>
          <w:szCs w:val="18"/>
          <w:b w:val="1"/>
          <w:bCs w:val="1"/>
          <w:color w:val="auto"/>
        </w:rPr>
        <w:t>T</w:t>
      </w:r>
      <w:r>
        <w:rPr>
          <w:rFonts w:ascii="Arial" w:cs="Arial" w:eastAsia="Arial" w:hAnsi="Arial"/>
          <w:sz w:val="18"/>
          <w:szCs w:val="18"/>
          <w:color w:val="auto"/>
        </w:rPr>
        <w:t>he results of operations of Reata, along with the estimated fair values of the assets acquired and liabilities assumed in the Reata acquisition, have been included in our condensed consolidated financial statements since the closing of the Reata acquisition on September 26, 2023.</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color w:val="0070C0"/>
        </w:rPr>
        <w:t>EXECUTIVE SUMMARY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0070C0"/>
        </w:rPr>
        <w:t>INTRODUCTION</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and co-developed two treatments to address a defining pathology of Alzheimer's disease. We are focused on advancing our pipeline in neurology, neuropsychiatry, specialized immunology and rare diseases. We support our drug discovery and development efforts through internal research and development programs and external collaborations.</w:t>
      </w:r>
    </w:p>
    <w:p>
      <w:pPr>
        <w:spacing w:after="0" w:line="8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QALSODY for the treatment of ALS, which was granted accelerated approval by the FDA during the second quarter of 2023; ADUHELM for the treatment of Alzheimer's disease; and FUMADERM for the treatment of severe plaque psoriasis. We have collaborations with Eisai on the commercialization of LEQEMBI for the treatment of Alzheimer's disease, which was granted traditional approval by the FDA in the third quarter of 2023, and Sage on the commercialization of ZURZUVAE for the treatment of PPD. ZURZUVAE was approved by the FDA in the third quarter of 2023, pending DEA scheduling, which was completed in the fourth quarter of 2023.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which was granted accelerated approval by the FDA during the second quarter of 2023; and have the option to add other potential anti-CD20 therapies, pursuant to our collaboration arrangements with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audited consolidated financial statements included in our 2022 Form 10-K.</w:t>
      </w:r>
    </w:p>
    <w:p>
      <w:pPr>
        <w:spacing w:after="0" w:line="8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On September 26, 2023, we completed the acquisition of Reata. As a result of this transaction we acquired SKYCLARYS, the first and only drug approved by the FDA for the treatment of Friedreich's Ataxia in adults and adolescents aged 16 years and older.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condensed consolidated financial statements included in this report.</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commercialize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We also have the exclusive rights to commercialize TOFIDENCE, a tocilizumab biosimilar referencing ACTEMRA, which was approved by the FDA during the third quarter of 2023. We continue to develop the potential biosimilar product SB15, a proposed aflibercept biosimilar referencing EYLEA. In February 2023 we announced that we are exploring strategic options for our biosimilars business.</w:t>
      </w:r>
    </w:p>
    <w:p>
      <w:pPr>
        <w:spacing w:after="0" w:line="7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6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continually review our manufacturing capacity, capabilities, processes and facilities. In order to support our future growth and drug development pipeline, we are expanding our large molecule production capacity by building a large-scale biologics manufacturing facility in Solothurn, Switzerland. In the second quarter of 2021 a portion of the facility (the first manufacturing suite) received a GMP multi-product license from the SWISSMEDIC and was placed into service. Solothurn has been approved for the manufacture of ADUHELM and LEQEMBI by the FDA. We estimate the second manufacturing suite will be operational by the end of 2023. We believe that the Solothurn facility will support our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anticipated near to mid-term needs for the manufacturing of biologic assets, including the commercial launch of LEQEMBI. The plant represents a significant increase in our overall manufacturing capacity and is not yet being fully utilized, resulting in our recording of excess capacity charges. If we are unable to fully utilize our manufacturing facilities, we will incur additional excess capacity charges which would have a negative effect on our financial condition and results of operations.</w:t>
      </w:r>
    </w:p>
    <w:p>
      <w:pPr>
        <w:spacing w:after="0" w:line="8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and, unless we develop, acquire rights to and/or commercialize new products and technologies, we will be substantially dependent on sales from our products and our financial rights in our anti-CD20 therapeutic programs for many years.</w:t>
      </w:r>
    </w:p>
    <w:p>
      <w:pPr>
        <w:spacing w:after="0" w:line="76"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0070C0"/>
        </w:rPr>
        <w:t>BUSINESS ENVIRONMENT</w:t>
      </w:r>
    </w:p>
    <w:p>
      <w:pPr>
        <w:spacing w:after="0" w:line="10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biopharmaceutical industry and the markets in which we operate are intensely competitive. Many of our competitors are working to develop or have commercialized products similar to those we market or are developing and have considerable experience in undertaking clinical trials and in obtaining regulatory approval to market pharmaceutical products. In addition, the commercialization of certain of our own approved products, products of our collaborators and pipeline product candidates may negatively impact future sales of our existing products.</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and revenue streams continue to face increasing competition in many markets from generic versions, prodrugs and biosimilars of existing products as well as products approved under abbreviated regulatory pathways. Such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addition, in some markets, when a generic or biosimilar version of one of our products is commercialized, it may be automatically substituted for our product and significantly reduce our revenue in a short period of time.</w:t>
      </w:r>
    </w:p>
    <w:p>
      <w:pPr>
        <w:spacing w:after="0" w:line="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spacing w:after="0" w:line="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Drug prices are under significant scrutiny in the markets in which our products are prescribed, for example the IRA has certain provisions related to drug pricing. We expect drug pricing and other health care costs to continue to be subject to intense political and societal pressures on a global basis.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for the discovery and commercialization of new products and/or could cause a decline or volatility in our stock price.</w:t>
      </w:r>
    </w:p>
    <w:p>
      <w:pPr>
        <w:spacing w:after="0" w:line="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the impact of competition, pricing actions and other measures being taken worldwide designed to reduce healthcare costs and limit the overall level of government expenditures, our sales and operations could also be affected by other risks of doing business internationally, including the impact of public health epidemics, such as the COVID-19 pandemic, on employees, the global economy and the delivery of healthcare treatments, geopolitical events, supply chain disruptions, foreign currency exchange fluctuations, changes in intellectual property legal protections and changes in trade regulations and procedures.</w:t>
      </w:r>
    </w:p>
    <w:p>
      <w:pPr>
        <w:spacing w:after="0" w:line="7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For a detailed discussion on our business environment, please read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in our 2022 Form 10-K. For additional information on our competition and pricing risks that could negatively impact our product sales, please read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TECFIDERA</w:t>
      </w:r>
    </w:p>
    <w:p>
      <w:pPr>
        <w:spacing w:after="0" w:line="12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Multiple TECFIDERA generic entrants are now in North America, Brazil and certain E.U. countries and have deeply discounted prices compared to TECFIDERA. The generic competition for TECFIDERA has significantly reduced our TECFIDERA revenue and we expect that TECFIDERA revenue will continue to decline in the future.</w:t>
      </w:r>
    </w:p>
    <w:p>
      <w:pPr>
        <w:spacing w:after="0" w:line="6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In March 2023 the CJEU decided in favor of Biogen, the EMA and the EC in their appeal of a European General Court decision that had annulled the EMA's refusal to evaluate a generic version of TECFIDERA because of TECFIDERA's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regulatory data and marketing protection. The CJEU set aside the General Court's judgment and dismissed the generic's action. On the basis of this favorable decision and the EC determination in May 2023 that TECFIDERA is entitled to an additional year of market protection for its pediatric indication, we believe that TECFIDERA is entitled to regulatory marketing protection in the E.U. until at least February 2, 2025, and are seeking to enforce this protection. As of September 30, 2023, some of the TECFIDERA generics have not yet fully exited some of the E.U. markets and some generic products remain in the channel. We expect removal of generics from the market will take additional time. We are closely monitoring this situation and working to enforce our legal right to market protection. In addition, we will continue to enforce our EP 2 653 873 patent related to TECFIDERA, which expires in 2028.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condensed consolidated financial statements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BUSINESS UPDATE REGARDING MACROECONOMIC CONDITIONS AND OTHER DISRUPTIONS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Significant portions of our business are conducted in Europe, Asia and other international geographies. Factors such as the COVID-19 pandemic and other global health outbreaks, adverse weather events, geopolitical events, inflation, labor or raw material shortages and other supply chain disruptions could result in product shortages or other difficulties and delays or increased costs in manufacturing our products. Additionally, global disputes and interruptions in international relationships, including tariffs, trade protection measures, import or export licensing requirements and the imposition of trade sanctions or similar restrictions by the U.S. or other governments, affect our ability to do business. For example, tensions between the U.S. and China have led to a series of tariffs and sanctions being imposed by the U.S. on imports from China mainland, as well as other business restrictions.</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color w:val="auto"/>
        </w:rPr>
        <w:t>CURRENT ECONOMIC CONDITIONS</w:t>
      </w:r>
    </w:p>
    <w:p>
      <w:pPr>
        <w:spacing w:after="0" w:line="11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Economic conditions remain vulnerable as markets continue to be impacted in part by elevated inflation, rising interest rates, global supply chain constraints and recent bank failures.</w:t>
      </w:r>
    </w:p>
    <w:p>
      <w:pPr>
        <w:spacing w:after="0" w:line="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2023 concerns arose with respect to the financial condition of a number of banking institutions in the U.S., in particular those with exposure to certain types of depositors and large portfolios of investment securities. Additionally, in March 2023 SVB and Signature Bank were closed and taken over by the FDIC, which created significant market disruption and uncertainty with respect to the financial condition of a number of banking institutions in the U.S., in particular those with exposure to certain types of depositors and large portfolios of investment securities. While we do not have any direct exposure to SVB or Signature Bank, we do maintain our cash at financial institutions, often in balances that exceed the current FDIC insurance limits, and will continue to monitor our cash, cash equivalents and investments and take steps to identify any potential impact and minimize any disruptions on our business.</w:t>
      </w:r>
    </w:p>
    <w:p>
      <w:pPr>
        <w:spacing w:after="0" w:line="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If other banks and financial institutions enter receivership or become insolvent in the future due to financial conditions affecting the banking system and financial markets, our ability to access our cash, cash equivalents and investments, including transferring funds, making payments or receiving funds, may be threatened and could have a material adverse effect on our business and financial condition.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color w:val="auto"/>
        </w:rPr>
        <w:t>GEOPOLITICAL TENSIONS</w:t>
      </w:r>
    </w:p>
    <w:p>
      <w:pPr>
        <w:spacing w:after="0" w:line="12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The ongoing geopolitical tensions related to Russia's invasion of Ukraine and the recent military conflict in the Middle East have resulted in global business disruptions and economic volatility.</w:t>
      </w:r>
    </w:p>
    <w:p>
      <w:pPr>
        <w:spacing w:after="0" w:line="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example. sanctions and other restrictions have been levied on the government and businesses in Russia. Although we do not have affiliates or employees, in either Russia or Ukraine, we do provide various therapies to patients in Russia through a distributor. In addition, new government sanctions on the export of certain manufacturing materials to Russia may delay or limit our ability to get new products approved. The impact of the conflict on our operations and financial performance remains uncertain and will depend on future developments, including the severity and duration of the conflict between Russia and Ukraine, its impact on regional and global economic conditions and whether the conflict spreads or has effects on countries outside Ukraine and Russia. Revenue generated from sales in these regions represented less than 3.0% of total product revenue for the three and nine months ended September 30, 2023 and the year ended December 31, 2022.</w:t>
      </w:r>
    </w:p>
    <w:p>
      <w:pPr>
        <w:spacing w:after="0" w:line="84" w:lineRule="exact"/>
        <w:rPr>
          <w:sz w:val="20"/>
          <w:szCs w:val="20"/>
          <w:color w:val="auto"/>
        </w:rPr>
      </w:pPr>
    </w:p>
    <w:p>
      <w:pPr>
        <w:ind w:right="200"/>
        <w:spacing w:after="0" w:line="285" w:lineRule="auto"/>
        <w:rPr>
          <w:sz w:val="20"/>
          <w:szCs w:val="20"/>
          <w:color w:val="auto"/>
        </w:rPr>
      </w:pPr>
      <w:r>
        <w:rPr>
          <w:rFonts w:ascii="Arial" w:cs="Arial" w:eastAsia="Arial" w:hAnsi="Arial"/>
          <w:sz w:val="17"/>
          <w:szCs w:val="17"/>
          <w:color w:val="auto"/>
        </w:rPr>
        <w:t>We will continue to monitor the ongoing conflict between Russia and Ukraine as well as the military conflict in the Middle East and assess any potential impacts on our business, supply chain, partners or customers, as well as any factors that could have an adverse effect on our results of operations. Our expected 2023 revenue from the broader Middle East region are estimated to less than 2.0% of total revenue.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COVID-19</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length of time and full extent to which the COVID-19 pandemic directly or indirectly impacts our business, results of operations and financial condition, including sales, expense, reserves and allowances, the supply chain, manufacturing, clinical trials, research and development costs and employee-related costs, depends on future developments that are highly uncertain, subject to change and are difficult to predict, including the economic impact on local, regional, national and international customers and markets.</w:t>
      </w:r>
    </w:p>
    <w:p>
      <w:pPr>
        <w:spacing w:after="0" w:line="7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For additional information on the various risks posed by the COVID-19 pandemic and the conflict in Ukraine, please read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this report.</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color w:val="0070C0"/>
        </w:rPr>
        <w:t>INFLATION REDUCTION ACT OF 2022</w:t>
      </w:r>
    </w:p>
    <w:p>
      <w:pPr>
        <w:spacing w:after="0" w:line="9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September 30, 2023 and</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December 31, 2022. Preliminary guidance has been issued by the IRS and we expect additional guidance and regulations to be issued in future periods. We will continue to assess its potential impact on our business and results of operations as further information becomes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available.</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IRA also contains substantial drug pricing reforms that may have a significant impact on the pharmaceutical industry in the U.S. This includes allowing CMS to negotiate a maximum fair price for certain high-priced single source Medicare drugs, as well as redesigning Medicare Part D to reduce out-of-pocket prescription drug costs for beneficiaries, potentially resulting in higher contributions from plans and manufacturers. The IRA also establishes drug inflationary rebate requirements to penalize manufacturers from raising the prices of Medicare covered single-source drugs and biologics beyond the inflation-adjusted rate. Further, to incentivize biosimilar development, the IRA provides an 8.0% Medicare Part B add-on payment for qualifying biosimilar products for a five-year period.</w:t>
      </w:r>
    </w:p>
    <w:p>
      <w:pPr>
        <w:spacing w:after="0" w:line="8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IRA's drug pricing controls and Medicare redesign may have an adverse impact on our sales (particularly for our products that are more substantially reliant on Medicare reimbursement), our business and our results of operations. However, the degree of impact from this legislation on our business depends on a number of implementation decisions. We will continue to assess as further information becomes available.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color w:val="0070C0"/>
        </w:rPr>
        <w:t>FINANCIAL HIGHLIGHTS</w:t>
      </w:r>
    </w:p>
    <w:p>
      <w:pPr>
        <w:spacing w:after="0" w:line="11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three months ended September 30, 2023, compared to the three months ended September 30, 2022, reflects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0548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ind w:left="1880"/>
        <w:spacing w:after="0"/>
        <w:tabs>
          <w:tab w:leader="none" w:pos="6740" w:val="left"/>
        </w:tabs>
        <w:rPr>
          <w:sz w:val="20"/>
          <w:szCs w:val="20"/>
          <w:color w:val="auto"/>
        </w:rPr>
      </w:pPr>
      <w:r>
        <w:rPr>
          <w:rFonts w:ascii="Arial" w:cs="Arial" w:eastAsia="Arial" w:hAnsi="Arial"/>
          <w:sz w:val="18"/>
          <w:szCs w:val="18"/>
          <w:color w:val="0070C0"/>
        </w:rPr>
        <w:t>TOTAL REVENUE</w:t>
      </w:r>
      <w:r>
        <w:rPr>
          <w:sz w:val="20"/>
          <w:szCs w:val="20"/>
          <w:color w:val="auto"/>
        </w:rPr>
        <w:tab/>
      </w:r>
      <w:r>
        <w:rPr>
          <w:rFonts w:ascii="Arial" w:cs="Arial" w:eastAsia="Arial" w:hAnsi="Arial"/>
          <w:sz w:val="17"/>
          <w:szCs w:val="17"/>
          <w:color w:val="0070C0"/>
        </w:rPr>
        <w:t>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54850" cy="925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48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jc w:val="center"/>
              <w:ind w:left="1030"/>
              <w:spacing w:after="0"/>
              <w:rPr>
                <w:sz w:val="20"/>
                <w:szCs w:val="20"/>
                <w:color w:val="auto"/>
              </w:rPr>
            </w:pPr>
            <w:r>
              <w:rPr>
                <w:rFonts w:ascii="Arial" w:cs="Arial" w:eastAsia="Arial" w:hAnsi="Arial"/>
                <w:sz w:val="18"/>
                <w:szCs w:val="18"/>
                <w:color w:val="0070C0"/>
              </w:rPr>
              <w:t>Increased</w:t>
            </w:r>
          </w:p>
        </w:tc>
        <w:tc>
          <w:tcPr>
            <w:tcW w:w="7120" w:type="dxa"/>
            <w:vAlign w:val="bottom"/>
          </w:tcPr>
          <w:p>
            <w:pPr>
              <w:ind w:left="3960"/>
              <w:spacing w:after="0"/>
              <w:rPr>
                <w:sz w:val="20"/>
                <w:szCs w:val="20"/>
                <w:color w:val="auto"/>
              </w:rPr>
            </w:pPr>
            <w:r>
              <w:rPr>
                <w:rFonts w:ascii="Arial" w:cs="Arial" w:eastAsia="Arial" w:hAnsi="Arial"/>
                <w:sz w:val="18"/>
                <w:szCs w:val="18"/>
                <w:color w:val="0070C0"/>
              </w:rPr>
              <w:t>Decreased</w:t>
            </w:r>
          </w:p>
        </w:tc>
        <w:tc>
          <w:tcPr>
            <w:tcW w:w="0" w:type="dxa"/>
            <w:vAlign w:val="bottom"/>
          </w:tcPr>
          <w:p>
            <w:pPr>
              <w:spacing w:after="0"/>
              <w:rPr>
                <w:sz w:val="1"/>
                <w:szCs w:val="1"/>
                <w:color w:val="auto"/>
              </w:rPr>
            </w:pPr>
          </w:p>
        </w:tc>
      </w:tr>
      <w:tr>
        <w:trPr>
          <w:trHeight w:val="229"/>
        </w:trPr>
        <w:tc>
          <w:tcPr>
            <w:tcW w:w="4120" w:type="dxa"/>
            <w:vAlign w:val="bottom"/>
          </w:tcPr>
          <w:p>
            <w:pPr>
              <w:jc w:val="center"/>
              <w:ind w:left="1030"/>
              <w:spacing w:after="0"/>
              <w:rPr>
                <w:sz w:val="20"/>
                <w:szCs w:val="20"/>
                <w:color w:val="auto"/>
              </w:rPr>
            </w:pPr>
            <w:r>
              <w:rPr>
                <w:rFonts w:ascii="Arial" w:cs="Arial" w:eastAsia="Arial" w:hAnsi="Arial"/>
                <w:sz w:val="18"/>
                <w:szCs w:val="18"/>
                <w:color w:val="0070C0"/>
                <w:w w:val="99"/>
              </w:rPr>
              <w:t>$21.8 million or 0.9%</w:t>
            </w:r>
          </w:p>
        </w:tc>
        <w:tc>
          <w:tcPr>
            <w:tcW w:w="7120" w:type="dxa"/>
            <w:vAlign w:val="bottom"/>
          </w:tcPr>
          <w:p>
            <w:pPr>
              <w:ind w:left="3740"/>
              <w:spacing w:after="0"/>
              <w:rPr>
                <w:sz w:val="20"/>
                <w:szCs w:val="20"/>
                <w:color w:val="auto"/>
              </w:rPr>
            </w:pPr>
            <w:r>
              <w:rPr>
                <w:rFonts w:ascii="Arial" w:cs="Arial" w:eastAsia="Arial" w:hAnsi="Arial"/>
                <w:sz w:val="18"/>
                <w:szCs w:val="18"/>
                <w:color w:val="0070C0"/>
              </w:rPr>
              <w:t>$8.31 or 106.0%</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0070C0"/>
            </w:tcBorders>
          </w:tcPr>
          <w:p>
            <w:pPr>
              <w:spacing w:after="0"/>
              <w:rPr>
                <w:sz w:val="16"/>
                <w:szCs w:val="16"/>
                <w:color w:val="auto"/>
              </w:rPr>
            </w:pPr>
          </w:p>
        </w:tc>
        <w:tc>
          <w:tcPr>
            <w:tcW w:w="7120" w:type="dxa"/>
            <w:vAlign w:val="bottom"/>
            <w:tcBorders>
              <w:bottom w:val="single" w:sz="8" w:color="0070C0"/>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0070C0"/>
            </w:tcBorders>
          </w:tcPr>
          <w:p>
            <w:pPr>
              <w:spacing w:after="0"/>
              <w:rPr>
                <w:sz w:val="19"/>
                <w:szCs w:val="19"/>
                <w:color w:val="auto"/>
              </w:rPr>
            </w:pPr>
          </w:p>
        </w:tc>
        <w:tc>
          <w:tcPr>
            <w:tcW w:w="7120" w:type="dxa"/>
            <w:vAlign w:val="bottom"/>
            <w:tcBorders>
              <w:bottom w:val="single" w:sz="8" w:color="0070C0"/>
            </w:tcBorders>
          </w:tcPr>
          <w:p>
            <w:pPr>
              <w:ind w:left="600"/>
              <w:spacing w:after="0"/>
              <w:rPr>
                <w:sz w:val="20"/>
                <w:szCs w:val="20"/>
                <w:color w:val="auto"/>
              </w:rPr>
            </w:pPr>
            <w:r>
              <w:rPr>
                <w:rFonts w:ascii="Arial" w:cs="Arial" w:eastAsia="Arial" w:hAnsi="Arial"/>
                <w:sz w:val="18"/>
                <w:szCs w:val="18"/>
                <w:color w:val="0070C0"/>
              </w:rPr>
              <w:t>PRODUCT REVENUE</w:t>
            </w:r>
          </w:p>
        </w:tc>
        <w:tc>
          <w:tcPr>
            <w:tcW w:w="0" w:type="dxa"/>
            <w:vAlign w:val="bottom"/>
          </w:tcPr>
          <w:p>
            <w:pPr>
              <w:spacing w:after="0"/>
              <w:rPr>
                <w:sz w:val="1"/>
                <w:szCs w:val="1"/>
                <w:color w:val="auto"/>
              </w:rPr>
            </w:pPr>
          </w:p>
        </w:tc>
      </w:tr>
      <w:tr>
        <w:trPr>
          <w:trHeight w:val="321"/>
        </w:trPr>
        <w:tc>
          <w:tcPr>
            <w:tcW w:w="4120" w:type="dxa"/>
            <w:vAlign w:val="bottom"/>
          </w:tcPr>
          <w:p>
            <w:pPr>
              <w:spacing w:after="0"/>
              <w:rPr>
                <w:sz w:val="24"/>
                <w:szCs w:val="24"/>
                <w:color w:val="auto"/>
              </w:rPr>
            </w:pPr>
          </w:p>
        </w:tc>
        <w:tc>
          <w:tcPr>
            <w:tcW w:w="7120" w:type="dxa"/>
            <w:vAlign w:val="bottom"/>
          </w:tcPr>
          <w:p>
            <w:pPr>
              <w:ind w:left="1780"/>
              <w:spacing w:after="0"/>
              <w:rPr>
                <w:sz w:val="20"/>
                <w:szCs w:val="20"/>
                <w:color w:val="auto"/>
              </w:rPr>
            </w:pPr>
            <w:r>
              <w:rPr>
                <w:rFonts w:ascii="Arial" w:cs="Arial" w:eastAsia="Arial" w:hAnsi="Arial"/>
                <w:sz w:val="16"/>
                <w:szCs w:val="16"/>
                <w:color w:val="0070C0"/>
              </w:rPr>
              <w:t xml:space="preserve">•   </w:t>
            </w:r>
            <w:r>
              <w:rPr>
                <w:rFonts w:ascii="Arial" w:cs="Arial" w:eastAsia="Arial" w:hAnsi="Arial"/>
                <w:sz w:val="16"/>
                <w:szCs w:val="16"/>
                <w:color w:val="000000"/>
              </w:rPr>
              <w:t>The decrease in MS product revenue was primarily due to a</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7120" w:type="dxa"/>
            <w:vAlign w:val="bottom"/>
          </w:tcPr>
          <w:p>
            <w:pPr>
              <w:ind w:left="2100"/>
              <w:spacing w:after="0"/>
              <w:rPr>
                <w:sz w:val="20"/>
                <w:szCs w:val="20"/>
                <w:color w:val="auto"/>
              </w:rPr>
            </w:pPr>
            <w:r>
              <w:rPr>
                <w:rFonts w:ascii="Arial" w:cs="Arial" w:eastAsia="Arial" w:hAnsi="Arial"/>
                <w:sz w:val="16"/>
                <w:szCs w:val="16"/>
                <w:color w:val="auto"/>
              </w:rPr>
              <w:t>decrease in TECFIDERA demand as a result of multiple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7120" w:type="dxa"/>
            <w:vAlign w:val="bottom"/>
          </w:tcPr>
          <w:p>
            <w:pPr>
              <w:ind w:left="2100"/>
              <w:spacing w:after="0"/>
              <w:rPr>
                <w:sz w:val="20"/>
                <w:szCs w:val="20"/>
                <w:color w:val="auto"/>
              </w:rPr>
            </w:pPr>
            <w:r>
              <w:rPr>
                <w:rFonts w:ascii="Arial" w:cs="Arial" w:eastAsia="Arial" w:hAnsi="Arial"/>
                <w:sz w:val="16"/>
                <w:szCs w:val="16"/>
                <w:color w:val="auto"/>
              </w:rPr>
              <w:t>TECFIDERA generic entrants in North America, Brazil and certain</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7120" w:type="dxa"/>
            <w:vAlign w:val="bottom"/>
          </w:tcPr>
          <w:p>
            <w:pPr>
              <w:ind w:left="2100"/>
              <w:spacing w:after="0"/>
              <w:rPr>
                <w:sz w:val="20"/>
                <w:szCs w:val="20"/>
                <w:color w:val="auto"/>
              </w:rPr>
            </w:pPr>
            <w:r>
              <w:rPr>
                <w:rFonts w:ascii="Arial" w:cs="Arial" w:eastAsia="Arial" w:hAnsi="Arial"/>
                <w:sz w:val="16"/>
                <w:szCs w:val="16"/>
                <w:color w:val="auto"/>
              </w:rPr>
              <w:t>E.U. countries, a decrease in Interferon demand due to competition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7120" w:type="dxa"/>
            <w:vAlign w:val="bottom"/>
          </w:tcPr>
          <w:p>
            <w:pPr>
              <w:ind w:left="2100"/>
              <w:spacing w:after="0"/>
              <w:rPr>
                <w:sz w:val="20"/>
                <w:szCs w:val="20"/>
                <w:color w:val="auto"/>
              </w:rPr>
            </w:pPr>
            <w:r>
              <w:rPr>
                <w:rFonts w:ascii="Arial" w:cs="Arial" w:eastAsia="Arial" w:hAnsi="Arial"/>
                <w:sz w:val="16"/>
                <w:szCs w:val="16"/>
                <w:color w:val="auto"/>
              </w:rPr>
              <w:t>as patients transition to higher efficacy therapies and a decrease in</w:t>
            </w:r>
          </w:p>
        </w:tc>
        <w:tc>
          <w:tcPr>
            <w:tcW w:w="0" w:type="dxa"/>
            <w:vAlign w:val="bottom"/>
          </w:tcPr>
          <w:p>
            <w:pPr>
              <w:spacing w:after="0"/>
              <w:rPr>
                <w:sz w:val="1"/>
                <w:szCs w:val="1"/>
                <w:color w:val="auto"/>
              </w:rPr>
            </w:pPr>
          </w:p>
        </w:tc>
      </w:tr>
      <w:tr>
        <w:trPr>
          <w:trHeight w:val="207"/>
        </w:trPr>
        <w:tc>
          <w:tcPr>
            <w:tcW w:w="4120" w:type="dxa"/>
            <w:vAlign w:val="bottom"/>
          </w:tcPr>
          <w:p>
            <w:pPr>
              <w:spacing w:after="0"/>
              <w:rPr>
                <w:sz w:val="17"/>
                <w:szCs w:val="17"/>
                <w:color w:val="auto"/>
              </w:rPr>
            </w:pPr>
          </w:p>
        </w:tc>
        <w:tc>
          <w:tcPr>
            <w:tcW w:w="7120" w:type="dxa"/>
            <w:vAlign w:val="bottom"/>
          </w:tcPr>
          <w:p>
            <w:pPr>
              <w:ind w:left="2100"/>
              <w:spacing w:after="0"/>
              <w:rPr>
                <w:sz w:val="20"/>
                <w:szCs w:val="20"/>
                <w:color w:val="auto"/>
              </w:rPr>
            </w:pPr>
            <w:r>
              <w:rPr>
                <w:rFonts w:ascii="Arial" w:cs="Arial" w:eastAsia="Arial" w:hAnsi="Arial"/>
                <w:sz w:val="16"/>
                <w:szCs w:val="16"/>
                <w:color w:val="auto"/>
              </w:rPr>
              <w:t>TYSABRI revenue primarily driven by increased competition.</w:t>
            </w:r>
          </w:p>
        </w:tc>
        <w:tc>
          <w:tcPr>
            <w:tcW w:w="0" w:type="dxa"/>
            <w:vAlign w:val="bottom"/>
          </w:tcPr>
          <w:p>
            <w:pPr>
              <w:spacing w:after="0"/>
              <w:rPr>
                <w:sz w:val="1"/>
                <w:szCs w:val="1"/>
                <w:color w:val="auto"/>
              </w:rPr>
            </w:pPr>
          </w:p>
        </w:tc>
      </w:tr>
      <w:tr>
        <w:trPr>
          <w:trHeight w:val="225"/>
        </w:trPr>
        <w:tc>
          <w:tcPr>
            <w:tcW w:w="4120" w:type="dxa"/>
            <w:vAlign w:val="bottom"/>
            <w:vMerge w:val="restart"/>
          </w:tcPr>
          <w:p>
            <w:pPr>
              <w:jc w:val="center"/>
              <w:ind w:left="1030"/>
              <w:spacing w:after="0"/>
              <w:rPr>
                <w:sz w:val="20"/>
                <w:szCs w:val="20"/>
                <w:color w:val="auto"/>
              </w:rPr>
            </w:pPr>
            <w:r>
              <w:rPr>
                <w:rFonts w:ascii="Arial" w:cs="Arial" w:eastAsia="Arial" w:hAnsi="Arial"/>
                <w:sz w:val="18"/>
                <w:szCs w:val="18"/>
                <w:color w:val="0070C0"/>
              </w:rPr>
              <w:t>Decreased</w:t>
            </w:r>
          </w:p>
        </w:tc>
        <w:tc>
          <w:tcPr>
            <w:tcW w:w="7120" w:type="dxa"/>
            <w:vAlign w:val="bottom"/>
          </w:tcPr>
          <w:p>
            <w:pPr>
              <w:ind w:left="1780"/>
              <w:spacing w:after="0"/>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6"/>
                <w:szCs w:val="16"/>
                <w:color w:val="000000"/>
              </w:rPr>
              <w:t>The increase in SMA revenue was primarily due to patient growth</w:t>
            </w:r>
          </w:p>
        </w:tc>
        <w:tc>
          <w:tcPr>
            <w:tcW w:w="0" w:type="dxa"/>
            <w:vAlign w:val="bottom"/>
          </w:tcPr>
          <w:p>
            <w:pPr>
              <w:spacing w:after="0"/>
              <w:rPr>
                <w:sz w:val="1"/>
                <w:szCs w:val="1"/>
                <w:color w:val="auto"/>
              </w:rPr>
            </w:pPr>
          </w:p>
        </w:tc>
      </w:tr>
      <w:tr>
        <w:trPr>
          <w:trHeight w:val="186"/>
        </w:trPr>
        <w:tc>
          <w:tcPr>
            <w:tcW w:w="4120" w:type="dxa"/>
            <w:vAlign w:val="bottom"/>
            <w:vMerge w:val="continue"/>
          </w:tcPr>
          <w:p>
            <w:pPr>
              <w:spacing w:after="0"/>
              <w:rPr>
                <w:sz w:val="16"/>
                <w:szCs w:val="16"/>
                <w:color w:val="auto"/>
              </w:rPr>
            </w:pPr>
          </w:p>
        </w:tc>
        <w:tc>
          <w:tcPr>
            <w:tcW w:w="7120" w:type="dxa"/>
            <w:vAlign w:val="bottom"/>
          </w:tcPr>
          <w:p>
            <w:pPr>
              <w:ind w:left="2100"/>
              <w:spacing w:after="0"/>
              <w:rPr>
                <w:sz w:val="20"/>
                <w:szCs w:val="20"/>
                <w:color w:val="auto"/>
              </w:rPr>
            </w:pPr>
            <w:r>
              <w:rPr>
                <w:rFonts w:ascii="Arial" w:cs="Arial" w:eastAsia="Arial" w:hAnsi="Arial"/>
                <w:sz w:val="16"/>
                <w:szCs w:val="16"/>
                <w:color w:val="auto"/>
              </w:rPr>
              <w:t>and an increase in pricing in the U.S. as well as timing of shipments</w:t>
            </w:r>
          </w:p>
        </w:tc>
        <w:tc>
          <w:tcPr>
            <w:tcW w:w="0" w:type="dxa"/>
            <w:vAlign w:val="bottom"/>
          </w:tcPr>
          <w:p>
            <w:pPr>
              <w:spacing w:after="0"/>
              <w:rPr>
                <w:sz w:val="1"/>
                <w:szCs w:val="1"/>
                <w:color w:val="auto"/>
              </w:rPr>
            </w:pPr>
          </w:p>
        </w:tc>
      </w:tr>
      <w:tr>
        <w:trPr>
          <w:trHeight w:val="229"/>
        </w:trPr>
        <w:tc>
          <w:tcPr>
            <w:tcW w:w="4120" w:type="dxa"/>
            <w:vAlign w:val="bottom"/>
          </w:tcPr>
          <w:p>
            <w:pPr>
              <w:jc w:val="center"/>
              <w:ind w:left="1010"/>
              <w:spacing w:after="0"/>
              <w:rPr>
                <w:sz w:val="20"/>
                <w:szCs w:val="20"/>
                <w:color w:val="auto"/>
              </w:rPr>
            </w:pPr>
            <w:r>
              <w:rPr>
                <w:rFonts w:ascii="Arial" w:cs="Arial" w:eastAsia="Arial" w:hAnsi="Arial"/>
                <w:sz w:val="18"/>
                <w:szCs w:val="18"/>
                <w:color w:val="0070C0"/>
                <w:w w:val="99"/>
              </w:rPr>
              <w:t>$156.9 million or 8.0%</w:t>
            </w:r>
          </w:p>
        </w:tc>
        <w:tc>
          <w:tcPr>
            <w:tcW w:w="7120" w:type="dxa"/>
            <w:vAlign w:val="bottom"/>
          </w:tcPr>
          <w:p>
            <w:pPr>
              <w:ind w:left="2100"/>
              <w:spacing w:after="0"/>
              <w:rPr>
                <w:sz w:val="20"/>
                <w:szCs w:val="20"/>
                <w:color w:val="auto"/>
              </w:rPr>
            </w:pPr>
            <w:r>
              <w:rPr>
                <w:rFonts w:ascii="Arial" w:cs="Arial" w:eastAsia="Arial" w:hAnsi="Arial"/>
                <w:sz w:val="16"/>
                <w:szCs w:val="16"/>
                <w:color w:val="auto"/>
              </w:rPr>
              <w:t>in certain international markets.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-1182370</wp:posOffset>
            </wp:positionV>
            <wp:extent cx="2571750" cy="857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71750" cy="8572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330898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59"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16"/>
          <w:szCs w:val="16"/>
          <w:color w:val="0070C0"/>
        </w:rPr>
      </w:pPr>
      <w:r>
        <w:rPr>
          <w:rFonts w:ascii="Arial" w:cs="Arial" w:eastAsia="Arial" w:hAnsi="Arial"/>
          <w:sz w:val="16"/>
          <w:szCs w:val="16"/>
          <w:color w:val="0070C0"/>
        </w:rPr>
        <w:t>MS revenue decreased $181.3 million, or 13.5%</w:t>
      </w:r>
    </w:p>
    <w:p>
      <w:pPr>
        <w:spacing w:after="0" w:line="17" w:lineRule="exact"/>
        <w:rPr>
          <w:rFonts w:ascii="Arial" w:cs="Arial" w:eastAsia="Arial" w:hAnsi="Arial"/>
          <w:sz w:val="16"/>
          <w:szCs w:val="16"/>
          <w:color w:val="0070C0"/>
        </w:rPr>
      </w:pPr>
    </w:p>
    <w:p>
      <w:pPr>
        <w:ind w:left="120" w:hanging="112"/>
        <w:spacing w:after="0"/>
        <w:tabs>
          <w:tab w:leader="none" w:pos="120" w:val="left"/>
        </w:tabs>
        <w:numPr>
          <w:ilvl w:val="0"/>
          <w:numId w:val="20"/>
        </w:numPr>
        <w:rPr>
          <w:rFonts w:ascii="Arial" w:cs="Arial" w:eastAsia="Arial" w:hAnsi="Arial"/>
          <w:sz w:val="16"/>
          <w:szCs w:val="16"/>
          <w:color w:val="0070C0"/>
        </w:rPr>
      </w:pPr>
      <w:r>
        <w:rPr>
          <w:rFonts w:ascii="Arial" w:cs="Arial" w:eastAsia="Arial" w:hAnsi="Arial"/>
          <w:sz w:val="16"/>
          <w:szCs w:val="16"/>
          <w:color w:val="0070C0"/>
        </w:rPr>
        <w:t>SMA revenue increased $17.1 million, or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0883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0883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Increased</w:t>
      </w:r>
    </w:p>
    <w:p>
      <w:pPr>
        <w:spacing w:after="0" w:line="21"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$1,534.1 million or 134.9%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3089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69"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16"/>
          <w:szCs w:val="16"/>
          <w:color w:val="0070C0"/>
        </w:rPr>
      </w:pPr>
      <w:r>
        <w:rPr>
          <w:rFonts w:ascii="Arial" w:cs="Arial" w:eastAsia="Arial" w:hAnsi="Arial"/>
          <w:sz w:val="16"/>
          <w:szCs w:val="16"/>
          <w:color w:val="0070C0"/>
        </w:rPr>
        <w:t>Cost of sales increased $190.1 million, or 40.5%</w:t>
      </w:r>
    </w:p>
    <w:p>
      <w:pPr>
        <w:spacing w:after="0" w:line="17" w:lineRule="exact"/>
        <w:rPr>
          <w:rFonts w:ascii="Arial" w:cs="Arial" w:eastAsia="Arial" w:hAnsi="Arial"/>
          <w:sz w:val="16"/>
          <w:szCs w:val="16"/>
          <w:color w:val="0070C0"/>
        </w:rPr>
      </w:pPr>
    </w:p>
    <w:p>
      <w:pPr>
        <w:ind w:left="120" w:hanging="112"/>
        <w:spacing w:after="0"/>
        <w:tabs>
          <w:tab w:leader="none" w:pos="120" w:val="left"/>
        </w:tabs>
        <w:numPr>
          <w:ilvl w:val="0"/>
          <w:numId w:val="21"/>
        </w:numPr>
        <w:rPr>
          <w:rFonts w:ascii="Arial" w:cs="Arial" w:eastAsia="Arial" w:hAnsi="Arial"/>
          <w:sz w:val="16"/>
          <w:szCs w:val="16"/>
          <w:color w:val="0070C0"/>
        </w:rPr>
      </w:pPr>
      <w:r>
        <w:rPr>
          <w:rFonts w:ascii="Arial" w:cs="Arial" w:eastAsia="Arial" w:hAnsi="Arial"/>
          <w:sz w:val="16"/>
          <w:szCs w:val="16"/>
          <w:color w:val="0070C0"/>
        </w:rPr>
        <w:t>R&amp;D expense increased $187.1 million, or 34.1%</w:t>
      </w:r>
    </w:p>
    <w:p>
      <w:pPr>
        <w:spacing w:after="0" w:line="5" w:lineRule="exact"/>
        <w:rPr>
          <w:rFonts w:ascii="Arial" w:cs="Arial" w:eastAsia="Arial" w:hAnsi="Arial"/>
          <w:sz w:val="16"/>
          <w:szCs w:val="16"/>
          <w:color w:val="0070C0"/>
        </w:rPr>
      </w:pPr>
    </w:p>
    <w:p>
      <w:pPr>
        <w:ind w:left="120" w:hanging="112"/>
        <w:spacing w:after="0"/>
        <w:tabs>
          <w:tab w:leader="none" w:pos="120" w:val="left"/>
        </w:tabs>
        <w:numPr>
          <w:ilvl w:val="0"/>
          <w:numId w:val="21"/>
        </w:numPr>
        <w:rPr>
          <w:rFonts w:ascii="Arial" w:cs="Arial" w:eastAsia="Arial" w:hAnsi="Arial"/>
          <w:sz w:val="16"/>
          <w:szCs w:val="16"/>
          <w:color w:val="0070C0"/>
        </w:rPr>
      </w:pPr>
      <w:r>
        <w:rPr>
          <w:rFonts w:ascii="Arial" w:cs="Arial" w:eastAsia="Arial" w:hAnsi="Arial"/>
          <w:sz w:val="16"/>
          <w:szCs w:val="16"/>
          <w:color w:val="0070C0"/>
        </w:rPr>
        <w:t>SG&amp;A expense increased $224.9 million, or 39.9%</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15" w:right="200" w:hanging="315"/>
        <w:spacing w:after="0" w:line="262" w:lineRule="auto"/>
        <w:tabs>
          <w:tab w:leader="none" w:pos="263" w:val="left"/>
        </w:tabs>
        <w:numPr>
          <w:ilvl w:val="0"/>
          <w:numId w:val="22"/>
        </w:numPr>
        <w:rPr>
          <w:rFonts w:ascii="Arial" w:cs="Arial" w:eastAsia="Arial" w:hAnsi="Arial"/>
          <w:sz w:val="16"/>
          <w:szCs w:val="16"/>
          <w:color w:val="0070C0"/>
        </w:rPr>
      </w:pPr>
      <w:r>
        <w:rPr>
          <w:rFonts w:ascii="Arial" w:cs="Arial" w:eastAsia="Arial" w:hAnsi="Arial"/>
          <w:sz w:val="16"/>
          <w:szCs w:val="16"/>
          <w:color w:val="auto"/>
        </w:rPr>
        <w:t>The increase in cost of sales was primarily due to higher cost of sales associated with contract manufacturing revenue driven by increased production, higher idle capacity charges and unfavorable product mix.</w:t>
      </w:r>
    </w:p>
    <w:p>
      <w:pPr>
        <w:spacing w:after="0" w:line="33" w:lineRule="exact"/>
        <w:rPr>
          <w:rFonts w:ascii="Arial" w:cs="Arial" w:eastAsia="Arial" w:hAnsi="Arial"/>
          <w:sz w:val="16"/>
          <w:szCs w:val="16"/>
          <w:color w:val="0070C0"/>
        </w:rPr>
      </w:pPr>
    </w:p>
    <w:p>
      <w:pPr>
        <w:ind w:left="315" w:right="340" w:hanging="315"/>
        <w:spacing w:after="0" w:line="270" w:lineRule="auto"/>
        <w:tabs>
          <w:tab w:leader="none" w:pos="263" w:val="left"/>
        </w:tabs>
        <w:numPr>
          <w:ilvl w:val="0"/>
          <w:numId w:val="22"/>
        </w:numPr>
        <w:rPr>
          <w:rFonts w:ascii="Arial" w:cs="Arial" w:eastAsia="Arial" w:hAnsi="Arial"/>
          <w:sz w:val="16"/>
          <w:szCs w:val="16"/>
          <w:b w:val="1"/>
          <w:bCs w:val="1"/>
          <w:color w:val="0070C0"/>
        </w:rPr>
      </w:pPr>
      <w:r>
        <w:rPr>
          <w:rFonts w:ascii="Arial" w:cs="Arial" w:eastAsia="Arial" w:hAnsi="Arial"/>
          <w:sz w:val="16"/>
          <w:szCs w:val="16"/>
          <w:color w:val="auto"/>
        </w:rPr>
        <w:t xml:space="preserve">The increase in research and development expense was primarily due to the recognition of </w:t>
      </w:r>
      <w:r>
        <w:rPr>
          <w:rFonts w:ascii="Arial" w:cs="Arial" w:eastAsia="Arial" w:hAnsi="Arial"/>
          <w:sz w:val="16"/>
          <w:szCs w:val="16"/>
          <w:b w:val="1"/>
          <w:bCs w:val="1"/>
          <w:color w:val="auto"/>
        </w:rPr>
        <w:t>$197.0 million</w:t>
      </w:r>
      <w:r>
        <w:rPr>
          <w:rFonts w:ascii="Arial" w:cs="Arial" w:eastAsia="Arial" w:hAnsi="Arial"/>
          <w:sz w:val="16"/>
          <w:szCs w:val="16"/>
          <w:color w:val="auto"/>
        </w:rPr>
        <w:t xml:space="preserve"> in equity-based compensation expense related to our acquisition of Reata.</w:t>
      </w:r>
    </w:p>
    <w:p>
      <w:pPr>
        <w:spacing w:after="0" w:line="13" w:lineRule="exact"/>
        <w:rPr>
          <w:rFonts w:ascii="Arial" w:cs="Arial" w:eastAsia="Arial" w:hAnsi="Arial"/>
          <w:sz w:val="16"/>
          <w:szCs w:val="16"/>
          <w:b w:val="1"/>
          <w:bCs w:val="1"/>
          <w:color w:val="0070C0"/>
        </w:rPr>
      </w:pPr>
    </w:p>
    <w:p>
      <w:pPr>
        <w:ind w:left="315" w:right="280" w:hanging="315"/>
        <w:spacing w:after="0" w:line="272" w:lineRule="auto"/>
        <w:tabs>
          <w:tab w:leader="none" w:pos="263" w:val="left"/>
        </w:tabs>
        <w:numPr>
          <w:ilvl w:val="0"/>
          <w:numId w:val="22"/>
        </w:numPr>
        <w:rPr>
          <w:rFonts w:ascii="Arial" w:cs="Arial" w:eastAsia="Arial" w:hAnsi="Arial"/>
          <w:sz w:val="16"/>
          <w:szCs w:val="16"/>
          <w:b w:val="1"/>
          <w:bCs w:val="1"/>
          <w:i w:val="1"/>
          <w:iCs w:val="1"/>
          <w:color w:val="00587F"/>
        </w:rPr>
      </w:pPr>
      <w:r>
        <w:rPr>
          <w:rFonts w:ascii="Arial" w:cs="Arial" w:eastAsia="Arial" w:hAnsi="Arial"/>
          <w:sz w:val="16"/>
          <w:szCs w:val="16"/>
          <w:color w:val="auto"/>
        </w:rPr>
        <w:t xml:space="preserve">The increase in selling, general and administrative expense was primarily due to the recognition of </w:t>
      </w:r>
      <w:r>
        <w:rPr>
          <w:rFonts w:ascii="Arial" w:cs="Arial" w:eastAsia="Arial" w:hAnsi="Arial"/>
          <w:sz w:val="16"/>
          <w:szCs w:val="16"/>
          <w:b w:val="1"/>
          <w:bCs w:val="1"/>
          <w:color w:val="auto"/>
        </w:rPr>
        <w:t>$196.4 million in equity-based</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expense related to our acquisition of Reata</w:t>
      </w:r>
      <w:r>
        <w:rPr>
          <w:rFonts w:ascii="Arial" w:cs="Arial" w:eastAsia="Arial" w:hAnsi="Arial"/>
          <w:sz w:val="16"/>
          <w:szCs w:val="16"/>
          <w:color w:val="auto"/>
        </w:rPr>
        <w:t>.</w:t>
      </w:r>
    </w:p>
    <w:p>
      <w:pPr>
        <w:spacing w:after="0" w:line="8" w:lineRule="exact"/>
        <w:rPr>
          <w:rFonts w:ascii="Arial" w:cs="Arial" w:eastAsia="Arial" w:hAnsi="Arial"/>
          <w:sz w:val="16"/>
          <w:szCs w:val="16"/>
          <w:b w:val="1"/>
          <w:bCs w:val="1"/>
          <w:i w:val="1"/>
          <w:iCs w:val="1"/>
          <w:color w:val="00587F"/>
        </w:rPr>
      </w:pPr>
    </w:p>
    <w:p>
      <w:pPr>
        <w:jc w:val="both"/>
        <w:ind w:left="315" w:right="280" w:hanging="315"/>
        <w:spacing w:after="0" w:line="270" w:lineRule="auto"/>
        <w:tabs>
          <w:tab w:leader="none" w:pos="263" w:val="left"/>
        </w:tabs>
        <w:numPr>
          <w:ilvl w:val="0"/>
          <w:numId w:val="22"/>
        </w:numPr>
        <w:rPr>
          <w:rFonts w:ascii="Arial" w:cs="Arial" w:eastAsia="Arial" w:hAnsi="Arial"/>
          <w:sz w:val="16"/>
          <w:szCs w:val="16"/>
          <w:b w:val="1"/>
          <w:bCs w:val="1"/>
          <w:i w:val="1"/>
          <w:iCs w:val="1"/>
          <w:color w:val="2573BA"/>
        </w:rPr>
      </w:pPr>
      <w:r>
        <w:rPr>
          <w:rFonts w:ascii="Arial" w:cs="Arial" w:eastAsia="Arial" w:hAnsi="Arial"/>
          <w:sz w:val="16"/>
          <w:szCs w:val="16"/>
          <w:color w:val="auto"/>
        </w:rPr>
        <w:t xml:space="preserve">Additionally, total cost and expense in 2022 was reduced by a pre-tax gain of approximately </w:t>
      </w:r>
      <w:r>
        <w:rPr>
          <w:rFonts w:ascii="Arial" w:cs="Arial" w:eastAsia="Arial" w:hAnsi="Arial"/>
          <w:sz w:val="16"/>
          <w:szCs w:val="16"/>
          <w:b w:val="1"/>
          <w:bCs w:val="1"/>
          <w:color w:val="auto"/>
        </w:rPr>
        <w:t>$503.7 million</w:t>
      </w:r>
      <w:r>
        <w:rPr>
          <w:rFonts w:ascii="Arial" w:cs="Arial" w:eastAsia="Arial" w:hAnsi="Arial"/>
          <w:sz w:val="16"/>
          <w:szCs w:val="16"/>
          <w:color w:val="auto"/>
        </w:rPr>
        <w:t xml:space="preserve"> related to the sale of one of our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203835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2">
            <w:col w:w="5185" w:space="720"/>
            <w:col w:w="5335"/>
          </w:cols>
          <w:pgMar w:left="320" w:top="126" w:right="339" w:bottom="1440" w:gutter="0" w:footer="0" w:header="0"/>
          <w:type w:val="continuous"/>
        </w:sectPr>
      </w:pP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0070C0"/>
        </w:rPr>
        <w:t>FINANCIAL CONDITION,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Pr>
          <w:p>
            <w:pPr>
              <w:spacing w:after="0"/>
              <w:rPr>
                <w:sz w:val="20"/>
                <w:szCs w:val="20"/>
                <w:color w:val="auto"/>
              </w:rPr>
            </w:pPr>
            <w:r>
              <w:rPr>
                <w:rFonts w:ascii="Arial" w:cs="Arial" w:eastAsia="Arial" w:hAnsi="Arial"/>
                <w:sz w:val="16"/>
                <w:szCs w:val="16"/>
                <w:color w:val="0070C0"/>
              </w:rPr>
              <w:t xml:space="preserve">•   </w:t>
            </w:r>
            <w:r>
              <w:rPr>
                <w:rFonts w:ascii="Arial" w:cs="Arial" w:eastAsia="Arial" w:hAnsi="Arial"/>
                <w:sz w:val="16"/>
                <w:szCs w:val="16"/>
                <w:color w:val="000000"/>
              </w:rPr>
              <w:t>We generated $1,534.7 million of net cash flow from operations for</w:t>
            </w:r>
          </w:p>
        </w:tc>
        <w:tc>
          <w:tcPr>
            <w:tcW w:w="5600" w:type="dxa"/>
            <w:vAlign w:val="bottom"/>
          </w:tcPr>
          <w:p>
            <w:pPr>
              <w:ind w:left="400"/>
              <w:spacing w:after="0"/>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6"/>
                <w:szCs w:val="16"/>
                <w:color w:val="000000"/>
              </w:rPr>
              <w:t>There were no share repurchases of our common stock during the</w:t>
            </w:r>
          </w:p>
        </w:tc>
        <w:tc>
          <w:tcPr>
            <w:tcW w:w="0" w:type="dxa"/>
            <w:vAlign w:val="bottom"/>
          </w:tcPr>
          <w:p>
            <w:pPr>
              <w:spacing w:after="0"/>
              <w:rPr>
                <w:sz w:val="1"/>
                <w:szCs w:val="1"/>
                <w:color w:val="auto"/>
              </w:rPr>
            </w:pPr>
          </w:p>
        </w:tc>
      </w:tr>
      <w:tr>
        <w:trPr>
          <w:trHeight w:val="203"/>
        </w:trPr>
        <w:tc>
          <w:tcPr>
            <w:tcW w:w="5500" w:type="dxa"/>
            <w:vAlign w:val="bottom"/>
          </w:tcPr>
          <w:p>
            <w:pPr>
              <w:ind w:left="340"/>
              <w:spacing w:after="0"/>
              <w:rPr>
                <w:sz w:val="20"/>
                <w:szCs w:val="20"/>
                <w:color w:val="auto"/>
              </w:rPr>
            </w:pPr>
            <w:r>
              <w:rPr>
                <w:rFonts w:ascii="Arial" w:cs="Arial" w:eastAsia="Arial" w:hAnsi="Arial"/>
                <w:sz w:val="16"/>
                <w:szCs w:val="16"/>
                <w:color w:val="auto"/>
              </w:rPr>
              <w:t>the nine months ended September 30, 2023.</w:t>
            </w:r>
          </w:p>
        </w:tc>
        <w:tc>
          <w:tcPr>
            <w:tcW w:w="5600" w:type="dxa"/>
            <w:vAlign w:val="bottom"/>
          </w:tcPr>
          <w:p>
            <w:pPr>
              <w:ind w:left="720"/>
              <w:spacing w:after="0"/>
              <w:rPr>
                <w:sz w:val="20"/>
                <w:szCs w:val="20"/>
                <w:color w:val="auto"/>
              </w:rPr>
            </w:pPr>
            <w:r>
              <w:rPr>
                <w:rFonts w:ascii="Arial" w:cs="Arial" w:eastAsia="Arial" w:hAnsi="Arial"/>
                <w:sz w:val="16"/>
                <w:szCs w:val="16"/>
                <w:color w:val="auto"/>
              </w:rPr>
              <w:t>third quarter of 2023 under our 2020 Share Repurchase Program.</w:t>
            </w:r>
          </w:p>
        </w:tc>
        <w:tc>
          <w:tcPr>
            <w:tcW w:w="0" w:type="dxa"/>
            <w:vAlign w:val="bottom"/>
          </w:tcPr>
          <w:p>
            <w:pPr>
              <w:spacing w:after="0"/>
              <w:rPr>
                <w:sz w:val="1"/>
                <w:szCs w:val="1"/>
                <w:color w:val="auto"/>
              </w:rPr>
            </w:pPr>
          </w:p>
        </w:tc>
      </w:tr>
      <w:tr>
        <w:trPr>
          <w:trHeight w:val="189"/>
        </w:trPr>
        <w:tc>
          <w:tcPr>
            <w:tcW w:w="5500" w:type="dxa"/>
            <w:vAlign w:val="bottom"/>
            <w:vMerge w:val="restart"/>
          </w:tcPr>
          <w:p>
            <w:pPr>
              <w:spacing w:after="0"/>
              <w:rPr>
                <w:sz w:val="20"/>
                <w:szCs w:val="20"/>
                <w:color w:val="auto"/>
              </w:rPr>
            </w:pPr>
            <w:r>
              <w:rPr>
                <w:rFonts w:ascii="Arial" w:cs="Arial" w:eastAsia="Arial" w:hAnsi="Arial"/>
                <w:sz w:val="16"/>
                <w:szCs w:val="16"/>
                <w:color w:val="0070C0"/>
              </w:rPr>
              <w:t xml:space="preserve">•   </w:t>
            </w:r>
            <w:r>
              <w:rPr>
                <w:rFonts w:ascii="Arial" w:cs="Arial" w:eastAsia="Arial" w:hAnsi="Arial"/>
                <w:sz w:val="16"/>
                <w:szCs w:val="16"/>
                <w:color w:val="000000"/>
              </w:rPr>
              <w:t>Cash, cash equivalents and marketable securities totaled</w:t>
            </w:r>
          </w:p>
        </w:tc>
        <w:tc>
          <w:tcPr>
            <w:tcW w:w="5600" w:type="dxa"/>
            <w:vAlign w:val="bottom"/>
          </w:tcPr>
          <w:p>
            <w:pPr>
              <w:ind w:left="720"/>
              <w:spacing w:after="0"/>
              <w:rPr>
                <w:sz w:val="20"/>
                <w:szCs w:val="20"/>
                <w:color w:val="auto"/>
              </w:rPr>
            </w:pPr>
            <w:r>
              <w:rPr>
                <w:rFonts w:ascii="Arial" w:cs="Arial" w:eastAsia="Arial" w:hAnsi="Arial"/>
                <w:sz w:val="16"/>
                <w:szCs w:val="16"/>
                <w:color w:val="auto"/>
              </w:rPr>
              <w:t>Approximately $2.1 billion remained available under our 2020 Share</w:t>
            </w:r>
          </w:p>
        </w:tc>
        <w:tc>
          <w:tcPr>
            <w:tcW w:w="0" w:type="dxa"/>
            <w:vAlign w:val="bottom"/>
          </w:tcPr>
          <w:p>
            <w:pPr>
              <w:spacing w:after="0"/>
              <w:rPr>
                <w:sz w:val="1"/>
                <w:szCs w:val="1"/>
                <w:color w:val="auto"/>
              </w:rPr>
            </w:pPr>
          </w:p>
        </w:tc>
      </w:tr>
      <w:tr>
        <w:trPr>
          <w:trHeight w:val="54"/>
        </w:trPr>
        <w:tc>
          <w:tcPr>
            <w:tcW w:w="5500" w:type="dxa"/>
            <w:vAlign w:val="bottom"/>
            <w:vMerge w:val="continue"/>
          </w:tcPr>
          <w:p>
            <w:pPr>
              <w:spacing w:after="0"/>
              <w:rPr>
                <w:sz w:val="4"/>
                <w:szCs w:val="4"/>
                <w:color w:val="auto"/>
              </w:rPr>
            </w:pPr>
          </w:p>
        </w:tc>
        <w:tc>
          <w:tcPr>
            <w:tcW w:w="5600" w:type="dxa"/>
            <w:vAlign w:val="bottom"/>
            <w:vMerge w:val="restart"/>
          </w:tcPr>
          <w:p>
            <w:pPr>
              <w:ind w:left="720"/>
              <w:spacing w:after="0"/>
              <w:rPr>
                <w:sz w:val="20"/>
                <w:szCs w:val="20"/>
                <w:color w:val="auto"/>
              </w:rPr>
            </w:pPr>
            <w:r>
              <w:rPr>
                <w:rFonts w:ascii="Arial" w:cs="Arial" w:eastAsia="Arial" w:hAnsi="Arial"/>
                <w:sz w:val="16"/>
                <w:szCs w:val="16"/>
                <w:color w:val="auto"/>
              </w:rPr>
              <w:t>Repurchase Program as of September 30, 2023.</w:t>
            </w:r>
          </w:p>
        </w:tc>
        <w:tc>
          <w:tcPr>
            <w:tcW w:w="0" w:type="dxa"/>
            <w:vAlign w:val="bottom"/>
          </w:tcPr>
          <w:p>
            <w:pPr>
              <w:spacing w:after="0"/>
              <w:rPr>
                <w:sz w:val="1"/>
                <w:szCs w:val="1"/>
                <w:color w:val="auto"/>
              </w:rPr>
            </w:pPr>
          </w:p>
        </w:tc>
      </w:tr>
      <w:tr>
        <w:trPr>
          <w:trHeight w:val="153"/>
        </w:trPr>
        <w:tc>
          <w:tcPr>
            <w:tcW w:w="5500" w:type="dxa"/>
            <w:vAlign w:val="bottom"/>
            <w:vMerge w:val="restart"/>
          </w:tcPr>
          <w:p>
            <w:pPr>
              <w:ind w:left="340"/>
              <w:spacing w:after="0"/>
              <w:rPr>
                <w:sz w:val="20"/>
                <w:szCs w:val="20"/>
                <w:color w:val="auto"/>
              </w:rPr>
            </w:pPr>
            <w:r>
              <w:rPr>
                <w:rFonts w:ascii="Arial" w:cs="Arial" w:eastAsia="Arial" w:hAnsi="Arial"/>
                <w:sz w:val="16"/>
                <w:szCs w:val="16"/>
                <w:color w:val="auto"/>
              </w:rPr>
              <w:t>approximately $2.3 billion as of September 30, 2023, compared to</w:t>
            </w:r>
          </w:p>
        </w:tc>
        <w:tc>
          <w:tcPr>
            <w:tcW w:w="5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5500" w:type="dxa"/>
            <w:vAlign w:val="bottom"/>
            <w:vMerge w:val="continue"/>
          </w:tcPr>
          <w:p>
            <w:pPr>
              <w:spacing w:after="0"/>
              <w:rPr>
                <w:sz w:val="4"/>
                <w:szCs w:val="4"/>
                <w:color w:val="auto"/>
              </w:rPr>
            </w:pPr>
          </w:p>
        </w:tc>
        <w:tc>
          <w:tcPr>
            <w:tcW w:w="5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340"/>
              <w:spacing w:after="0"/>
              <w:rPr>
                <w:sz w:val="20"/>
                <w:szCs w:val="20"/>
                <w:color w:val="auto"/>
              </w:rPr>
            </w:pPr>
            <w:r>
              <w:rPr>
                <w:rFonts w:ascii="Arial" w:cs="Arial" w:eastAsia="Arial" w:hAnsi="Arial"/>
                <w:sz w:val="16"/>
                <w:szCs w:val="16"/>
                <w:color w:val="auto"/>
              </w:rPr>
              <w:t>approximately $5.6 billion as of December 31, 2022. The decrease</w:t>
            </w: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340"/>
              <w:spacing w:after="0"/>
              <w:rPr>
                <w:sz w:val="20"/>
                <w:szCs w:val="20"/>
                <w:color w:val="auto"/>
              </w:rPr>
            </w:pPr>
            <w:r>
              <w:rPr>
                <w:rFonts w:ascii="Arial" w:cs="Arial" w:eastAsia="Arial" w:hAnsi="Arial"/>
                <w:sz w:val="16"/>
                <w:szCs w:val="16"/>
                <w:color w:val="auto"/>
              </w:rPr>
              <w:t>was primarily due to consideration paid for our acquisition of Reata</w:t>
            </w: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00" w:type="dxa"/>
            <w:vAlign w:val="bottom"/>
          </w:tcPr>
          <w:p>
            <w:pPr>
              <w:ind w:left="340"/>
              <w:spacing w:after="0"/>
              <w:rPr>
                <w:sz w:val="20"/>
                <w:szCs w:val="20"/>
                <w:color w:val="auto"/>
              </w:rPr>
            </w:pPr>
            <w:r>
              <w:rPr>
                <w:rFonts w:ascii="Arial" w:cs="Arial" w:eastAsia="Arial" w:hAnsi="Arial"/>
                <w:sz w:val="16"/>
                <w:szCs w:val="16"/>
                <w:color w:val="auto"/>
              </w:rPr>
              <w:t>in September 2023.</w:t>
            </w:r>
          </w:p>
        </w:tc>
        <w:tc>
          <w:tcPr>
            <w:tcW w:w="5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0070C0"/>
        </w:rPr>
        <w:t>RECENT DEVELOPMENTS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0070C0"/>
        </w:rPr>
        <w:t>ACQUISITIONS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REATA</w:t>
      </w:r>
    </w:p>
    <w:p>
      <w:pPr>
        <w:spacing w:after="0" w:line="98"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color w:val="auto"/>
        </w:rPr>
        <w:t>On September 26, 2023, we completed the acquisition of all of the issued and outstanding shares of Reata, a biopharmaceutical company focused on developing therapeutics that regulate cellular metabolism and inflammation in serious neurologic diseases. As a result of this transaction we acquired SKYCLARYS, the first and only drug approved by the FDA for the treatment of Friedreich's Ataxia in adults and adolescents aged 16 years and older, as well as other clinical and preclinical pipeline programs.</w:t>
      </w:r>
    </w:p>
    <w:p>
      <w:pPr>
        <w:spacing w:after="0" w:line="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Under the terms of this acquisition, we paid Reata shareholders $172.50 in cash for each issued and outstanding Reata share, which totaled approximately $6.6 billion. In addition, we agreed to pay approximately $ 983.9 million in cash for Reata's outstanding equity awards, inclusive of employer taxes, of which approximately $ 590.5 million was attributable to pre-acquisition services and is therefore reflected as a component of total purchase price paid. Of the $983.9 million paid to Reata's equity award holders, we recognized approximately $393.4 million as compensation attributable to the post-acquisition service period, of which</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$196.4 million was recognized as a charge to selling, general and administrative expense with the remaining $197.0 million as a charge to research and development expense within our condensed consolidated statements of income </w:t>
      </w:r>
      <w:r>
        <w:rPr>
          <w:rFonts w:ascii="Arial" w:cs="Arial" w:eastAsia="Arial" w:hAnsi="Arial"/>
          <w:sz w:val="18"/>
          <w:szCs w:val="18"/>
          <w:color w:val="auto"/>
        </w:rPr>
        <w:t>for the three and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2023</w:t>
      </w:r>
      <w:r>
        <w:rPr>
          <w:rFonts w:ascii="Arial" w:cs="Arial" w:eastAsia="Arial" w:hAnsi="Arial"/>
          <w:sz w:val="18"/>
          <w:szCs w:val="18"/>
          <w:b w:val="1"/>
          <w:bCs w:val="1"/>
          <w:color w:val="auto"/>
        </w:rPr>
        <w:t>. These amounts were associated with the accelerated vesting of stock options and RSUs</w:t>
      </w:r>
      <w:r>
        <w:rPr>
          <w:rFonts w:ascii="Arial" w:cs="Arial" w:eastAsia="Arial" w:hAnsi="Arial"/>
          <w:sz w:val="18"/>
          <w:szCs w:val="18"/>
          <w:color w:val="auto"/>
        </w:rPr>
        <w:t xml:space="preserve"> </w:t>
      </w:r>
      <w:r>
        <w:rPr>
          <w:rFonts w:ascii="Arial" w:cs="Arial" w:eastAsia="Arial" w:hAnsi="Arial"/>
          <w:sz w:val="18"/>
          <w:szCs w:val="18"/>
          <w:b w:val="1"/>
          <w:bCs w:val="1"/>
          <w:color w:val="auto"/>
        </w:rPr>
        <w:t>previously granted to Reata employees and required no future services to vest. Approximately $980.0 million of the $983.9 million payment to the equity award holders was made in October 2023.</w:t>
      </w:r>
    </w:p>
    <w:p>
      <w:pPr>
        <w:spacing w:after="0" w:line="62"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condensed consolidated financial statements included in this report.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0070C0"/>
        </w:rPr>
        <w:t>DEVELOPMENTS IN KEY COLLABORATIVE RELATIONSHIPS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2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July 2023 the FDA granted traditional approval of LEQEMBI, an anti-amyloid antibody for the treatment of Alzheimer's disease, which was previously granted accelerated approval by the FDA in January 2023. Following the FDA's traditional approval of LEQEMBI, CMS confirmed broader coverage of LEQEMBI.</w:t>
      </w:r>
    </w:p>
    <w:p>
      <w:pPr>
        <w:spacing w:after="0" w:line="76"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Additionally, in March 2023 Eisai announced that the U.S. Veteran's Health Administration will be providing coverage of LEQEMBI to veterans living with early stages of Alzheimer's disease.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during 2023 consisted of the following:</w:t>
      </w:r>
    </w:p>
    <w:p>
      <w:pPr>
        <w:spacing w:after="0" w:line="117"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0070C0"/>
        </w:rPr>
      </w:pPr>
      <w:r>
        <w:rPr>
          <w:rFonts w:ascii="Arial" w:cs="Arial" w:eastAsia="Arial" w:hAnsi="Arial"/>
          <w:sz w:val="18"/>
          <w:szCs w:val="18"/>
          <w:color w:val="auto"/>
        </w:rPr>
        <w:t>In September 2023 the Japanese Ministry of Health, Labor and Welfare approved LEQEMBI in Japan.</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23"/>
        </w:numPr>
        <w:rPr>
          <w:rFonts w:ascii="Arial" w:cs="Arial" w:eastAsia="Arial" w:hAnsi="Arial"/>
          <w:sz w:val="18"/>
          <w:szCs w:val="18"/>
          <w:color w:val="0070C0"/>
        </w:rPr>
      </w:pPr>
      <w:r>
        <w:rPr>
          <w:rFonts w:ascii="Arial" w:cs="Arial" w:eastAsia="Arial" w:hAnsi="Arial"/>
          <w:sz w:val="18"/>
          <w:szCs w:val="18"/>
          <w:color w:val="auto"/>
        </w:rPr>
        <w:t>In January 2023 the EMA accepted for review the MAA for lecanemab.</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23"/>
        </w:numPr>
        <w:rPr>
          <w:rFonts w:ascii="Arial" w:cs="Arial" w:eastAsia="Arial" w:hAnsi="Arial"/>
          <w:sz w:val="18"/>
          <w:szCs w:val="18"/>
          <w:color w:val="0070C0"/>
        </w:rPr>
      </w:pPr>
      <w:r>
        <w:rPr>
          <w:rFonts w:ascii="Arial" w:cs="Arial" w:eastAsia="Arial" w:hAnsi="Arial"/>
          <w:sz w:val="18"/>
          <w:szCs w:val="18"/>
          <w:color w:val="auto"/>
        </w:rPr>
        <w:t>In February 2023 the BLA for lecanemab was granted Priority Review by the NMPA of China.</w:t>
      </w:r>
    </w:p>
    <w:p>
      <w:pPr>
        <w:spacing w:after="0" w:line="117" w:lineRule="exact"/>
        <w:rPr>
          <w:rFonts w:ascii="Arial" w:cs="Arial" w:eastAsia="Arial" w:hAnsi="Arial"/>
          <w:sz w:val="18"/>
          <w:szCs w:val="18"/>
          <w:color w:val="0070C0"/>
        </w:rPr>
      </w:pPr>
    </w:p>
    <w:p>
      <w:pPr>
        <w:ind w:left="340" w:hanging="332"/>
        <w:spacing w:after="0" w:line="263" w:lineRule="auto"/>
        <w:tabs>
          <w:tab w:leader="none" w:pos="295" w:val="left"/>
        </w:tabs>
        <w:numPr>
          <w:ilvl w:val="0"/>
          <w:numId w:val="23"/>
        </w:numPr>
        <w:rPr>
          <w:rFonts w:ascii="Arial" w:cs="Arial" w:eastAsia="Arial" w:hAnsi="Arial"/>
          <w:sz w:val="18"/>
          <w:szCs w:val="18"/>
          <w:color w:val="0070C0"/>
        </w:rPr>
      </w:pPr>
      <w:r>
        <w:rPr>
          <w:rFonts w:ascii="Arial" w:cs="Arial" w:eastAsia="Arial" w:hAnsi="Arial"/>
          <w:sz w:val="18"/>
          <w:szCs w:val="18"/>
          <w:color w:val="auto"/>
        </w:rPr>
        <w:t>In May 2023 we and Eisai announced the submission of a MAA for lecanemab to the UK MHRA in Great Britain, which has been designated by the MHRA for the Innovative Licensing and Access Pathway. Additionally, in May 2023 Health Canada accepted for review the NDS for lecanemab.</w:t>
      </w:r>
    </w:p>
    <w:p>
      <w:pPr>
        <w:spacing w:after="0" w:line="75" w:lineRule="exact"/>
        <w:rPr>
          <w:rFonts w:ascii="Arial" w:cs="Arial" w:eastAsia="Arial" w:hAnsi="Arial"/>
          <w:sz w:val="18"/>
          <w:szCs w:val="18"/>
          <w:color w:val="0070C0"/>
        </w:rPr>
      </w:pPr>
    </w:p>
    <w:p>
      <w:pPr>
        <w:ind w:left="280" w:hanging="272"/>
        <w:spacing w:after="0"/>
        <w:tabs>
          <w:tab w:leader="none" w:pos="280" w:val="left"/>
        </w:tabs>
        <w:numPr>
          <w:ilvl w:val="0"/>
          <w:numId w:val="23"/>
        </w:numPr>
        <w:rPr>
          <w:rFonts w:ascii="Arial" w:cs="Arial" w:eastAsia="Arial" w:hAnsi="Arial"/>
          <w:sz w:val="18"/>
          <w:szCs w:val="18"/>
          <w:color w:val="0070C0"/>
        </w:rPr>
      </w:pPr>
      <w:r>
        <w:rPr>
          <w:rFonts w:ascii="Arial" w:cs="Arial" w:eastAsia="Arial" w:hAnsi="Arial"/>
          <w:sz w:val="18"/>
          <w:szCs w:val="18"/>
          <w:color w:val="auto"/>
        </w:rPr>
        <w:t>In June 2023 we and Eisai announced the submission of a MAA for lecanemab to the Ministry of Food and Drug Safety in South Korea.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ZURZUVAE (zuranolone)</w:t>
      </w:r>
    </w:p>
    <w:p>
      <w:pPr>
        <w:spacing w:after="0" w:line="1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August 2023 the FDA approved ZURZUVAE for adults with PPD, pending DEA scheduling, which was completed in October 2023. Upon approval, ZURZUVAE became the first and only oral, once-daily, 14-day treatment that can provide rapid improvements in depressive symptoms by day 15 for women with PPD. We expect ZURZUVAE for PPD to be commercially available beginning in the fourth quarter of 2023. Additionally, the FDA issued a CRL for the NDA for zuranolone in the treatment of adults with MDD. The CRL stated that the application did not provide substantial evidence of effectiveness to support the approval of zuranolone for the treatment of MDD and that an additional study or studies would be needed. We and Sage are reviewing the feedback and evaluating next steps.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0070C0"/>
        </w:rPr>
        <w:t>OTHER KEY DEVELOPMENTS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FIT FOR GROWTH</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July 2023 we announced a new Fit for Growth program which is expected to generate approximately $1.0 billion in gross operating expense savings by 2025, some of which will be reinvested in various initiatives. The Fit for Growth program is currently estimated to include net headcount reduction of approximately 1,000 employees.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QALSODY (tofersen)</w:t>
      </w:r>
    </w:p>
    <w:p>
      <w:pPr>
        <w:spacing w:after="0" w:line="10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April 2023 the FDA approved QALSODY for the treatment of ALS in adults who have a mutation in the SOD1 gene. This indication is approved under accelerated approval based on reduction in plasma neurofilament light chain observed in patients treated with QALSODY. Continued approval for this indication may be contingent upon verification of clinical benefit in confirmatory trial(s).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COLUMVI (glofitamab)</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June 2023 the FDA approved COLUMVI for the treatment of adult patients with B-cell non-Hodgkin's lymphoma. This indication is approved under accelerated approval based on response rate and durability of response in the Phase 1/2 study. Continued approval for this indication may be contingent upon verification and description of clinical benefit in confirmatory trial.</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TECFIDERA</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2023 the CJEU decided in favor of Biogen, the EMA and the EC in their appeal of a European General Court decision that had annulled the EMA's refusal to evaluate a generic version of TECFIDERA because of TECFIDERA's regulatory data and marketing protection. The CJEU set aside the General Court's judgment and dismissed the generic's action. On the basis of this favorable decision and the EC determination in May 2023 that TECFIDERA is entitled to an additional year of market protection for its pediatric indication, we believe that TECFIDERA is entitled to regulatory marketing protection in the E.U. until at least February 2, 2025, and are seeking to enforce this protection. As of September 30, 2023, some of the TECFIDERA generics have not yet fully exited some of the E.U. markets and some generic products remain in the channel. We expect removal of generics from the market will take additional time. We are closely monitoring this situation and working to enforce our legal right to market protection. In addition, we will continue to enforce our EP 2 653 873 patent related to TECFIDERA, which expires in 2028.</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TOFIDENCE (referencing ACTEMRA)</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In September 2023 we announced that the FDA approved TOFIDENCE, a tocilizumab biosimilar referencing ACTEMRA, for the treatment of severe, active and progressive rheumatoid arthritis.</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DENALI COLLABORATION</w:t>
      </w:r>
    </w:p>
    <w:p>
      <w:pPr>
        <w:spacing w:after="0" w:line="10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 June 2023 we and Denali announced plans to terminate the Phase 3 LIGHTHOUSE study for BIIB122, a small molecule inhibitor of LRRK2 in Parkinson's disease. The protocol for the Phase 2b LUMA study for BIIB122 in patients with early-stage Parkinson’s disease was amended to now include eligible patients with a LRRK2 genetic mutation in addition to continuing to enroll eligible patients with early-stage idiopathic Parkinson’s disease.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0070C0"/>
        </w:rPr>
        <w:t>DISCONTINUED PROGRAMS AND STUDIES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EMBARK STUDY</w:t>
      </w:r>
    </w:p>
    <w:p>
      <w:pPr>
        <w:spacing w:after="0" w:line="108"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In September 2023 we discontinued our EMBARK study for aducanumab. In connection with this discontinuation we accrued termination costs of approximately $37.2 million in research and development expense within our condensed consolidated statements of income for the three and nine months ended September 30, 2023</w:t>
      </w:r>
      <w:r>
        <w:rPr>
          <w:rFonts w:ascii="Arial" w:cs="Arial" w:eastAsia="Arial" w:hAnsi="Arial"/>
          <w:sz w:val="18"/>
          <w:szCs w:val="18"/>
          <w:b w:val="1"/>
          <w:bCs w:val="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BIIB093</w:t>
      </w:r>
    </w:p>
    <w:p>
      <w:pPr>
        <w:spacing w:after="0" w:line="10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April 2023 we announced that we will be terminating the development of BIIB093 (glibenclamide IV), currently in a Phase 3 study for large hemispheric infarction and a Phase 2 study for brain contusion, due to operational challenges and other strategic considerations. In connection with this termination, we recorded close-out costs of approximately $13.2 million in research and development expense within our condensed consolidated statements of income for the nine months ended September 30, 2023.</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BIIB131</w:t>
      </w:r>
    </w:p>
    <w:p>
      <w:pPr>
        <w:spacing w:after="0" w:line="10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In April 2023 we announced that we will be pausing the initiation of a Phase 2b study for BIIB131 (TMS-007) for acute ischemic stroke and will continue to assess whether to initiate this study.</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auto"/>
        </w:rPr>
        <w:t>BIIB132</w:t>
      </w:r>
    </w:p>
    <w:p>
      <w:pPr>
        <w:spacing w:after="0" w:line="108"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In April 2023 we announced that we will be discontinuing further development of BIIB132 in spinocerebellar ataxia type 3, as part of our ongoing research and development prioritization initiative.</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color w:val="00587F"/>
        </w:rPr>
        <w:t>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0070C0"/>
        </w:rPr>
        <w:t>REVENUE</w:t>
      </w:r>
    </w:p>
    <w:p>
      <w:pPr>
        <w:spacing w:after="0" w:line="10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 xml:space="preserve">The following revenue discussion should be read in conjunction with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condensed consolidated financial statements included in this report.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Revenue is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r>
      <w:tr>
        <w:trPr>
          <w:trHeight w:val="197"/>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2023</w:t>
            </w:r>
          </w:p>
        </w:tc>
        <w:tc>
          <w:tcPr>
            <w:tcW w:w="64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0070C0"/>
                <w:w w:val="98"/>
              </w:rPr>
              <w:t>$ Change</w:t>
            </w:r>
          </w:p>
        </w:tc>
        <w:tc>
          <w:tcPr>
            <w:tcW w:w="100" w:type="dxa"/>
            <w:vAlign w:val="bottom"/>
          </w:tcPr>
          <w:p>
            <w:pPr>
              <w:spacing w:after="0"/>
              <w:rPr>
                <w:sz w:val="17"/>
                <w:szCs w:val="17"/>
                <w:color w:val="auto"/>
              </w:rPr>
            </w:pPr>
          </w:p>
        </w:tc>
        <w:tc>
          <w:tcPr>
            <w:tcW w:w="1180" w:type="dxa"/>
            <w:vAlign w:val="bottom"/>
            <w:tcBorders>
              <w:bottom w:val="single" w:sz="8" w:color="auto"/>
            </w:tcBorders>
            <w:gridSpan w:val="2"/>
            <w:shd w:val="clear" w:color="auto" w:fill="DBDBDB"/>
          </w:tcPr>
          <w:p>
            <w:pPr>
              <w:jc w:val="right"/>
              <w:ind w:right="168"/>
              <w:spacing w:after="0"/>
              <w:rPr>
                <w:sz w:val="20"/>
                <w:szCs w:val="20"/>
                <w:color w:val="auto"/>
              </w:rPr>
            </w:pPr>
            <w:r>
              <w:rPr>
                <w:rFonts w:ascii="Arial" w:cs="Arial" w:eastAsia="Arial" w:hAnsi="Arial"/>
                <w:sz w:val="14"/>
                <w:szCs w:val="14"/>
                <w:b w:val="1"/>
                <w:bCs w:val="1"/>
                <w:color w:val="0070C0"/>
              </w:rPr>
              <w:t>% Change</w:t>
            </w:r>
          </w:p>
        </w:tc>
      </w:tr>
      <w:tr>
        <w:trPr>
          <w:trHeight w:val="191"/>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Product revenue:</w:t>
            </w:r>
          </w:p>
        </w:tc>
        <w:tc>
          <w:tcPr>
            <w:tcW w:w="30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r>
      <w:tr>
        <w:trPr>
          <w:trHeight w:val="208"/>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790.9</w:t>
            </w:r>
          </w:p>
        </w:tc>
        <w:tc>
          <w:tcPr>
            <w:tcW w:w="120" w:type="dxa"/>
            <w:vAlign w:val="bottom"/>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31.3</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850.4</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33.9 %</w:t>
            </w:r>
          </w:p>
        </w:tc>
        <w:tc>
          <w:tcPr>
            <w:tcW w:w="100" w:type="dxa"/>
            <w:vAlign w:val="bottom"/>
          </w:tcPr>
          <w:p>
            <w:pPr>
              <w:spacing w:after="0"/>
              <w:rPr>
                <w:sz w:val="18"/>
                <w:szCs w:val="18"/>
                <w:color w:val="auto"/>
              </w:rPr>
            </w:pP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(59.5)</w:t>
            </w:r>
          </w:p>
        </w:tc>
        <w:tc>
          <w:tcPr>
            <w:tcW w:w="100" w:type="dxa"/>
            <w:vAlign w:val="bottom"/>
          </w:tcPr>
          <w:p>
            <w:pPr>
              <w:spacing w:after="0"/>
              <w:rPr>
                <w:sz w:val="18"/>
                <w:szCs w:val="18"/>
                <w:color w:val="auto"/>
              </w:rPr>
            </w:pP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(7.0)%</w:t>
            </w:r>
          </w:p>
        </w:tc>
      </w:tr>
      <w:tr>
        <w:trPr>
          <w:trHeight w:val="197"/>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30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1,014.3</w:t>
            </w:r>
          </w:p>
        </w:tc>
        <w:tc>
          <w:tcPr>
            <w:tcW w:w="120" w:type="dxa"/>
            <w:vAlign w:val="bottom"/>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40.1</w:t>
            </w:r>
          </w:p>
        </w:tc>
        <w:tc>
          <w:tcPr>
            <w:tcW w:w="140" w:type="dxa"/>
            <w:vAlign w:val="bottom"/>
            <w:tcBorders>
              <w:bottom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1,111.7</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(97.4)</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(8.8)</w:t>
            </w:r>
          </w:p>
        </w:tc>
        <w:tc>
          <w:tcPr>
            <w:tcW w:w="140" w:type="dxa"/>
            <w:vAlign w:val="bottom"/>
            <w:tcBorders>
              <w:bottom w:val="single" w:sz="8" w:color="auto"/>
            </w:tcBorders>
            <w:shd w:val="clear" w:color="auto" w:fill="DBDBDB"/>
          </w:tcPr>
          <w:p>
            <w:pPr>
              <w:spacing w:after="0"/>
              <w:rPr>
                <w:sz w:val="17"/>
                <w:szCs w:val="17"/>
                <w:color w:val="auto"/>
              </w:rPr>
            </w:pPr>
          </w:p>
        </w:tc>
      </w:tr>
      <w:tr>
        <w:trPr>
          <w:trHeight w:val="190"/>
        </w:trPr>
        <w:tc>
          <w:tcPr>
            <w:tcW w:w="3980" w:type="dxa"/>
            <w:vAlign w:val="bottom"/>
            <w:gridSpan w:val="2"/>
          </w:tcPr>
          <w:p>
            <w:pPr>
              <w:ind w:left="360"/>
              <w:spacing w:after="0"/>
              <w:rPr>
                <w:sz w:val="20"/>
                <w:szCs w:val="20"/>
                <w:color w:val="auto"/>
              </w:rPr>
            </w:pPr>
            <w:r>
              <w:rPr>
                <w:rFonts w:ascii="Arial" w:cs="Arial" w:eastAsia="Arial" w:hAnsi="Arial"/>
                <w:sz w:val="14"/>
                <w:szCs w:val="14"/>
                <w:color w:val="auto"/>
              </w:rPr>
              <w:t>Total product revenue</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1,805.2</w:t>
            </w:r>
          </w:p>
        </w:tc>
        <w:tc>
          <w:tcPr>
            <w:tcW w:w="120" w:type="dxa"/>
            <w:vAlign w:val="bottom"/>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71.4</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1,962.1</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(156.9)</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0070C0"/>
              </w:rPr>
              <w:t>(8.0)</w:t>
            </w:r>
          </w:p>
        </w:tc>
        <w:tc>
          <w:tcPr>
            <w:tcW w:w="140" w:type="dxa"/>
            <w:vAlign w:val="bottom"/>
            <w:shd w:val="clear" w:color="auto" w:fill="DBDBDB"/>
          </w:tcPr>
          <w:p>
            <w:pPr>
              <w:spacing w:after="0"/>
              <w:rPr>
                <w:sz w:val="16"/>
                <w:szCs w:val="16"/>
                <w:color w:val="auto"/>
              </w:rPr>
            </w:pPr>
          </w:p>
        </w:tc>
      </w:tr>
      <w:tr>
        <w:trPr>
          <w:trHeight w:val="20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420.9</w:t>
            </w:r>
          </w:p>
        </w:tc>
        <w:tc>
          <w:tcPr>
            <w:tcW w:w="120" w:type="dxa"/>
            <w:vAlign w:val="bottom"/>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16.6</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416.9</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4.0</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0070C0"/>
              </w:rPr>
              <w:t>1.0</w:t>
            </w:r>
          </w:p>
        </w:tc>
        <w:tc>
          <w:tcPr>
            <w:tcW w:w="140" w:type="dxa"/>
            <w:vAlign w:val="bottom"/>
            <w:shd w:val="clear" w:color="auto" w:fill="DBDBDB"/>
          </w:tcPr>
          <w:p>
            <w:pPr>
              <w:spacing w:after="0"/>
              <w:rPr>
                <w:sz w:val="17"/>
                <w:szCs w:val="17"/>
                <w:color w:val="auto"/>
              </w:rPr>
            </w:pPr>
          </w:p>
        </w:tc>
      </w:tr>
      <w:tr>
        <w:trPr>
          <w:trHeight w:val="208"/>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30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304.2</w:t>
            </w:r>
          </w:p>
        </w:tc>
        <w:tc>
          <w:tcPr>
            <w:tcW w:w="120" w:type="dxa"/>
            <w:vAlign w:val="bottom"/>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12.0</w:t>
            </w:r>
          </w:p>
        </w:tc>
        <w:tc>
          <w:tcPr>
            <w:tcW w:w="140" w:type="dxa"/>
            <w:vAlign w:val="bottom"/>
            <w:tcBorders>
              <w:bottom w:val="single" w:sz="8" w:color="auto"/>
            </w:tcBorders>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174.7</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134.9</w:t>
            </w:r>
          </w:p>
        </w:tc>
        <w:tc>
          <w:tcPr>
            <w:tcW w:w="140" w:type="dxa"/>
            <w:vAlign w:val="bottom"/>
            <w:tcBorders>
              <w:bottom w:val="single" w:sz="8" w:color="auto"/>
            </w:tcBorders>
            <w:shd w:val="clear" w:color="auto" w:fill="DBDBDB"/>
          </w:tcPr>
          <w:p>
            <w:pPr>
              <w:spacing w:after="0"/>
              <w:rPr>
                <w:sz w:val="18"/>
                <w:szCs w:val="18"/>
                <w:color w:val="auto"/>
              </w:rPr>
            </w:pPr>
          </w:p>
        </w:tc>
      </w:tr>
      <w:tr>
        <w:trPr>
          <w:trHeight w:val="222"/>
        </w:trPr>
        <w:tc>
          <w:tcPr>
            <w:tcW w:w="398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2,530.3</w:t>
            </w:r>
          </w:p>
        </w:tc>
        <w:tc>
          <w:tcPr>
            <w:tcW w:w="120" w:type="dxa"/>
            <w:vAlign w:val="bottom"/>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2,508.5</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w w:val="76"/>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0070C0"/>
              </w:rPr>
              <w:t>0.9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-822325</wp:posOffset>
            </wp:positionV>
            <wp:extent cx="660400" cy="8058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0400" cy="80581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10"/>
          </w:tcPr>
          <w:p>
            <w:pPr>
              <w:ind w:left="620"/>
              <w:spacing w:after="0"/>
              <w:rPr>
                <w:sz w:val="20"/>
                <w:szCs w:val="20"/>
                <w:color w:val="auto"/>
              </w:rPr>
            </w:pPr>
            <w:r>
              <w:rPr>
                <w:rFonts w:ascii="Arial" w:cs="Arial" w:eastAsia="Arial" w:hAnsi="Arial"/>
                <w:sz w:val="14"/>
                <w:szCs w:val="14"/>
                <w:b w:val="1"/>
                <w:bCs w:val="1"/>
                <w:color w:val="auto"/>
              </w:rPr>
              <w:t>For the Nine Months Ended September 30,</w:t>
            </w: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2023</w:t>
            </w:r>
          </w:p>
        </w:tc>
        <w:tc>
          <w:tcPr>
            <w:tcW w:w="64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7"/>
                <w:szCs w:val="17"/>
                <w:color w:val="auto"/>
              </w:rPr>
            </w:pPr>
          </w:p>
        </w:tc>
        <w:tc>
          <w:tcPr>
            <w:tcW w:w="118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b w:val="1"/>
                <w:bCs w:val="1"/>
                <w:color w:val="0070C0"/>
              </w:rPr>
              <w:t>% Change</w:t>
            </w:r>
          </w:p>
        </w:tc>
      </w:tr>
      <w:tr>
        <w:trPr>
          <w:trHeight w:val="185"/>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Product revenue:</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shd w:val="clear" w:color="auto" w:fill="DBDBDB"/>
          </w:tcPr>
          <w:p>
            <w:pPr>
              <w:spacing w:after="0"/>
              <w:rPr>
                <w:sz w:val="16"/>
                <w:szCs w:val="16"/>
                <w:color w:val="auto"/>
              </w:rPr>
            </w:pPr>
          </w:p>
        </w:tc>
      </w:tr>
      <w:tr>
        <w:trPr>
          <w:trHeight w:val="215"/>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2,293.3</w:t>
            </w:r>
          </w:p>
        </w:tc>
        <w:tc>
          <w:tcPr>
            <w:tcW w:w="120" w:type="dxa"/>
            <w:vAlign w:val="bottom"/>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30.8</w:t>
            </w:r>
          </w:p>
        </w:tc>
        <w:tc>
          <w:tcPr>
            <w:tcW w:w="140" w:type="dxa"/>
            <w:vAlign w:val="bottom"/>
            <w:shd w:val="clear" w:color="auto" w:fill="DBDBDB"/>
          </w:tcPr>
          <w:p>
            <w:pPr>
              <w:spacing w:after="0"/>
              <w:rPr>
                <w:sz w:val="20"/>
                <w:szCs w:val="20"/>
                <w:color w:val="auto"/>
              </w:rPr>
            </w:pPr>
            <w:r>
              <w:rPr>
                <w:rFonts w:ascii="Arial" w:cs="Arial" w:eastAsia="Arial" w:hAnsi="Arial"/>
                <w:sz w:val="14"/>
                <w:szCs w:val="14"/>
                <w:color w:val="257ACB"/>
                <w:w w:val="96"/>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2,619.7</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34.3 %</w:t>
            </w:r>
          </w:p>
        </w:tc>
        <w:tc>
          <w:tcPr>
            <w:tcW w:w="100" w:type="dxa"/>
            <w:vAlign w:val="bottom"/>
          </w:tcPr>
          <w:p>
            <w:pPr>
              <w:spacing w:after="0"/>
              <w:rPr>
                <w:sz w:val="18"/>
                <w:szCs w:val="18"/>
                <w:color w:val="auto"/>
              </w:rPr>
            </w:pPr>
          </w:p>
        </w:tc>
        <w:tc>
          <w:tcPr>
            <w:tcW w:w="1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w w:val="76"/>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(326.4)</w:t>
            </w:r>
          </w:p>
        </w:tc>
        <w:tc>
          <w:tcPr>
            <w:tcW w:w="100" w:type="dxa"/>
            <w:vAlign w:val="bottom"/>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(12.5)%</w:t>
            </w:r>
          </w:p>
        </w:tc>
      </w:tr>
      <w:tr>
        <w:trPr>
          <w:trHeight w:val="197"/>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Rest of world</w:t>
            </w:r>
          </w:p>
        </w:tc>
        <w:tc>
          <w:tcPr>
            <w:tcW w:w="30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3,121.0</w:t>
            </w:r>
          </w:p>
        </w:tc>
        <w:tc>
          <w:tcPr>
            <w:tcW w:w="120" w:type="dxa"/>
            <w:vAlign w:val="bottom"/>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41.9</w:t>
            </w:r>
          </w:p>
        </w:tc>
        <w:tc>
          <w:tcPr>
            <w:tcW w:w="140" w:type="dxa"/>
            <w:vAlign w:val="bottom"/>
            <w:tcBorders>
              <w:bottom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3,463.6</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(342.6)</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0070C0"/>
              </w:rPr>
              <w:t>(9.9)</w:t>
            </w:r>
          </w:p>
        </w:tc>
      </w:tr>
      <w:tr>
        <w:trPr>
          <w:trHeight w:val="190"/>
        </w:trPr>
        <w:tc>
          <w:tcPr>
            <w:tcW w:w="3980" w:type="dxa"/>
            <w:vAlign w:val="bottom"/>
            <w:gridSpan w:val="3"/>
          </w:tcPr>
          <w:p>
            <w:pPr>
              <w:ind w:left="360"/>
              <w:spacing w:after="0"/>
              <w:rPr>
                <w:sz w:val="20"/>
                <w:szCs w:val="20"/>
                <w:color w:val="auto"/>
              </w:rPr>
            </w:pPr>
            <w:r>
              <w:rPr>
                <w:rFonts w:ascii="Arial" w:cs="Arial" w:eastAsia="Arial" w:hAnsi="Arial"/>
                <w:sz w:val="14"/>
                <w:szCs w:val="14"/>
                <w:color w:val="auto"/>
              </w:rPr>
              <w:t>Total product revenue</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5,414.3</w:t>
            </w:r>
          </w:p>
        </w:tc>
        <w:tc>
          <w:tcPr>
            <w:tcW w:w="120" w:type="dxa"/>
            <w:vAlign w:val="bottom"/>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72.7</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6,083.3</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(669.0)</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0070C0"/>
              </w:rPr>
              <w:t>(11.0)</w:t>
            </w:r>
          </w:p>
        </w:tc>
      </w:tr>
      <w:tr>
        <w:trPr>
          <w:trHeight w:val="20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1,253.8</w:t>
            </w:r>
          </w:p>
        </w:tc>
        <w:tc>
          <w:tcPr>
            <w:tcW w:w="120" w:type="dxa"/>
            <w:vAlign w:val="bottom"/>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16.8</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1,252.6</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w:t>
            </w:r>
          </w:p>
        </w:tc>
        <w:tc>
          <w:tcPr>
            <w:tcW w:w="10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0070C0"/>
              </w:rPr>
              <w:t>0.1</w:t>
            </w:r>
          </w:p>
        </w:tc>
      </w:tr>
      <w:tr>
        <w:trPr>
          <w:trHeight w:val="208"/>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30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781.2</w:t>
            </w:r>
          </w:p>
        </w:tc>
        <w:tc>
          <w:tcPr>
            <w:tcW w:w="120" w:type="dxa"/>
            <w:vAlign w:val="bottom"/>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10.5</w:t>
            </w:r>
          </w:p>
        </w:tc>
        <w:tc>
          <w:tcPr>
            <w:tcW w:w="140" w:type="dxa"/>
            <w:vAlign w:val="bottom"/>
            <w:tcBorders>
              <w:bottom w:val="single" w:sz="8" w:color="auto"/>
            </w:tcBorders>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487.7</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070C0"/>
              </w:rPr>
              <w:t>166.2</w:t>
            </w:r>
          </w:p>
        </w:tc>
      </w:tr>
      <w:tr>
        <w:trPr>
          <w:trHeight w:val="222"/>
        </w:trPr>
        <w:tc>
          <w:tcPr>
            <w:tcW w:w="3980" w:type="dxa"/>
            <w:vAlign w:val="bottom"/>
            <w:gridSpan w:val="3"/>
          </w:tcPr>
          <w:p>
            <w:pPr>
              <w:ind w:left="36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7,449.3</w:t>
            </w:r>
          </w:p>
        </w:tc>
        <w:tc>
          <w:tcPr>
            <w:tcW w:w="120" w:type="dxa"/>
            <w:vAlign w:val="bottom"/>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40" w:type="dxa"/>
            <w:vAlign w:val="bottom"/>
            <w:shd w:val="clear" w:color="auto" w:fill="DBDBDB"/>
          </w:tcPr>
          <w:p>
            <w:pPr>
              <w:spacing w:after="0"/>
              <w:rPr>
                <w:sz w:val="20"/>
                <w:szCs w:val="20"/>
                <w:color w:val="auto"/>
              </w:rPr>
            </w:pPr>
            <w:r>
              <w:rPr>
                <w:rFonts w:ascii="Arial" w:cs="Arial" w:eastAsia="Arial" w:hAnsi="Arial"/>
                <w:sz w:val="14"/>
                <w:szCs w:val="14"/>
                <w:color w:val="257ACB"/>
                <w:w w:val="96"/>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7,629.4</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w w:val="76"/>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(180.1)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0070C0"/>
              </w:rPr>
              <w:t>(2.4)%</w:t>
            </w:r>
          </w:p>
        </w:tc>
      </w:tr>
      <w:tr>
        <w:trPr>
          <w:trHeight w:val="20"/>
        </w:trPr>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3800" w:type="dxa"/>
            <w:vAlign w:val="bottom"/>
            <w:tcBorders>
              <w:bottom w:val="single" w:sz="8" w:color="auto"/>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51"/>
        </w:trPr>
        <w:tc>
          <w:tcPr>
            <w:tcW w:w="3980" w:type="dxa"/>
            <w:vAlign w:val="bottom"/>
            <w:gridSpan w:val="3"/>
          </w:tcPr>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-1106170</wp:posOffset>
            </wp:positionV>
            <wp:extent cx="754380" cy="8058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54380" cy="80581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0070C0"/>
        </w:rPr>
        <w:t>PRODUCT REVENUE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4"/>
                <w:szCs w:val="14"/>
                <w:b w:val="1"/>
                <w:bCs w:val="1"/>
                <w:color w:val="auto"/>
              </w:rPr>
              <w:t>For the Three Months Ended September 30,</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gridSpan w:val="3"/>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2023</w:t>
            </w:r>
          </w:p>
        </w:tc>
        <w:tc>
          <w:tcPr>
            <w:tcW w:w="66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Rest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left="168"/>
              <w:spacing w:after="0" w:line="143" w:lineRule="exact"/>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20" w:type="dxa"/>
            <w:vAlign w:val="bottom"/>
            <w:shd w:val="clear" w:color="auto" w:fill="DBDBDB"/>
          </w:tcPr>
          <w:p>
            <w:pPr>
              <w:jc w:val="center"/>
              <w:ind w:right="48"/>
              <w:spacing w:after="0" w:line="143" w:lineRule="exact"/>
              <w:rPr>
                <w:sz w:val="20"/>
                <w:szCs w:val="20"/>
                <w:color w:val="auto"/>
              </w:rPr>
            </w:pPr>
            <w:r>
              <w:rPr>
                <w:rFonts w:ascii="Arial" w:cs="Arial" w:eastAsia="Arial" w:hAnsi="Arial"/>
                <w:sz w:val="14"/>
                <w:szCs w:val="14"/>
                <w:b w:val="1"/>
                <w:bCs w:val="1"/>
                <w:color w:val="0070C0"/>
              </w:rPr>
              <w:t>$</w:t>
            </w:r>
          </w:p>
        </w:tc>
        <w:tc>
          <w:tcPr>
            <w:tcW w:w="100" w:type="dxa"/>
            <w:vAlign w:val="bottom"/>
          </w:tcPr>
          <w:p>
            <w:pPr>
              <w:spacing w:after="0"/>
              <w:rPr>
                <w:sz w:val="12"/>
                <w:szCs w:val="12"/>
                <w:color w:val="auto"/>
              </w:rPr>
            </w:pPr>
          </w:p>
        </w:tc>
        <w:tc>
          <w:tcPr>
            <w:tcW w:w="88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9"/>
        </w:trPr>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Change</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631.8</w:t>
            </w:r>
          </w:p>
        </w:tc>
        <w:tc>
          <w:tcPr>
            <w:tcW w:w="120" w:type="dxa"/>
            <w:vAlign w:val="bottom"/>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527.2</w:t>
            </w:r>
          </w:p>
        </w:tc>
        <w:tc>
          <w:tcPr>
            <w:tcW w:w="100" w:type="dxa"/>
            <w:vAlign w:val="bottom"/>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1,159.0</w:t>
            </w:r>
          </w:p>
        </w:tc>
        <w:tc>
          <w:tcPr>
            <w:tcW w:w="100" w:type="dxa"/>
            <w:vAlign w:val="bottom"/>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64.2</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707.9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632.4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1,340.3</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68.3 %</w:t>
            </w:r>
          </w:p>
        </w:tc>
        <w:tc>
          <w:tcPr>
            <w:tcW w:w="100" w:type="dxa"/>
            <w:vAlign w:val="bottom"/>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(181.3)</w:t>
            </w:r>
          </w:p>
        </w:tc>
        <w:tc>
          <w:tcPr>
            <w:tcW w:w="100" w:type="dxa"/>
            <w:vAlign w:val="bottom"/>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(13.5)%</w:t>
            </w:r>
          </w:p>
        </w:tc>
        <w:tc>
          <w:tcPr>
            <w:tcW w:w="0" w:type="dxa"/>
            <w:vAlign w:val="bottom"/>
          </w:tcPr>
          <w:p>
            <w:pPr>
              <w:spacing w:after="0"/>
              <w:rPr>
                <w:sz w:val="1"/>
                <w:szCs w:val="1"/>
                <w:color w:val="auto"/>
              </w:rPr>
            </w:pPr>
          </w:p>
        </w:tc>
      </w:tr>
      <w:tr>
        <w:trPr>
          <w:trHeight w:val="190"/>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150.5</w:t>
            </w:r>
          </w:p>
        </w:tc>
        <w:tc>
          <w:tcPr>
            <w:tcW w:w="12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297.7</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448.2</w:t>
            </w:r>
          </w:p>
        </w:tc>
        <w:tc>
          <w:tcPr>
            <w:tcW w:w="100" w:type="dxa"/>
            <w:vAlign w:val="bottom"/>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24.8</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17.1</w:t>
            </w:r>
          </w:p>
        </w:tc>
        <w:tc>
          <w:tcPr>
            <w:tcW w:w="1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0070C0"/>
              </w:rPr>
              <w:t>4.0</w:t>
            </w:r>
          </w:p>
        </w:tc>
        <w:tc>
          <w:tcPr>
            <w:tcW w:w="0" w:type="dxa"/>
            <w:vAlign w:val="bottom"/>
          </w:tcPr>
          <w:p>
            <w:pPr>
              <w:spacing w:after="0"/>
              <w:rPr>
                <w:sz w:val="1"/>
                <w:szCs w:val="1"/>
                <w:color w:val="auto"/>
              </w:rPr>
            </w:pPr>
          </w:p>
        </w:tc>
      </w:tr>
      <w:tr>
        <w:trPr>
          <w:trHeight w:val="203"/>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w:t>
            </w:r>
          </w:p>
        </w:tc>
        <w:tc>
          <w:tcPr>
            <w:tcW w:w="12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188.2</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194.3</w:t>
            </w:r>
          </w:p>
        </w:tc>
        <w:tc>
          <w:tcPr>
            <w:tcW w:w="100" w:type="dxa"/>
            <w:vAlign w:val="bottom"/>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10.8</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187.6</w:t>
            </w:r>
          </w:p>
        </w:tc>
        <w:tc>
          <w:tcPr>
            <w:tcW w:w="1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6.7</w:t>
            </w:r>
          </w:p>
        </w:tc>
        <w:tc>
          <w:tcPr>
            <w:tcW w:w="1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0070C0"/>
              </w:rPr>
              <w:t>3.6</w:t>
            </w:r>
          </w:p>
        </w:tc>
        <w:tc>
          <w:tcPr>
            <w:tcW w:w="0" w:type="dxa"/>
            <w:vAlign w:val="bottom"/>
          </w:tcPr>
          <w:p>
            <w:pPr>
              <w:spacing w:after="0"/>
              <w:rPr>
                <w:sz w:val="1"/>
                <w:szCs w:val="1"/>
                <w:color w:val="auto"/>
              </w:rPr>
            </w:pPr>
          </w:p>
        </w:tc>
      </w:tr>
      <w:tr>
        <w:trPr>
          <w:trHeight w:val="215"/>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w:t>
            </w:r>
          </w:p>
        </w:tc>
        <w:tc>
          <w:tcPr>
            <w:tcW w:w="12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1.2</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3.7</w:t>
            </w:r>
          </w:p>
        </w:tc>
        <w:tc>
          <w:tcPr>
            <w:tcW w:w="10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0.2</w:t>
            </w:r>
          </w:p>
        </w:tc>
        <w:tc>
          <w:tcPr>
            <w:tcW w:w="140" w:type="dxa"/>
            <w:vAlign w:val="bottom"/>
            <w:tcBorders>
              <w:bottom w:val="single" w:sz="8" w:color="auto"/>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0.6</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070C0"/>
              </w:rPr>
              <w:t>19.4</w:t>
            </w:r>
          </w:p>
        </w:tc>
        <w:tc>
          <w:tcPr>
            <w:tcW w:w="0" w:type="dxa"/>
            <w:vAlign w:val="bottom"/>
          </w:tcPr>
          <w:p>
            <w:pPr>
              <w:spacing w:after="0"/>
              <w:rPr>
                <w:sz w:val="1"/>
                <w:szCs w:val="1"/>
                <w:color w:val="auto"/>
              </w:rPr>
            </w:pPr>
          </w:p>
        </w:tc>
      </w:tr>
      <w:tr>
        <w:trPr>
          <w:trHeight w:val="216"/>
        </w:trPr>
        <w:tc>
          <w:tcPr>
            <w:tcW w:w="1960" w:type="dxa"/>
            <w:vAlign w:val="bottom"/>
            <w:gridSpan w:val="2"/>
          </w:tcPr>
          <w:p>
            <w:pPr>
              <w:ind w:left="120"/>
              <w:spacing w:after="0"/>
              <w:rPr>
                <w:sz w:val="20"/>
                <w:szCs w:val="20"/>
                <w:color w:val="auto"/>
              </w:rPr>
            </w:pPr>
            <w:r>
              <w:rPr>
                <w:rFonts w:ascii="Arial" w:cs="Arial" w:eastAsia="Arial" w:hAnsi="Arial"/>
                <w:sz w:val="14"/>
                <w:szCs w:val="14"/>
                <w:color w:val="auto"/>
              </w:rPr>
              <w:t>Total product revenue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790.9</w:t>
            </w:r>
          </w:p>
        </w:tc>
        <w:tc>
          <w:tcPr>
            <w:tcW w:w="12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7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1,014.3</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1,805.2</w:t>
            </w:r>
          </w:p>
        </w:tc>
        <w:tc>
          <w:tcPr>
            <w:tcW w:w="10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100.0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1,962.1</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(156.9)</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(8.0)%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2"/>
          </w:tcPr>
          <w:p>
            <w:pPr>
              <w:jc w:val="center"/>
              <w:ind w:right="120"/>
              <w:spacing w:after="0"/>
              <w:rPr>
                <w:sz w:val="20"/>
                <w:szCs w:val="20"/>
                <w:color w:val="auto"/>
              </w:rPr>
            </w:pPr>
            <w:r>
              <w:rPr>
                <w:rFonts w:ascii="Arial" w:cs="Arial" w:eastAsia="Arial" w:hAnsi="Arial"/>
                <w:sz w:val="14"/>
                <w:szCs w:val="14"/>
                <w:color w:val="auto"/>
              </w:rPr>
              <w:t>For the Nine Months Ended September 30,</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gridSpan w:val="3"/>
            <w:shd w:val="clear" w:color="auto" w:fill="DDDDDD"/>
          </w:tcPr>
          <w:p>
            <w:pPr>
              <w:jc w:val="right"/>
              <w:ind w:right="28"/>
              <w:spacing w:after="0"/>
              <w:rPr>
                <w:sz w:val="20"/>
                <w:szCs w:val="20"/>
                <w:color w:val="auto"/>
              </w:rPr>
            </w:pPr>
            <w:r>
              <w:rPr>
                <w:rFonts w:ascii="Arial" w:cs="Arial" w:eastAsia="Arial" w:hAnsi="Arial"/>
                <w:sz w:val="14"/>
                <w:szCs w:val="14"/>
                <w:b w:val="1"/>
                <w:bCs w:val="1"/>
                <w:color w:val="257ACB"/>
              </w:rPr>
              <w:t>2023</w:t>
            </w:r>
          </w:p>
        </w:tc>
        <w:tc>
          <w:tcPr>
            <w:tcW w:w="66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72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40"/>
              <w:spacing w:after="0" w:line="143" w:lineRule="exact"/>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Rest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left="168"/>
              <w:spacing w:after="0" w:line="143" w:lineRule="exact"/>
              <w:rPr>
                <w:sz w:val="20"/>
                <w:szCs w:val="20"/>
                <w:color w:val="auto"/>
              </w:rPr>
            </w:pPr>
            <w:r>
              <w:rPr>
                <w:rFonts w:ascii="Arial" w:cs="Arial" w:eastAsia="Arial" w:hAnsi="Arial"/>
                <w:sz w:val="14"/>
                <w:szCs w:val="14"/>
                <w:b w:val="1"/>
                <w:bCs w:val="1"/>
                <w:color w:val="auto"/>
                <w:w w:val="96"/>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20" w:type="dxa"/>
            <w:vAlign w:val="bottom"/>
            <w:shd w:val="clear" w:color="auto" w:fill="DBDBDB"/>
          </w:tcPr>
          <w:p>
            <w:pPr>
              <w:jc w:val="center"/>
              <w:ind w:right="48"/>
              <w:spacing w:after="0" w:line="143" w:lineRule="exact"/>
              <w:rPr>
                <w:sz w:val="20"/>
                <w:szCs w:val="20"/>
                <w:color w:val="auto"/>
              </w:rPr>
            </w:pPr>
            <w:r>
              <w:rPr>
                <w:rFonts w:ascii="Arial" w:cs="Arial" w:eastAsia="Arial" w:hAnsi="Arial"/>
                <w:sz w:val="14"/>
                <w:szCs w:val="14"/>
                <w:b w:val="1"/>
                <w:bCs w:val="1"/>
                <w:color w:val="0070C0"/>
              </w:rPr>
              <w:t>$</w:t>
            </w:r>
          </w:p>
        </w:tc>
        <w:tc>
          <w:tcPr>
            <w:tcW w:w="100" w:type="dxa"/>
            <w:vAlign w:val="bottom"/>
          </w:tcPr>
          <w:p>
            <w:pPr>
              <w:spacing w:after="0"/>
              <w:rPr>
                <w:sz w:val="12"/>
                <w:szCs w:val="12"/>
                <w:color w:val="auto"/>
              </w:rPr>
            </w:pPr>
          </w:p>
        </w:tc>
        <w:tc>
          <w:tcPr>
            <w:tcW w:w="88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9"/>
        </w:trPr>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Change</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1,814.6</w:t>
            </w:r>
          </w:p>
        </w:tc>
        <w:tc>
          <w:tcPr>
            <w:tcW w:w="120" w:type="dxa"/>
            <w:vAlign w:val="bottom"/>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1,678.9</w:t>
            </w:r>
          </w:p>
        </w:tc>
        <w:tc>
          <w:tcPr>
            <w:tcW w:w="100" w:type="dxa"/>
            <w:vAlign w:val="bottom"/>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3,493.5</w:t>
            </w:r>
          </w:p>
        </w:tc>
        <w:tc>
          <w:tcPr>
            <w:tcW w:w="100" w:type="dxa"/>
            <w:vAlign w:val="bottom"/>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64.5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2,170.7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1,990.7</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4,161.4</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68.4 %</w:t>
            </w:r>
          </w:p>
        </w:tc>
        <w:tc>
          <w:tcPr>
            <w:tcW w:w="100" w:type="dxa"/>
            <w:vAlign w:val="bottom"/>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(667.9)</w:t>
            </w:r>
          </w:p>
        </w:tc>
        <w:tc>
          <w:tcPr>
            <w:tcW w:w="100" w:type="dxa"/>
            <w:vAlign w:val="bottom"/>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(16.0)%</w:t>
            </w:r>
          </w:p>
        </w:tc>
        <w:tc>
          <w:tcPr>
            <w:tcW w:w="0" w:type="dxa"/>
            <w:vAlign w:val="bottom"/>
          </w:tcPr>
          <w:p>
            <w:pPr>
              <w:spacing w:after="0"/>
              <w:rPr>
                <w:sz w:val="1"/>
                <w:szCs w:val="1"/>
                <w:color w:val="auto"/>
              </w:rPr>
            </w:pPr>
          </w:p>
        </w:tc>
      </w:tr>
      <w:tr>
        <w:trPr>
          <w:trHeight w:val="190"/>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Spinal Muscular Atrophy</w:t>
            </w: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453.0</w:t>
            </w:r>
          </w:p>
        </w:tc>
        <w:tc>
          <w:tcPr>
            <w:tcW w:w="12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875.6</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1,328.6</w:t>
            </w:r>
          </w:p>
        </w:tc>
        <w:tc>
          <w:tcPr>
            <w:tcW w:w="100" w:type="dxa"/>
            <w:vAlign w:val="bottom"/>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24.5</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443.3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1,334.7</w:t>
            </w:r>
          </w:p>
        </w:tc>
        <w:tc>
          <w:tcPr>
            <w:tcW w:w="1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(6.1)</w:t>
            </w:r>
          </w:p>
        </w:tc>
        <w:tc>
          <w:tcPr>
            <w:tcW w:w="1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0070C0"/>
              </w:rPr>
              <w:t>(0.5)</w:t>
            </w:r>
          </w:p>
        </w:tc>
        <w:tc>
          <w:tcPr>
            <w:tcW w:w="0" w:type="dxa"/>
            <w:vAlign w:val="bottom"/>
          </w:tcPr>
          <w:p>
            <w:pPr>
              <w:spacing w:after="0"/>
              <w:rPr>
                <w:sz w:val="1"/>
                <w:szCs w:val="1"/>
                <w:color w:val="auto"/>
              </w:rPr>
            </w:pPr>
          </w:p>
        </w:tc>
      </w:tr>
      <w:tr>
        <w:trPr>
          <w:trHeight w:val="203"/>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21.3</w:t>
            </w:r>
          </w:p>
        </w:tc>
        <w:tc>
          <w:tcPr>
            <w:tcW w:w="12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560.5</w:t>
            </w:r>
          </w:p>
        </w:tc>
        <w:tc>
          <w:tcPr>
            <w:tcW w:w="10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581.8</w:t>
            </w:r>
          </w:p>
        </w:tc>
        <w:tc>
          <w:tcPr>
            <w:tcW w:w="100" w:type="dxa"/>
            <w:vAlign w:val="bottom"/>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10.8</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576.3</w:t>
            </w:r>
          </w:p>
        </w:tc>
        <w:tc>
          <w:tcPr>
            <w:tcW w:w="10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5.5</w:t>
            </w:r>
          </w:p>
        </w:tc>
        <w:tc>
          <w:tcPr>
            <w:tcW w:w="10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0070C0"/>
              </w:rPr>
              <w:t>1.0</w:t>
            </w:r>
          </w:p>
        </w:tc>
        <w:tc>
          <w:tcPr>
            <w:tcW w:w="0" w:type="dxa"/>
            <w:vAlign w:val="bottom"/>
          </w:tcPr>
          <w:p>
            <w:pPr>
              <w:spacing w:after="0"/>
              <w:rPr>
                <w:sz w:val="1"/>
                <w:szCs w:val="1"/>
                <w:color w:val="auto"/>
              </w:rPr>
            </w:pPr>
          </w:p>
        </w:tc>
      </w:tr>
      <w:tr>
        <w:trPr>
          <w:trHeight w:val="215"/>
        </w:trPr>
        <w:tc>
          <w:tcPr>
            <w:tcW w:w="196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140" w:type="dxa"/>
            <w:vAlign w:val="bottom"/>
            <w:tcBorders>
              <w:bottom w:val="single" w:sz="8" w:color="auto"/>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w:t>
            </w:r>
          </w:p>
        </w:tc>
        <w:tc>
          <w:tcPr>
            <w:tcW w:w="12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6.0</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10.4</w:t>
            </w:r>
          </w:p>
        </w:tc>
        <w:tc>
          <w:tcPr>
            <w:tcW w:w="100" w:type="dxa"/>
            <w:vAlign w:val="bottom"/>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0.2</w:t>
            </w:r>
          </w:p>
        </w:tc>
        <w:tc>
          <w:tcPr>
            <w:tcW w:w="140" w:type="dxa"/>
            <w:vAlign w:val="bottom"/>
            <w:tcBorders>
              <w:bottom w:val="single" w:sz="8" w:color="auto"/>
            </w:tcBorders>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(0.5)</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0070C0"/>
              </w:rPr>
              <w:t>(4.6)</w:t>
            </w:r>
          </w:p>
        </w:tc>
        <w:tc>
          <w:tcPr>
            <w:tcW w:w="0" w:type="dxa"/>
            <w:vAlign w:val="bottom"/>
          </w:tcPr>
          <w:p>
            <w:pPr>
              <w:spacing w:after="0"/>
              <w:rPr>
                <w:sz w:val="1"/>
                <w:szCs w:val="1"/>
                <w:color w:val="auto"/>
              </w:rPr>
            </w:pPr>
          </w:p>
        </w:tc>
      </w:tr>
      <w:tr>
        <w:trPr>
          <w:trHeight w:val="216"/>
        </w:trPr>
        <w:tc>
          <w:tcPr>
            <w:tcW w:w="1960" w:type="dxa"/>
            <w:vAlign w:val="bottom"/>
            <w:gridSpan w:val="2"/>
          </w:tcPr>
          <w:p>
            <w:pPr>
              <w:ind w:left="140"/>
              <w:spacing w:after="0"/>
              <w:rPr>
                <w:sz w:val="20"/>
                <w:szCs w:val="20"/>
                <w:color w:val="auto"/>
              </w:rPr>
            </w:pPr>
            <w:r>
              <w:rPr>
                <w:rFonts w:ascii="Arial" w:cs="Arial" w:eastAsia="Arial" w:hAnsi="Arial"/>
                <w:sz w:val="14"/>
                <w:szCs w:val="14"/>
                <w:color w:val="auto"/>
              </w:rPr>
              <w:t>Total product revenue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2,293.3</w:t>
            </w:r>
          </w:p>
        </w:tc>
        <w:tc>
          <w:tcPr>
            <w:tcW w:w="120" w:type="dxa"/>
            <w:vAlign w:val="bottom"/>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3,121.0</w:t>
            </w:r>
          </w:p>
        </w:tc>
        <w:tc>
          <w:tcPr>
            <w:tcW w:w="100" w:type="dxa"/>
            <w:vAlign w:val="bottom"/>
          </w:tcPr>
          <w:p>
            <w:pPr>
              <w:spacing w:after="0"/>
              <w:rPr>
                <w:sz w:val="18"/>
                <w:szCs w:val="18"/>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5,414.3</w:t>
            </w:r>
          </w:p>
        </w:tc>
        <w:tc>
          <w:tcPr>
            <w:tcW w:w="100" w:type="dxa"/>
            <w:vAlign w:val="bottom"/>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2,619.7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3,463.6</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6,083.3</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(669.0)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70C0"/>
              </w:rPr>
              <w:t>(11.0)%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-2022475</wp:posOffset>
            </wp:positionV>
            <wp:extent cx="557530" cy="677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530" cy="67754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-693420</wp:posOffset>
            </wp:positionV>
            <wp:extent cx="557530" cy="677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530" cy="677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24085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99" w:lineRule="exact"/>
        <w:rPr>
          <w:sz w:val="20"/>
          <w:szCs w:val="20"/>
          <w:color w:val="auto"/>
        </w:rPr>
      </w:pPr>
    </w:p>
    <w:p>
      <w:pPr>
        <w:ind w:left="160" w:hanging="152"/>
        <w:spacing w:after="0"/>
        <w:tabs>
          <w:tab w:leader="none" w:pos="160" w:val="left"/>
        </w:tabs>
        <w:numPr>
          <w:ilvl w:val="0"/>
          <w:numId w:val="24"/>
        </w:numPr>
        <w:rPr>
          <w:rFonts w:ascii="Arial" w:cs="Arial" w:eastAsia="Arial" w:hAnsi="Arial"/>
          <w:sz w:val="9"/>
          <w:szCs w:val="9"/>
          <w:color w:val="auto"/>
        </w:rPr>
      </w:pPr>
      <w:r>
        <w:rPr>
          <w:rFonts w:ascii="Arial" w:cs="Arial" w:eastAsia="Arial" w:hAnsi="Arial"/>
          <w:sz w:val="14"/>
          <w:szCs w:val="14"/>
          <w:color w:val="auto"/>
        </w:rPr>
        <w:t>Other includes FUMADERM, ADUHELM and QALSODY, which became commercially available in the U.S. during the second quarter of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0" w:lineRule="exact"/>
        <w:rPr>
          <w:sz w:val="20"/>
          <w:szCs w:val="20"/>
          <w:color w:val="auto"/>
        </w:rPr>
      </w:pPr>
    </w:p>
    <w:p>
      <w:pPr>
        <w:ind w:left="5900" w:right="240" w:hanging="161"/>
        <w:spacing w:after="0" w:line="259"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TECFIDERA revenue decreased $99.5 million, from $339.0</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$239.5 million in 2023, or 29.4%, driven by a decrease in TECFIDERA demand as a result of multiple TECFIDERA generic entrants in North America, Brazil and certain E.U.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2571750" cy="21431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19" w:lineRule="exact"/>
        <w:rPr>
          <w:sz w:val="20"/>
          <w:szCs w:val="20"/>
          <w:color w:val="auto"/>
        </w:rPr>
      </w:pPr>
    </w:p>
    <w:p>
      <w:pPr>
        <w:ind w:left="5900" w:right="260" w:hanging="161"/>
        <w:spacing w:after="0" w:line="262"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Interferon revenue decreased $58.3 million, from $336.0</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$277.7 million in 2023, or 17.4%, driven by a decrease in sales volumes as patients transition to higher efficacy therapies.</w:t>
      </w:r>
    </w:p>
    <w:p>
      <w:pPr>
        <w:spacing w:after="0" w:line="24" w:lineRule="exact"/>
        <w:rPr>
          <w:sz w:val="20"/>
          <w:szCs w:val="20"/>
          <w:color w:val="auto"/>
        </w:rPr>
      </w:pPr>
    </w:p>
    <w:p>
      <w:pPr>
        <w:ind w:left="5900" w:right="60" w:hanging="161"/>
        <w:spacing w:after="0" w:line="268"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VUMERITY revenue increased $27.7 million, from $137.8</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$ 165.5 million in 2023, or 20.1%, primarily due to an increase in U.S. VUMERITY driven by higher sales volumes and an increase in pricing.</w:t>
      </w:r>
    </w:p>
    <w:p>
      <w:pPr>
        <w:spacing w:after="0" w:line="18" w:lineRule="exact"/>
        <w:rPr>
          <w:sz w:val="20"/>
          <w:szCs w:val="20"/>
          <w:color w:val="auto"/>
        </w:rPr>
      </w:pPr>
    </w:p>
    <w:p>
      <w:pPr>
        <w:ind w:left="5900" w:hanging="161"/>
        <w:spacing w:after="0" w:line="263"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TYSABRI revenue decreased $49.2 million, from $505.5</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$456.3 million in 2023, or 9.7%, primarily due to a decrease in U.S. TYSABRI revenue driven by increased competition and higher discounts and allowances and a decrease in rest of world TYSABRI revenue driven by unfavorable channel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TECFIDERA revenue decreased $378.6 million,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571750" cy="2143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spacing w:after="0" w:line="11" w:lineRule="exact"/>
        <w:rPr>
          <w:sz w:val="20"/>
          <w:szCs w:val="20"/>
          <w:color w:val="auto"/>
        </w:rPr>
      </w:pPr>
    </w:p>
    <w:p>
      <w:pPr>
        <w:ind w:left="5900" w:right="140"/>
        <w:spacing w:after="0" w:line="258" w:lineRule="auto"/>
        <w:rPr>
          <w:sz w:val="20"/>
          <w:szCs w:val="20"/>
          <w:color w:val="auto"/>
        </w:rPr>
      </w:pPr>
      <w:r>
        <w:rPr>
          <w:rFonts w:ascii="Arial" w:cs="Arial" w:eastAsia="Arial" w:hAnsi="Arial"/>
          <w:sz w:val="17"/>
          <w:szCs w:val="17"/>
          <w:color w:val="auto"/>
        </w:rPr>
        <w:t>$1,146.8 million in 2022 to $768.2 million in 2023, or 33.0%, driven by a decrease in TECFIDERA demand as a result of multiple TECFIDERA generic entrants in North America, Brazil and certain E.U. countries.</w:t>
      </w:r>
    </w:p>
    <w:p>
      <w:pPr>
        <w:spacing w:after="0" w:line="26" w:lineRule="exact"/>
        <w:rPr>
          <w:sz w:val="20"/>
          <w:szCs w:val="20"/>
          <w:color w:val="auto"/>
        </w:rPr>
      </w:pPr>
    </w:p>
    <w:p>
      <w:pPr>
        <w:ind w:left="5900" w:right="100" w:hanging="161"/>
        <w:spacing w:after="0" w:line="263"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Interferon revenue decreased $170.1 million, from $995.8</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$825.7 million in 2023, or 17.1%, driven by a decrease in sales volumes as patients transition to higher efficacy therapies, as well as pricing pressure and the unfavorable impact of channel dynamics in the U.S.</w:t>
      </w:r>
    </w:p>
    <w:p>
      <w:pPr>
        <w:spacing w:after="0" w:line="22" w:lineRule="exact"/>
        <w:rPr>
          <w:sz w:val="20"/>
          <w:szCs w:val="20"/>
          <w:color w:val="auto"/>
        </w:rPr>
      </w:pPr>
    </w:p>
    <w:p>
      <w:pPr>
        <w:ind w:left="5900" w:right="20" w:hanging="161"/>
        <w:spacing w:after="0" w:line="258"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VUMERITY revenue increased $17.3 million, from $402.6</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$419.9 million in 2023, or 4.3%, primarily due to an increase in rest of world VUMERITY revenue driven by higher sales volumes. The increase was partially offset by a decrease in U.S. VUMERITY revenue driven by unfavorable channel dynamics and a favorable Medicaid-related sales adjustment in the first quarter of 2022 related to VUMERITY.</w:t>
      </w:r>
    </w:p>
    <w:p>
      <w:pPr>
        <w:spacing w:after="0" w:line="41"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TYSABRI revenue decreased $130.3 million, from $1,542.5</w:t>
      </w:r>
    </w:p>
    <w:p>
      <w:pPr>
        <w:spacing w:after="0" w:line="2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million in 2022 to $1,412.2 million in 2023, or 8.4%, primarily due to</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 decrease in U.S. TYSABRI revenue driven by higher discounts and</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allowances, increased competition and unfavorable channel</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MS revenue includes sales from TECFIDERA, VUMERITY, AVONEX, PLEGRIDY, TYSABRI and FAMPYRA.</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2023 we expect total MS revenue will continue to decline as a result of increasing competition for many of our MS products in both the U.S. and rest of world markets. We are also aware of a biosimilar entrant of TYSABRI that was approved in the U.S. in August 2023 and the E.U. in September 2023.</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believe that we have resolved previously reported manufacturing issues at our VUMERITY contract manufacturer. In addition, we are in the process of securing regulatory approval for a secondary source of supply. We do not anticipate a supply shortage in 2023 and are currently focused on rebuilding adequate inventory.</w:t>
      </w: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SPINAL MUSCULAR ATROPHY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p>
      <w:pPr>
        <w:ind w:left="5860" w:right="20" w:hanging="323"/>
        <w:spacing w:after="0" w:line="257"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color w:val="auto"/>
        </w:rPr>
        <w:t>U.S. SPINRAZA revenue increased $10.3 million, from $140.2 million in 2022 to $150.5 million in 2023, or 7.3%, primarily due to an increase in sales volumes resulting from patient growth and an increase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-519430</wp:posOffset>
            </wp:positionV>
            <wp:extent cx="2571750" cy="2143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580"/>
        <w:spacing w:after="0"/>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Rest of world SPINRAZA revenue increased $6.8 million, from</w:t>
      </w:r>
    </w:p>
    <w:p>
      <w:pPr>
        <w:spacing w:after="0" w:line="4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$290.9 million in 2022 to $297.7 million in 2023, or 2.3%, primarily</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due to timing of shipments in certain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1525905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860" w:right="100" w:hanging="323"/>
        <w:spacing w:after="0" w:line="262"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color w:val="auto"/>
        </w:rPr>
        <w:t>U.S. SPINRAZA revenue increased $9.7 million, from $443.3 million in 2022 to $453.0 million in 2023, or 2.2%, primarily due to an increase in sales volumes resulting from patient growth and an increase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2571750" cy="21431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1750" cy="2143125"/>
                    </a:xfrm>
                    <a:prstGeom prst="rect">
                      <a:avLst/>
                    </a:prstGeom>
                    <a:noFill/>
                  </pic:spPr>
                </pic:pic>
              </a:graphicData>
            </a:graphic>
          </wp:anchor>
        </w:drawing>
      </w:r>
    </w:p>
    <w:p>
      <w:pPr>
        <w:ind w:left="5860" w:right="40" w:hanging="323"/>
        <w:spacing w:after="0" w:line="259"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Rest of world SPINRAZA revenue decreased $15.8 million, from $891.4 million in 2022 to $875.6 million in 2023, or 1.8%, primarily due to the unfavorable impact of foreign currency exchange and a decrease in pricing, partially offset by sales volume growth in certain Asian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SMA revenue includes sales from SPINRAZA.</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Despite competition from a gene therapy product and an oral product, we anticipate SPINRAZA revenue to be relatively flat in 2023 with the potential to grow thereafter. Moderate growth in the U.S. as well as continued access expansion in emerging markets is expected to offset increased competition and the impact of loading dose dynamics.</w:t>
      </w: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BIOSIMILARS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p>
      <w:pPr>
        <w:ind w:left="5840" w:right="40" w:hanging="323"/>
        <w:spacing w:after="0" w:line="257" w:lineRule="auto"/>
        <w:tabs>
          <w:tab w:leader="none" w:pos="5820" w:val="left"/>
        </w:tabs>
        <w:rPr>
          <w:sz w:val="20"/>
          <w:szCs w:val="20"/>
          <w:color w:val="auto"/>
        </w:rPr>
      </w:pPr>
      <w:r>
        <w:rPr>
          <w:rFonts w:ascii="Arial" w:cs="Arial" w:eastAsia="Arial" w:hAnsi="Arial"/>
          <w:sz w:val="17"/>
          <w:szCs w:val="17"/>
          <w:i w:val="1"/>
          <w:iCs w:val="1"/>
          <w:color w:val="0070C0"/>
        </w:rPr>
        <w:t>•</w:t>
      </w:r>
      <w:r>
        <w:rPr>
          <w:sz w:val="20"/>
          <w:szCs w:val="20"/>
          <w:color w:val="auto"/>
        </w:rPr>
        <w:tab/>
      </w:r>
      <w:r>
        <w:rPr>
          <w:rFonts w:ascii="Arial" w:cs="Arial" w:eastAsia="Arial" w:hAnsi="Arial"/>
          <w:sz w:val="17"/>
          <w:szCs w:val="17"/>
          <w:color w:val="auto"/>
        </w:rPr>
        <w:t>For the three months ended September 30, 2023, compared to the same period of 2022, the increase in biosimilar revenue was primarily due to an increase in sales volumes related to the continued launch of BYOOVIZ in the U.S. and rest of world, offset by the unfavorable impact of foreign currency exchange and unfavorable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-648335</wp:posOffset>
            </wp:positionV>
            <wp:extent cx="2571750" cy="26314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0" cy="26314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2265680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40" w:right="140" w:hanging="323"/>
        <w:spacing w:after="0" w:line="257" w:lineRule="auto"/>
        <w:tabs>
          <w:tab w:leader="none" w:pos="5820" w:val="left"/>
        </w:tabs>
        <w:rPr>
          <w:sz w:val="20"/>
          <w:szCs w:val="20"/>
          <w:color w:val="auto"/>
        </w:rPr>
      </w:pPr>
      <w:r>
        <w:rPr>
          <w:rFonts w:ascii="Arial" w:cs="Arial" w:eastAsia="Arial" w:hAnsi="Arial"/>
          <w:sz w:val="17"/>
          <w:szCs w:val="17"/>
          <w:i w:val="1"/>
          <w:iCs w:val="1"/>
          <w:color w:val="0070C0"/>
        </w:rPr>
        <w:t>•</w:t>
      </w:r>
      <w:r>
        <w:rPr>
          <w:sz w:val="20"/>
          <w:szCs w:val="20"/>
          <w:color w:val="auto"/>
        </w:rPr>
        <w:tab/>
      </w:r>
      <w:r>
        <w:rPr>
          <w:rFonts w:ascii="Arial" w:cs="Arial" w:eastAsia="Arial" w:hAnsi="Arial"/>
          <w:sz w:val="17"/>
          <w:szCs w:val="17"/>
          <w:color w:val="auto"/>
        </w:rPr>
        <w:t>For the nine months ended September 30, 2023, compared to the same period in 2022, the increase in biosimilar revenue was primarily due to an increase in sales volumes related to the continued launch of BYOOVIZ in the U.S. and rest of world partially offset by the unfavorable impact of foreign currency exchange and unfavorable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-781685</wp:posOffset>
            </wp:positionV>
            <wp:extent cx="2571750" cy="2571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0" cy="25717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2072640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Biosimilars revenue includes sales from BENEPALI, IMRALDI, FLIXABI and BYOOVIZ. BYOOVIZ launched in the U.S. in June 2022 and became commercially available in July 2022 through major distributors in the U.S. In 2023 BYOOVIZ became commercially available in Canada and certain countries in Europe.</w:t>
      </w:r>
    </w:p>
    <w:p>
      <w:pPr>
        <w:spacing w:after="0" w:line="7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In 2023 we anticipate modest growth in revenue from our biosimilars business driven by the continued launch of BYOOVIZ in the U.S. and rest of world, offset in part by continued price reductions in certain markets.</w:t>
      </w:r>
    </w:p>
    <w:p>
      <w:pPr>
        <w:spacing w:after="0" w:line="6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are currently working with our contract manufacturer for IMRALDI to address facility regulatory inspection deficiencies at two filling locations, which could impact supply and have an adverse impact on 2023 IMRALDI sales, if not resolved. Manufacturing of BENEPALI also utilizes one of these facilities and therefore could have an adverse impact on 2023 BENEPALI sales. We are working with our existing secondary supplier for BENEPALI with the aim to secure additional capacity.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we announced that we are exploring strategic options for our biosimilars business.</w:t>
      </w:r>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OTHER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SKYCLARYS (omaveloxolone)</w:t>
      </w:r>
    </w:p>
    <w:p>
      <w:pPr>
        <w:spacing w:after="0" w:line="12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connection with our acquisition of Reata in September 2023, we acquired SKYCLARYS, the first and only drug approved by the FDA for the treatment of FA in adults and adolescents aged 16 years and older. SKYCLARYS became commercially available in the U.S. during the second quarter of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expect to begin recording revenue from SKYCLARYS in the fourth quarter of 2023 as we continue the launch of SKYCLARYS in the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Additionally, an MAA for omaveloxolone has been submitted to the EMA and is currently under review.</w:t>
      </w:r>
    </w:p>
    <w:p>
      <w:pPr>
        <w:spacing w:after="0" w:line="95"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condensed consolidated financial statements included in this report.</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0070C0"/>
        </w:rPr>
        <w:t>REVENUE FROM ANTI-CD20 THERAPEUTIC PROGRAMS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we refer to RITUXAN and RITUXAN HYCELA collectively as RITUXAN.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14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21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4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5"/>
        </w:trPr>
        <w:tc>
          <w:tcPr>
            <w:tcW w:w="6480" w:type="dxa"/>
            <w:vAlign w:val="bottom"/>
            <w:gridSpan w:val="4"/>
          </w:tcPr>
          <w:p>
            <w:pPr>
              <w:ind w:left="20"/>
              <w:spacing w:after="0"/>
              <w:rPr>
                <w:sz w:val="20"/>
                <w:szCs w:val="20"/>
                <w:color w:val="auto"/>
              </w:rPr>
            </w:pPr>
            <w:r>
              <w:rPr>
                <w:rFonts w:ascii="Arial" w:cs="Arial" w:eastAsia="Arial" w:hAnsi="Arial"/>
                <w:sz w:val="14"/>
                <w:szCs w:val="14"/>
                <w:color w:val="auto"/>
              </w:rPr>
              <w:t>Royalty revenue on sales of OCREVUS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319.1</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281.1</w:t>
            </w:r>
          </w:p>
        </w:tc>
        <w:tc>
          <w:tcPr>
            <w:tcW w:w="100" w:type="dxa"/>
            <w:vAlign w:val="bottom"/>
          </w:tcPr>
          <w:p>
            <w:pPr>
              <w:spacing w:after="0"/>
              <w:rPr>
                <w:sz w:val="16"/>
                <w:szCs w:val="16"/>
                <w:color w:val="auto"/>
              </w:rPr>
            </w:pPr>
          </w:p>
        </w:tc>
        <w:tc>
          <w:tcPr>
            <w:tcW w:w="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76"/>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928.2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825.2</w:t>
            </w:r>
          </w:p>
        </w:tc>
      </w:tr>
      <w:tr>
        <w:trPr>
          <w:trHeight w:val="223"/>
        </w:trPr>
        <w:tc>
          <w:tcPr>
            <w:tcW w:w="6480" w:type="dxa"/>
            <w:vAlign w:val="bottom"/>
            <w:gridSpan w:val="4"/>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18"/>
                <w:szCs w:val="18"/>
                <w:color w:val="auto"/>
                <w:vertAlign w:val="superscript"/>
              </w:rPr>
              <w:t>(1)</w:t>
            </w:r>
          </w:p>
        </w:tc>
        <w:tc>
          <w:tcPr>
            <w:tcW w:w="160" w:type="dxa"/>
            <w:vAlign w:val="bottom"/>
            <w:shd w:val="clear" w:color="auto" w:fill="DBDBDB"/>
          </w:tcPr>
          <w:p>
            <w:pPr>
              <w:spacing w:after="0"/>
              <w:rPr>
                <w:sz w:val="19"/>
                <w:szCs w:val="19"/>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414.2</w:t>
            </w:r>
          </w:p>
        </w:tc>
      </w:tr>
      <w:tr>
        <w:trPr>
          <w:trHeight w:val="188"/>
        </w:trPr>
        <w:tc>
          <w:tcPr>
            <w:tcW w:w="6480" w:type="dxa"/>
            <w:vAlign w:val="bottom"/>
            <w:gridSpan w:val="4"/>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222"/>
        </w:trPr>
        <w:tc>
          <w:tcPr>
            <w:tcW w:w="40" w:type="dxa"/>
            <w:vAlign w:val="bottom"/>
          </w:tcPr>
          <w:p>
            <w:pPr>
              <w:spacing w:after="0"/>
              <w:rPr>
                <w:sz w:val="19"/>
                <w:szCs w:val="19"/>
                <w:color w:val="auto"/>
              </w:rPr>
            </w:pPr>
          </w:p>
        </w:tc>
        <w:tc>
          <w:tcPr>
            <w:tcW w:w="6440" w:type="dxa"/>
            <w:vAlign w:val="bottom"/>
            <w:gridSpan w:val="3"/>
          </w:tcPr>
          <w:p>
            <w:pPr>
              <w:ind w:left="80"/>
              <w:spacing w:after="0"/>
              <w:rPr>
                <w:sz w:val="20"/>
                <w:szCs w:val="20"/>
                <w:color w:val="auto"/>
              </w:rPr>
            </w:pPr>
            <w:r>
              <w:rPr>
                <w:rFonts w:ascii="Arial" w:cs="Arial" w:eastAsia="Arial" w:hAnsi="Arial"/>
                <w:sz w:val="14"/>
                <w:szCs w:val="14"/>
                <w:color w:val="auto"/>
              </w:rPr>
              <w:t>Total revenue from anti-CD20 therapeutic programs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420.9</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416.9</w:t>
            </w:r>
          </w:p>
        </w:tc>
        <w:tc>
          <w:tcPr>
            <w:tcW w:w="100" w:type="dxa"/>
            <w:vAlign w:val="bottom"/>
          </w:tcPr>
          <w:p>
            <w:pPr>
              <w:spacing w:after="0"/>
              <w:rPr>
                <w:sz w:val="19"/>
                <w:szCs w:val="19"/>
                <w:color w:val="auto"/>
              </w:rPr>
            </w:pPr>
          </w:p>
        </w:tc>
        <w:tc>
          <w:tcPr>
            <w:tcW w:w="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76"/>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1,253.8</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1,252.6</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78"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LUNSUMIO became commercially available in the U.S. during the first quarter of 2023.</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For the three and nine months ended September 30, 2023, compared to the same periods in 2022, the increases in royalty revenue on sales of OCREVUS were primarily due to sales growth of OCREVUS in the U.S.</w:t>
      </w:r>
    </w:p>
    <w:p>
      <w:pPr>
        <w:spacing w:after="0" w:line="6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For the three and nine months ended September 30, 2023, compared to the same periods in 2022, the decreases in our share of pre-tax profits in the U.S. for RITUXAN, GAZYVA and LUNSUMIO were primarily due to decreases in sales of RITUXAN in the U.S. resulting from competition from multiple biosimilar products. In April 2023 the pre-tax profit share for RITUXAN, GAZYVA and LUNSUMIO decreased from 37.5% to 35.0%.</w:t>
      </w:r>
    </w:p>
    <w:p>
      <w:pPr>
        <w:spacing w:after="0" w:line="8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condensed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0070C0"/>
        </w:rPr>
        <w:t>CONTRACT MANUFACTURING, ROYALTY AND OTHER REVENUE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22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spacing w:after="0"/>
              <w:rPr>
                <w:sz w:val="16"/>
                <w:szCs w:val="16"/>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spacing w:after="0"/>
              <w:rPr>
                <w:sz w:val="16"/>
                <w:szCs w:val="16"/>
                <w:color w:val="auto"/>
              </w:rPr>
            </w:pPr>
          </w:p>
        </w:tc>
        <w:tc>
          <w:tcPr>
            <w:tcW w:w="96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r>
      <w:tr>
        <w:trPr>
          <w:trHeight w:val="185"/>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252.9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16"/>
                <w:szCs w:val="16"/>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742.9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242.9</w:t>
            </w:r>
          </w:p>
        </w:tc>
      </w:tr>
      <w:tr>
        <w:trPr>
          <w:trHeight w:val="208"/>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16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51.3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38.3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r>
      <w:tr>
        <w:trPr>
          <w:trHeight w:val="222"/>
        </w:trPr>
        <w:tc>
          <w:tcPr>
            <w:tcW w:w="638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304.2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781.2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293.5</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 the three and nine months ended September 30, 2023, compared to the same periods in 2022, the increases in contract manufacturing revenue were primarily driven by higher volumes due to the timing of batch production, which includes batches related to LEQEMBI that we began recognizing in the first quarter of 2023 upon the accelerated approval of LEQEMBI in the U.S.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the third quarter of 2023 we recorded a reclassification of $38.7 million in LEQEMBI collaboration costs from other revenue to selling, general and administrative expense within our condensed consolidated statements of income. We determined that this reclassification does not materially impact the current or previously issued condensed consolidated financial statements.</w:t>
      </w:r>
    </w:p>
    <w:p>
      <w:pPr>
        <w:spacing w:after="0" w:line="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RESERVES FOR DISCOUNTS AND ALLOWANCES</w:t>
      </w:r>
    </w:p>
    <w:p>
      <w:pPr>
        <w:spacing w:after="0" w:line="10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4"/>
                <w:szCs w:val="1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color w:val="auto"/>
              </w:rPr>
              <w:t>For the Nine Months Ended</w:t>
            </w:r>
          </w:p>
        </w:tc>
      </w:tr>
      <w:tr>
        <w:trPr>
          <w:trHeight w:val="181"/>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5"/>
          </w:tcPr>
          <w:p>
            <w:pPr>
              <w:jc w:val="center"/>
              <w:ind w:right="28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5"/>
                <w:szCs w:val="15"/>
                <w:color w:val="auto"/>
              </w:rPr>
            </w:pPr>
          </w:p>
        </w:tc>
        <w:tc>
          <w:tcPr>
            <w:tcW w:w="2160" w:type="dxa"/>
            <w:vAlign w:val="bottom"/>
            <w:gridSpan w:val="4"/>
          </w:tcPr>
          <w:p>
            <w:pPr>
              <w:jc w:val="right"/>
              <w:ind w:right="628"/>
              <w:spacing w:after="0"/>
              <w:rPr>
                <w:sz w:val="20"/>
                <w:szCs w:val="20"/>
                <w:color w:val="auto"/>
              </w:rPr>
            </w:pPr>
            <w:r>
              <w:rPr>
                <w:rFonts w:ascii="Arial" w:cs="Arial" w:eastAsia="Arial" w:hAnsi="Arial"/>
                <w:sz w:val="14"/>
                <w:szCs w:val="14"/>
                <w:color w:val="auto"/>
              </w:rPr>
              <w:t>September 30,</w:t>
            </w:r>
          </w:p>
        </w:tc>
      </w:tr>
      <w:tr>
        <w:trPr>
          <w:trHeight w:val="19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6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0070C0"/>
              </w:rPr>
              <w:t>2023</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4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0070C0"/>
              </w:rPr>
              <w:t>2023</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r>
      <w:tr>
        <w:trPr>
          <w:trHeight w:val="190"/>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Contractual adjustments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654.0</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687.9</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1,959.1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1,975.3</w:t>
            </w:r>
          </w:p>
        </w:tc>
      </w:tr>
      <w:tr>
        <w:trPr>
          <w:trHeight w:val="203"/>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Discounts</w:t>
            </w:r>
          </w:p>
        </w:tc>
        <w:tc>
          <w:tcPr>
            <w:tcW w:w="18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171.7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554.3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496.8</w:t>
            </w:r>
          </w:p>
        </w:tc>
      </w:tr>
      <w:tr>
        <w:trPr>
          <w:trHeight w:val="209"/>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Returns</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20.1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34.1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22"/>
        </w:trPr>
        <w:tc>
          <w:tcPr>
            <w:tcW w:w="6420" w:type="dxa"/>
            <w:vAlign w:val="bottom"/>
            <w:gridSpan w:val="2"/>
          </w:tcPr>
          <w:p>
            <w:pPr>
              <w:ind w:left="240"/>
              <w:spacing w:after="0"/>
              <w:rPr>
                <w:sz w:val="20"/>
                <w:szCs w:val="20"/>
                <w:color w:val="auto"/>
              </w:rPr>
            </w:pPr>
            <w:r>
              <w:rPr>
                <w:rFonts w:ascii="Arial" w:cs="Arial" w:eastAsia="Arial" w:hAnsi="Arial"/>
                <w:sz w:val="14"/>
                <w:szCs w:val="14"/>
                <w:color w:val="auto"/>
              </w:rPr>
              <w:t>Total discounts and allowances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845.8</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847.0</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2,547.5</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2,472.8</w:t>
            </w: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For both the three and nine months ended September 30, 2023, reserves for discounts and allowances as a percentage of gross product revenue was 31.7%, compared to 31.2% and 29.1%, respectively, in the prior year comparative periods.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CONTRACTUAL ADJUSTMENTS</w:t>
      </w:r>
    </w:p>
    <w:p>
      <w:pPr>
        <w:spacing w:after="0" w:line="112" w:lineRule="exact"/>
        <w:rPr>
          <w:sz w:val="20"/>
          <w:szCs w:val="20"/>
          <w:color w:val="auto"/>
        </w:rPr>
      </w:pPr>
    </w:p>
    <w:p>
      <w:pPr>
        <w:jc w:val="both"/>
        <w:ind w:right="780"/>
        <w:spacing w:after="0" w:line="263" w:lineRule="auto"/>
        <w:rPr>
          <w:sz w:val="20"/>
          <w:szCs w:val="20"/>
          <w:color w:val="auto"/>
        </w:rPr>
      </w:pPr>
      <w:r>
        <w:rPr>
          <w:rFonts w:ascii="Arial" w:cs="Arial" w:eastAsia="Arial" w:hAnsi="Arial"/>
          <w:sz w:val="18"/>
          <w:szCs w:val="18"/>
          <w:color w:val="auto"/>
        </w:rPr>
        <w:t>Contractual adjustments primarily relate to Medicaid and managed care rebates in the U.S., pharmacy rebates, co-payment (copay) assistance, Veterans Administration, 340B discounts, specialty pharmacy program fees and other government rebates or applicable allowances.</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the three months ended September 30, 2023, compared to the same period in 2022, the decrease in contractual adjustments was primarily due to lower government rebates in the U.S. as a result of a contract pharmacy change made during the first quarter of 2023 related to our Interferons.</w:t>
      </w:r>
    </w:p>
    <w:p>
      <w:pPr>
        <w:spacing w:after="0" w:line="7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For the nine months ended September 30, 2023, compared to the same period in 2022, the decrease in contractual adjustments was primarily due to lower government rebates in the U.S. as a result of a contract pharmacy change made during the first quarter of 2023 related to our Interferons, partially offset by higher managed care and Medicaid rebates in the U.S. as well as higher government rebates in rest of world.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DISCOUNTS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Discounts include trade term discounts and wholesaler incentives.</w:t>
      </w:r>
    </w:p>
    <w:p>
      <w:pPr>
        <w:spacing w:after="0" w:line="11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For the three months ended September 30, 2023, compared to the same period in 2022, the increase in discounts was primarily driven by higher purchase and volume discounts for biosimilars, partially offset by lower purchase discounts in rest of world.</w:t>
      </w:r>
    </w:p>
    <w:p>
      <w:pPr>
        <w:spacing w:after="0" w:line="6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For the nine months ended September 30, 2023, compared to the same period in 2022, the increase in discounts was primarily driven by higher purchase and volume discounts for biosimilars.</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RETURNS</w:t>
      </w:r>
    </w:p>
    <w:p>
      <w:pPr>
        <w:spacing w:after="0" w:line="12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product returns are recognized in the period the related revenue is recognized, resulting in a reduction to product sales.</w:t>
      </w:r>
    </w:p>
    <w:p>
      <w:pPr>
        <w:spacing w:after="0" w:line="6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For the three and nine months ended September 30, 2023, compared to the same periods in 2022, the increases in returns were primarily driven by higher return rates in the U.S.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30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6" w:right="89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FF"/>
        </w:rPr>
        <w:t>Table of Contents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color w:val="0070C0"/>
        </w:rPr>
        <w:t>COST AND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cost and expense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7"/>
                <w:szCs w:val="17"/>
                <w:color w:val="auto"/>
              </w:rPr>
            </w:pPr>
          </w:p>
        </w:tc>
      </w:tr>
      <w:tr>
        <w:trPr>
          <w:trHeight w:val="185"/>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Cost of sales, excluding amortization and impairment of acquired intangible assets</w:t>
            </w:r>
          </w:p>
        </w:tc>
        <w:tc>
          <w:tcPr>
            <w:tcW w:w="200" w:type="dxa"/>
            <w:vAlign w:val="bottom"/>
          </w:tcPr>
          <w:p>
            <w:pPr>
              <w:jc w:val="right"/>
              <w:spacing w:after="0"/>
              <w:rPr>
                <w:sz w:val="20"/>
                <w:szCs w:val="20"/>
                <w:color w:val="auto"/>
              </w:rPr>
            </w:pPr>
            <w:r>
              <w:rPr>
                <w:rFonts w:ascii="Arial" w:cs="Arial" w:eastAsia="Arial" w:hAnsi="Arial"/>
                <w:sz w:val="14"/>
                <w:szCs w:val="14"/>
                <w:color w:val="257ACB"/>
              </w:rPr>
              <w:t>$</w:t>
            </w: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Amortization and impairment of acquired intangible assets</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Collaboration profit sharing/(loss reimbursement)</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(Gain) loss on fair value remeasurement of contingent consideration</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Gain on sale of building</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Other (income) expense, net</w:t>
            </w:r>
          </w:p>
        </w:tc>
        <w:tc>
          <w:tcPr>
            <w:tcW w:w="200" w:type="dxa"/>
            <w:vAlign w:val="bottom"/>
          </w:tcPr>
          <w:p>
            <w:pPr>
              <w:spacing w:after="0"/>
              <w:rPr>
                <w:sz w:val="17"/>
                <w:szCs w:val="17"/>
                <w:color w:val="auto"/>
              </w:rPr>
            </w:pPr>
          </w:p>
        </w:tc>
      </w:tr>
      <w:tr>
        <w:trPr>
          <w:trHeight w:val="243"/>
        </w:trPr>
        <w:tc>
          <w:tcPr>
            <w:tcW w:w="5500" w:type="dxa"/>
            <w:vAlign w:val="bottom"/>
            <w:gridSpan w:val="2"/>
          </w:tcPr>
          <w:p>
            <w:pPr>
              <w:ind w:left="140"/>
              <w:spacing w:after="0"/>
              <w:rPr>
                <w:sz w:val="20"/>
                <w:szCs w:val="20"/>
                <w:color w:val="auto"/>
              </w:rPr>
            </w:pPr>
            <w:r>
              <w:rPr>
                <w:rFonts w:ascii="Arial" w:cs="Arial" w:eastAsia="Arial" w:hAnsi="Arial"/>
                <w:sz w:val="14"/>
                <w:szCs w:val="14"/>
                <w:color w:val="auto"/>
              </w:rPr>
              <w:t>Total cost and expense</w:t>
            </w:r>
          </w:p>
        </w:tc>
        <w:tc>
          <w:tcPr>
            <w:tcW w:w="200" w:type="dxa"/>
            <w:vAlign w:val="bottom"/>
          </w:tcPr>
          <w:p>
            <w:pPr>
              <w:jc w:val="right"/>
              <w:spacing w:after="0"/>
              <w:rPr>
                <w:sz w:val="20"/>
                <w:szCs w:val="20"/>
                <w:color w:val="auto"/>
              </w:rPr>
            </w:pPr>
            <w:r>
              <w:rPr>
                <w:rFonts w:ascii="Arial" w:cs="Arial" w:eastAsia="Arial" w:hAnsi="Arial"/>
                <w:sz w:val="14"/>
                <w:szCs w:val="14"/>
                <w:color w:val="257ACB"/>
              </w:rPr>
              <w:t>$</w:t>
            </w:r>
          </w:p>
        </w:tc>
      </w:tr>
      <w:tr>
        <w:trPr>
          <w:trHeight w:val="700"/>
        </w:trPr>
        <w:tc>
          <w:tcPr>
            <w:tcW w:w="5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24"/>
                <w:szCs w:val="24"/>
                <w:color w:val="auto"/>
              </w:rPr>
            </w:pPr>
          </w:p>
        </w:tc>
      </w:tr>
      <w:tr>
        <w:trPr>
          <w:trHeight w:val="185"/>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Cost of sales, excluding amortization and impairment of acquired intangible assets</w:t>
            </w:r>
          </w:p>
        </w:tc>
        <w:tc>
          <w:tcPr>
            <w:tcW w:w="200" w:type="dxa"/>
            <w:vAlign w:val="bottom"/>
          </w:tcPr>
          <w:p>
            <w:pPr>
              <w:jc w:val="right"/>
              <w:spacing w:after="0"/>
              <w:rPr>
                <w:sz w:val="20"/>
                <w:szCs w:val="20"/>
                <w:color w:val="auto"/>
              </w:rPr>
            </w:pPr>
            <w:r>
              <w:rPr>
                <w:rFonts w:ascii="Arial" w:cs="Arial" w:eastAsia="Arial" w:hAnsi="Arial"/>
                <w:sz w:val="14"/>
                <w:szCs w:val="14"/>
                <w:color w:val="257ACB"/>
              </w:rPr>
              <w:t>$</w:t>
            </w: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Amortization and impairment of acquired intangible assets</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Collaboration profit sharing/(loss reimbursement)</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(Gain) loss on fair value remeasurement of contingent consideration</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Restructuring charges</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Gain on sale of building</w:t>
            </w:r>
          </w:p>
        </w:tc>
        <w:tc>
          <w:tcPr>
            <w:tcW w:w="200" w:type="dxa"/>
            <w:vAlign w:val="bottom"/>
          </w:tcPr>
          <w:p>
            <w:pPr>
              <w:spacing w:after="0"/>
              <w:rPr>
                <w:sz w:val="17"/>
                <w:szCs w:val="17"/>
                <w:color w:val="auto"/>
              </w:rPr>
            </w:pPr>
          </w:p>
        </w:tc>
      </w:tr>
      <w:tr>
        <w:trPr>
          <w:trHeight w:val="203"/>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Other (income) expense, net</w:t>
            </w:r>
          </w:p>
        </w:tc>
        <w:tc>
          <w:tcPr>
            <w:tcW w:w="200" w:type="dxa"/>
            <w:vAlign w:val="bottom"/>
          </w:tcPr>
          <w:p>
            <w:pPr>
              <w:spacing w:after="0"/>
              <w:rPr>
                <w:sz w:val="17"/>
                <w:szCs w:val="17"/>
                <w:color w:val="auto"/>
              </w:rPr>
            </w:pPr>
          </w:p>
        </w:tc>
      </w:tr>
      <w:tr>
        <w:trPr>
          <w:trHeight w:val="243"/>
        </w:trPr>
        <w:tc>
          <w:tcPr>
            <w:tcW w:w="5500" w:type="dxa"/>
            <w:vAlign w:val="bottom"/>
            <w:gridSpan w:val="2"/>
          </w:tcPr>
          <w:p>
            <w:pPr>
              <w:ind w:left="140"/>
              <w:spacing w:after="0"/>
              <w:rPr>
                <w:sz w:val="20"/>
                <w:szCs w:val="20"/>
                <w:color w:val="auto"/>
              </w:rPr>
            </w:pPr>
            <w:r>
              <w:rPr>
                <w:rFonts w:ascii="Arial" w:cs="Arial" w:eastAsia="Arial" w:hAnsi="Arial"/>
                <w:sz w:val="14"/>
                <w:szCs w:val="14"/>
                <w:color w:val="auto"/>
              </w:rPr>
              <w:t>Total cost and expense</w:t>
            </w:r>
          </w:p>
        </w:tc>
        <w:tc>
          <w:tcPr>
            <w:tcW w:w="200" w:type="dxa"/>
            <w:vAlign w:val="bottom"/>
          </w:tcPr>
          <w:p>
            <w:pPr>
              <w:jc w:val="right"/>
              <w:spacing w:after="0"/>
              <w:rPr>
                <w:sz w:val="20"/>
                <w:szCs w:val="20"/>
                <w:color w:val="auto"/>
              </w:rPr>
            </w:pPr>
            <w:r>
              <w:rPr>
                <w:rFonts w:ascii="Arial" w:cs="Arial" w:eastAsia="Arial" w:hAnsi="Arial"/>
                <w:sz w:val="14"/>
                <w:szCs w:val="14"/>
                <w:color w:val="257ACB"/>
              </w:rPr>
              <w:t>$</w:t>
            </w:r>
          </w:p>
        </w:tc>
      </w:tr>
      <w:tr>
        <w:trPr>
          <w:trHeight w:val="268"/>
        </w:trPr>
        <w:tc>
          <w:tcPr>
            <w:tcW w:w="3820" w:type="dxa"/>
            <w:vAlign w:val="bottom"/>
            <w:tcBorders>
              <w:bottom w:val="single" w:sz="8" w:color="auto"/>
            </w:tcBorders>
          </w:tcPr>
          <w:p>
            <w:pPr>
              <w:spacing w:after="0"/>
              <w:rPr>
                <w:sz w:val="23"/>
                <w:szCs w:val="23"/>
                <w:color w:val="auto"/>
              </w:rPr>
            </w:pP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2"/>
        </w:trPr>
        <w:tc>
          <w:tcPr>
            <w:tcW w:w="5500" w:type="dxa"/>
            <w:vAlign w:val="bottom"/>
            <w:gridSpan w:val="2"/>
          </w:tcPr>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26035</wp:posOffset>
            </wp:positionV>
            <wp:extent cx="357441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574415" cy="13716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257ACB"/>
                <w:w w:val="96"/>
              </w:rPr>
              <w:t>2023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7"/>
                <w:szCs w:val="17"/>
                <w:color w:val="auto"/>
              </w:rPr>
            </w:pPr>
          </w:p>
        </w:tc>
        <w:tc>
          <w:tcPr>
            <w:tcW w:w="1420" w:type="dxa"/>
            <w:vAlign w:val="bottom"/>
            <w:tcBorders>
              <w:bottom w:val="single" w:sz="8" w:color="auto"/>
            </w:tcBorders>
            <w:gridSpan w:val="2"/>
            <w:shd w:val="clear" w:color="auto" w:fill="DBDBDB"/>
          </w:tcPr>
          <w:p>
            <w:pPr>
              <w:jc w:val="right"/>
              <w:ind w:right="288"/>
              <w:spacing w:after="0"/>
              <w:rPr>
                <w:sz w:val="20"/>
                <w:szCs w:val="20"/>
                <w:color w:val="auto"/>
              </w:rPr>
            </w:pPr>
            <w:r>
              <w:rPr>
                <w:rFonts w:ascii="Arial" w:cs="Arial" w:eastAsia="Arial" w:hAnsi="Arial"/>
                <w:sz w:val="14"/>
                <w:szCs w:val="14"/>
                <w:b w:val="1"/>
                <w:bCs w:val="1"/>
                <w:color w:val="0070C0"/>
              </w:rPr>
              <w:t>% Change</w:t>
            </w:r>
          </w:p>
        </w:tc>
      </w:tr>
      <w:tr>
        <w:trPr>
          <w:trHeight w:val="184"/>
        </w:trPr>
        <w:tc>
          <w:tcPr>
            <w:tcW w:w="800" w:type="dxa"/>
            <w:vAlign w:val="bottom"/>
          </w:tcPr>
          <w:p>
            <w:pPr>
              <w:jc w:val="right"/>
              <w:spacing w:after="0"/>
              <w:rPr>
                <w:sz w:val="20"/>
                <w:szCs w:val="20"/>
                <w:color w:val="auto"/>
              </w:rPr>
            </w:pPr>
            <w:r>
              <w:rPr>
                <w:rFonts w:ascii="Arial" w:cs="Arial" w:eastAsia="Arial" w:hAnsi="Arial"/>
                <w:sz w:val="14"/>
                <w:szCs w:val="14"/>
                <w:color w:val="257ACB"/>
              </w:rPr>
              <w:t>659.6</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469.5</w:t>
            </w: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190.1</w:t>
            </w:r>
          </w:p>
        </w:tc>
        <w:tc>
          <w:tcPr>
            <w:tcW w:w="100" w:type="dxa"/>
            <w:vAlign w:val="bottom"/>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40.5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736.3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549.2</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187.1</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34.1</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788.2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224.9</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39.9</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60.9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4.4</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7.8</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50.5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5.2</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11.5</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w:t>
            </w:r>
          </w:p>
        </w:tc>
        <w:tc>
          <w:tcPr>
            <w:tcW w:w="100" w:type="dxa"/>
            <w:vAlign w:val="bottom"/>
          </w:tcPr>
          <w:p>
            <w:pPr>
              <w:spacing w:after="0"/>
              <w:rPr>
                <w:sz w:val="17"/>
                <w:szCs w:val="17"/>
                <w:color w:val="auto"/>
              </w:rPr>
            </w:pPr>
          </w:p>
        </w:tc>
        <w:tc>
          <w:tcPr>
            <w:tcW w:w="142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76.0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60.6</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393.5</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(503.7)</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503.7</w:t>
            </w:r>
          </w:p>
        </w:tc>
        <w:tc>
          <w:tcPr>
            <w:tcW w:w="100" w:type="dxa"/>
            <w:vAlign w:val="bottom"/>
          </w:tcPr>
          <w:p>
            <w:pPr>
              <w:spacing w:after="0"/>
              <w:rPr>
                <w:sz w:val="17"/>
                <w:szCs w:val="17"/>
                <w:color w:val="auto"/>
              </w:rPr>
            </w:pPr>
          </w:p>
        </w:tc>
        <w:tc>
          <w:tcPr>
            <w:tcW w:w="142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r>
      <w:tr>
        <w:trPr>
          <w:trHeight w:val="208"/>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300.0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356.0</w:t>
            </w:r>
          </w:p>
        </w:tc>
        <w:tc>
          <w:tcPr>
            <w:tcW w:w="100" w:type="dxa"/>
            <w:vAlign w:val="bottom"/>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(635.7)</w:t>
            </w:r>
          </w:p>
        </w:tc>
        <w:tc>
          <w:tcPr>
            <w:tcW w:w="140" w:type="dxa"/>
            <w:vAlign w:val="bottom"/>
            <w:tcBorders>
              <w:bottom w:val="single" w:sz="8" w:color="auto"/>
            </w:tcBorders>
            <w:shd w:val="clear" w:color="auto" w:fill="DBDBDB"/>
          </w:tcPr>
          <w:p>
            <w:pPr>
              <w:spacing w:after="0"/>
              <w:rPr>
                <w:sz w:val="18"/>
                <w:szCs w:val="18"/>
                <w:color w:val="auto"/>
              </w:rPr>
            </w:pPr>
          </w:p>
        </w:tc>
      </w:tr>
      <w:tr>
        <w:trPr>
          <w:trHeight w:val="216"/>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2,671.5</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1,137.4</w:t>
            </w:r>
          </w:p>
        </w:tc>
        <w:tc>
          <w:tcPr>
            <w:tcW w:w="100" w:type="dxa"/>
            <w:vAlign w:val="bottom"/>
          </w:tcPr>
          <w:p>
            <w:pPr>
              <w:spacing w:after="0"/>
              <w:rPr>
                <w:sz w:val="18"/>
                <w:szCs w:val="18"/>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1,534.1</w:t>
            </w:r>
          </w:p>
        </w:tc>
        <w:tc>
          <w:tcPr>
            <w:tcW w:w="100" w:type="dxa"/>
            <w:vAlign w:val="bottom"/>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134.9</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-1336675</wp:posOffset>
            </wp:positionV>
            <wp:extent cx="822960" cy="13373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2960" cy="1337310"/>
                    </a:xfrm>
                    <a:prstGeom prst="rect">
                      <a:avLst/>
                    </a:prstGeom>
                    <a:noFill/>
                  </pic:spPr>
                </pic:pic>
              </a:graphicData>
            </a:graphic>
          </wp:anchor>
        </w:drawing>
      </w:r>
    </w:p>
    <w:p>
      <w:pPr>
        <w:spacing w:after="0" w:line="223"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26035</wp:posOffset>
            </wp:positionV>
            <wp:extent cx="357441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574415" cy="13716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00" w:type="dxa"/>
            <w:vAlign w:val="bottom"/>
          </w:tcPr>
          <w:p>
            <w:pPr>
              <w:jc w:val="right"/>
              <w:ind w:right="408"/>
              <w:spacing w:after="0"/>
              <w:rPr>
                <w:sz w:val="20"/>
                <w:szCs w:val="20"/>
                <w:color w:val="auto"/>
              </w:rPr>
            </w:pPr>
            <w:r>
              <w:rPr>
                <w:rFonts w:ascii="Arial" w:cs="Arial" w:eastAsia="Arial" w:hAnsi="Arial"/>
                <w:sz w:val="14"/>
                <w:szCs w:val="14"/>
                <w:b w:val="1"/>
                <w:bCs w:val="1"/>
                <w:color w:val="257ACB"/>
                <w:w w:val="96"/>
              </w:rPr>
              <w:t>2023</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7"/>
                <w:szCs w:val="17"/>
                <w:color w:val="auto"/>
              </w:rPr>
            </w:pPr>
          </w:p>
        </w:tc>
        <w:tc>
          <w:tcPr>
            <w:tcW w:w="1420" w:type="dxa"/>
            <w:vAlign w:val="bottom"/>
            <w:tcBorders>
              <w:bottom w:val="single" w:sz="8" w:color="auto"/>
            </w:tcBorders>
            <w:gridSpan w:val="2"/>
            <w:shd w:val="clear" w:color="auto" w:fill="DBDBDB"/>
          </w:tcPr>
          <w:p>
            <w:pPr>
              <w:jc w:val="right"/>
              <w:ind w:right="288"/>
              <w:spacing w:after="0"/>
              <w:rPr>
                <w:sz w:val="20"/>
                <w:szCs w:val="20"/>
                <w:color w:val="auto"/>
              </w:rPr>
            </w:pPr>
            <w:r>
              <w:rPr>
                <w:rFonts w:ascii="Arial" w:cs="Arial" w:eastAsia="Arial" w:hAnsi="Arial"/>
                <w:sz w:val="14"/>
                <w:szCs w:val="14"/>
                <w:b w:val="1"/>
                <w:bCs w:val="1"/>
                <w:color w:val="0070C0"/>
              </w:rPr>
              <w:t>% Change</w:t>
            </w:r>
          </w:p>
        </w:tc>
      </w:tr>
      <w:tr>
        <w:trPr>
          <w:trHeight w:val="184"/>
        </w:trPr>
        <w:tc>
          <w:tcPr>
            <w:tcW w:w="800" w:type="dxa"/>
            <w:vAlign w:val="bottom"/>
          </w:tcPr>
          <w:p>
            <w:pPr>
              <w:jc w:val="right"/>
              <w:spacing w:after="0"/>
              <w:rPr>
                <w:sz w:val="20"/>
                <w:szCs w:val="20"/>
                <w:color w:val="auto"/>
              </w:rPr>
            </w:pPr>
            <w:r>
              <w:rPr>
                <w:rFonts w:ascii="Arial" w:cs="Arial" w:eastAsia="Arial" w:hAnsi="Arial"/>
                <w:sz w:val="14"/>
                <w:szCs w:val="14"/>
                <w:color w:val="257ACB"/>
              </w:rPr>
              <w:t>1,915.1</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1,707.4</w:t>
            </w: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207.7</w:t>
            </w:r>
          </w:p>
        </w:tc>
        <w:tc>
          <w:tcPr>
            <w:tcW w:w="100" w:type="dxa"/>
            <w:vAlign w:val="bottom"/>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12.2</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1,891.1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1,629.5</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261.6</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16.1</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1,941.2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1,770.8</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170.4</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9.6</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164.0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(26.9)</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(14.1)</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164.5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207.1</w:t>
            </w:r>
          </w:p>
        </w:tc>
        <w:tc>
          <w:tcPr>
            <w:tcW w:w="100" w:type="dxa"/>
            <w:vAlign w:val="bottom"/>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(486.2)</w:t>
            </w:r>
          </w:p>
        </w:tc>
        <w:tc>
          <w:tcPr>
            <w:tcW w:w="140" w:type="dxa"/>
            <w:vAlign w:val="bottom"/>
            <w:shd w:val="clear" w:color="auto" w:fill="DBDBDB"/>
          </w:tcPr>
          <w:p>
            <w:pPr>
              <w:spacing w:after="0"/>
              <w:rPr>
                <w:sz w:val="17"/>
                <w:szCs w:val="17"/>
                <w:color w:val="auto"/>
              </w:rPr>
            </w:pP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13.7</w:t>
            </w:r>
          </w:p>
        </w:tc>
        <w:tc>
          <w:tcPr>
            <w:tcW w:w="100" w:type="dxa"/>
            <w:vAlign w:val="bottom"/>
          </w:tcPr>
          <w:p>
            <w:pPr>
              <w:spacing w:after="0"/>
              <w:rPr>
                <w:sz w:val="17"/>
                <w:szCs w:val="17"/>
                <w:color w:val="auto"/>
              </w:rPr>
            </w:pPr>
          </w:p>
        </w:tc>
        <w:tc>
          <w:tcPr>
            <w:tcW w:w="142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120.0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(4.1)</w:t>
            </w:r>
          </w:p>
        </w:tc>
        <w:tc>
          <w:tcPr>
            <w:tcW w:w="100" w:type="dxa"/>
            <w:vAlign w:val="bottom"/>
          </w:tcPr>
          <w:p>
            <w:pPr>
              <w:spacing w:after="0"/>
              <w:rPr>
                <w:sz w:val="17"/>
                <w:szCs w:val="17"/>
                <w:color w:val="auto"/>
              </w:rPr>
            </w:pPr>
          </w:p>
        </w:tc>
        <w:tc>
          <w:tcPr>
            <w:tcW w:w="1420" w:type="dxa"/>
            <w:vAlign w:val="bottom"/>
            <w:gridSpan w:val="2"/>
            <w:shd w:val="clear" w:color="auto" w:fill="DBDBDB"/>
          </w:tcPr>
          <w:p>
            <w:pPr>
              <w:jc w:val="right"/>
              <w:ind w:right="68"/>
              <w:spacing w:after="0"/>
              <w:rPr>
                <w:sz w:val="20"/>
                <w:szCs w:val="20"/>
                <w:color w:val="auto"/>
              </w:rPr>
            </w:pPr>
            <w:r>
              <w:rPr>
                <w:rFonts w:ascii="Arial" w:cs="Arial" w:eastAsia="Arial" w:hAnsi="Arial"/>
                <w:sz w:val="14"/>
                <w:szCs w:val="14"/>
                <w:color w:val="0070C0"/>
              </w:rPr>
              <w:t>(3.3)</w:t>
            </w:r>
          </w:p>
        </w:tc>
      </w:tr>
      <w:tr>
        <w:trPr>
          <w:trHeight w:val="203"/>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(503.7)</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503.7</w:t>
            </w:r>
          </w:p>
        </w:tc>
        <w:tc>
          <w:tcPr>
            <w:tcW w:w="100" w:type="dxa"/>
            <w:vAlign w:val="bottom"/>
          </w:tcPr>
          <w:p>
            <w:pPr>
              <w:spacing w:after="0"/>
              <w:rPr>
                <w:sz w:val="17"/>
                <w:szCs w:val="17"/>
                <w:color w:val="auto"/>
              </w:rPr>
            </w:pPr>
          </w:p>
        </w:tc>
        <w:tc>
          <w:tcPr>
            <w:tcW w:w="142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r>
      <w:tr>
        <w:trPr>
          <w:trHeight w:val="208"/>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248.2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469.5</w:t>
            </w:r>
          </w:p>
        </w:tc>
        <w:tc>
          <w:tcPr>
            <w:tcW w:w="100" w:type="dxa"/>
            <w:vAlign w:val="bottom"/>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(212.2)</w:t>
            </w:r>
          </w:p>
        </w:tc>
        <w:tc>
          <w:tcPr>
            <w:tcW w:w="140" w:type="dxa"/>
            <w:vAlign w:val="bottom"/>
            <w:tcBorders>
              <w:bottom w:val="single" w:sz="8" w:color="auto"/>
            </w:tcBorders>
            <w:shd w:val="clear" w:color="auto" w:fill="DBDBDB"/>
          </w:tcPr>
          <w:p>
            <w:pPr>
              <w:spacing w:after="0"/>
              <w:rPr>
                <w:sz w:val="18"/>
                <w:szCs w:val="18"/>
                <w:color w:val="auto"/>
              </w:rPr>
            </w:pPr>
          </w:p>
        </w:tc>
      </w:tr>
      <w:tr>
        <w:trPr>
          <w:trHeight w:val="216"/>
        </w:trPr>
        <w:tc>
          <w:tcPr>
            <w:tcW w:w="8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6,444.1</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4,641.4</w:t>
            </w:r>
          </w:p>
        </w:tc>
        <w:tc>
          <w:tcPr>
            <w:tcW w:w="100" w:type="dxa"/>
            <w:vAlign w:val="bottom"/>
          </w:tcPr>
          <w:p>
            <w:pPr>
              <w:spacing w:after="0"/>
              <w:rPr>
                <w:sz w:val="18"/>
                <w:szCs w:val="18"/>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1,802.7</w:t>
            </w:r>
          </w:p>
        </w:tc>
        <w:tc>
          <w:tcPr>
            <w:tcW w:w="100" w:type="dxa"/>
            <w:vAlign w:val="bottom"/>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38.8</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-1336675</wp:posOffset>
            </wp:positionV>
            <wp:extent cx="822960" cy="13373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2960" cy="1337310"/>
                    </a:xfrm>
                    <a:prstGeom prst="rect">
                      <a:avLst/>
                    </a:prstGeom>
                    <a:noFill/>
                  </pic:spPr>
                </pic:pic>
              </a:graphicData>
            </a:graphic>
          </wp:anchor>
        </w:drawing>
      </w:r>
    </w:p>
    <w:p>
      <w:pPr>
        <w:sectPr>
          <w:pgSz w:w="11900" w:h="16838" w:orient="portrait"/>
          <w:cols w:equalWidth="0" w:num="2">
            <w:col w:w="5720" w:space="380"/>
            <w:col w:w="5140"/>
          </w:cols>
          <w:pgMar w:left="320" w:top="126"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0070C0"/>
        </w:rPr>
        <w:t>COST OF SALES, EXCLUDING AMORTIZATION AND IMPAIRMENT OF ACQUIRED INTANGIBLE ASSETS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4"/>
                <w:szCs w:val="1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color w:val="auto"/>
              </w:rPr>
              <w:t>For the Nine Months Ended</w:t>
            </w:r>
          </w:p>
        </w:tc>
      </w:tr>
      <w:tr>
        <w:trPr>
          <w:trHeight w:val="181"/>
        </w:trPr>
        <w:tc>
          <w:tcPr>
            <w:tcW w:w="6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5"/>
          </w:tcPr>
          <w:p>
            <w:pPr>
              <w:ind w:left="520"/>
              <w:spacing w:after="0"/>
              <w:rPr>
                <w:sz w:val="20"/>
                <w:szCs w:val="20"/>
                <w:color w:val="auto"/>
              </w:rPr>
            </w:pPr>
            <w:r>
              <w:rPr>
                <w:rFonts w:ascii="Arial" w:cs="Arial" w:eastAsia="Arial" w:hAnsi="Arial"/>
                <w:sz w:val="14"/>
                <w:szCs w:val="14"/>
                <w:color w:val="auto"/>
              </w:rPr>
              <w:t>September 30,</w:t>
            </w:r>
          </w:p>
        </w:tc>
        <w:tc>
          <w:tcPr>
            <w:tcW w:w="200" w:type="dxa"/>
            <w:vAlign w:val="bottom"/>
          </w:tcPr>
          <w:p>
            <w:pPr>
              <w:spacing w:after="0"/>
              <w:rPr>
                <w:sz w:val="15"/>
                <w:szCs w:val="15"/>
                <w:color w:val="auto"/>
              </w:rPr>
            </w:pPr>
          </w:p>
        </w:tc>
        <w:tc>
          <w:tcPr>
            <w:tcW w:w="2160" w:type="dxa"/>
            <w:vAlign w:val="bottom"/>
            <w:gridSpan w:val="4"/>
          </w:tcPr>
          <w:p>
            <w:pPr>
              <w:jc w:val="right"/>
              <w:ind w:right="628"/>
              <w:spacing w:after="0"/>
              <w:rPr>
                <w:sz w:val="20"/>
                <w:szCs w:val="20"/>
                <w:color w:val="auto"/>
              </w:rPr>
            </w:pPr>
            <w:r>
              <w:rPr>
                <w:rFonts w:ascii="Arial" w:cs="Arial" w:eastAsia="Arial" w:hAnsi="Arial"/>
                <w:sz w:val="14"/>
                <w:szCs w:val="14"/>
                <w:color w:val="auto"/>
              </w:rPr>
              <w:t>September 30,</w:t>
            </w:r>
          </w:p>
        </w:tc>
      </w:tr>
      <w:tr>
        <w:trPr>
          <w:trHeight w:val="19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shd w:val="clear" w:color="auto" w:fill="DBDBDB"/>
          </w:tcPr>
          <w:p>
            <w:pPr>
              <w:spacing w:after="0"/>
              <w:rPr>
                <w:sz w:val="16"/>
                <w:szCs w:val="16"/>
                <w:color w:val="auto"/>
              </w:rPr>
            </w:pPr>
          </w:p>
        </w:tc>
        <w:tc>
          <w:tcPr>
            <w:tcW w:w="960" w:type="dxa"/>
            <w:vAlign w:val="bottom"/>
            <w:tcBorders>
              <w:top w:val="single" w:sz="8" w:color="auto"/>
              <w:bottom w:val="single" w:sz="8" w:color="auto"/>
            </w:tcBorders>
            <w:shd w:val="clear" w:color="auto" w:fill="DBDBDB"/>
          </w:tcPr>
          <w:p>
            <w:pPr>
              <w:ind w:left="220"/>
              <w:spacing w:after="0"/>
              <w:rPr>
                <w:sz w:val="20"/>
                <w:szCs w:val="20"/>
                <w:color w:val="auto"/>
              </w:rPr>
            </w:pPr>
            <w:r>
              <w:rPr>
                <w:rFonts w:ascii="Arial" w:cs="Arial" w:eastAsia="Arial" w:hAnsi="Arial"/>
                <w:sz w:val="14"/>
                <w:szCs w:val="14"/>
                <w:color w:val="0070C0"/>
              </w:rPr>
              <w:t>2023</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shd w:val="clear" w:color="auto" w:fill="DBDBDB"/>
          </w:tcPr>
          <w:p>
            <w:pPr>
              <w:spacing w:after="0"/>
              <w:rPr>
                <w:sz w:val="16"/>
                <w:szCs w:val="16"/>
                <w:color w:val="auto"/>
              </w:rPr>
            </w:pPr>
          </w:p>
        </w:tc>
        <w:tc>
          <w:tcPr>
            <w:tcW w:w="94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0070C0"/>
              </w:rPr>
              <w:t>2023</w:t>
            </w: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2022</w:t>
            </w:r>
          </w:p>
        </w:tc>
      </w:tr>
      <w:tr>
        <w:trPr>
          <w:trHeight w:val="190"/>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Product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960" w:type="dxa"/>
            <w:vAlign w:val="bottom"/>
            <w:shd w:val="clear" w:color="auto" w:fill="DBDBDB"/>
          </w:tcPr>
          <w:p>
            <w:pPr>
              <w:ind w:left="520"/>
              <w:spacing w:after="0"/>
              <w:rPr>
                <w:sz w:val="20"/>
                <w:szCs w:val="20"/>
                <w:color w:val="auto"/>
              </w:rPr>
            </w:pPr>
            <w:r>
              <w:rPr>
                <w:rFonts w:ascii="Arial" w:cs="Arial" w:eastAsia="Arial" w:hAnsi="Arial"/>
                <w:sz w:val="14"/>
                <w:szCs w:val="14"/>
                <w:color w:val="0070C0"/>
              </w:rPr>
              <w:t>471.4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283.5</w:t>
            </w:r>
          </w:p>
        </w:tc>
        <w:tc>
          <w:tcPr>
            <w:tcW w:w="10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1,355.8</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1,125.4</w:t>
            </w:r>
          </w:p>
        </w:tc>
      </w:tr>
      <w:tr>
        <w:trPr>
          <w:trHeight w:val="208"/>
        </w:trPr>
        <w:tc>
          <w:tcPr>
            <w:tcW w:w="6420" w:type="dxa"/>
            <w:vAlign w:val="bottom"/>
            <w:gridSpan w:val="2"/>
          </w:tcPr>
          <w:p>
            <w:pPr>
              <w:ind w:left="20"/>
              <w:spacing w:after="0"/>
              <w:rPr>
                <w:sz w:val="20"/>
                <w:szCs w:val="20"/>
                <w:color w:val="auto"/>
              </w:rPr>
            </w:pPr>
            <w:r>
              <w:rPr>
                <w:rFonts w:ascii="Arial" w:cs="Arial" w:eastAsia="Arial" w:hAnsi="Arial"/>
                <w:sz w:val="14"/>
                <w:szCs w:val="14"/>
                <w:color w:val="auto"/>
              </w:rPr>
              <w:t>Royalty</w:t>
            </w:r>
          </w:p>
        </w:tc>
        <w:tc>
          <w:tcPr>
            <w:tcW w:w="1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ind w:left="520"/>
              <w:spacing w:after="0"/>
              <w:rPr>
                <w:sz w:val="20"/>
                <w:szCs w:val="20"/>
                <w:color w:val="auto"/>
              </w:rPr>
            </w:pPr>
            <w:r>
              <w:rPr>
                <w:rFonts w:ascii="Arial" w:cs="Arial" w:eastAsia="Arial" w:hAnsi="Arial"/>
                <w:sz w:val="14"/>
                <w:szCs w:val="14"/>
                <w:color w:val="0070C0"/>
              </w:rPr>
              <w:t>188.2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9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559.3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582.0</w:t>
            </w:r>
          </w:p>
        </w:tc>
      </w:tr>
      <w:tr>
        <w:trPr>
          <w:trHeight w:val="222"/>
        </w:trPr>
        <w:tc>
          <w:tcPr>
            <w:tcW w:w="642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ind w:left="520"/>
              <w:spacing w:after="0"/>
              <w:rPr>
                <w:sz w:val="20"/>
                <w:szCs w:val="20"/>
                <w:color w:val="auto"/>
              </w:rPr>
            </w:pPr>
            <w:r>
              <w:rPr>
                <w:rFonts w:ascii="Arial" w:cs="Arial" w:eastAsia="Arial" w:hAnsi="Arial"/>
                <w:sz w:val="14"/>
                <w:szCs w:val="14"/>
                <w:color w:val="257ACB"/>
              </w:rPr>
              <w:t>659.6</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469.5</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1,915.1</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1,707.4</w:t>
            </w:r>
          </w:p>
        </w:tc>
      </w:tr>
      <w:tr>
        <w:trPr>
          <w:trHeight w:val="20"/>
        </w:trPr>
        <w:tc>
          <w:tcPr>
            <w:tcW w:w="6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For the three months ended September 30, 2023, compared to the same period in 2022, product cost of sales increased primarily due to higher cost of sales associated with contract manufacturing revenue driven by increased production and unfavorable product mix.</w:t>
      </w:r>
    </w:p>
    <w:p>
      <w:pPr>
        <w:spacing w:after="0" w:line="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nine months ended September 30, 2023, compared to the same period in 2022, product cost of sales increased primarily due to higher cost of sales associated with contract manufacturing revenue, in part related to Eisai for LEQEMBI, which we began recognizing in the first quarter of 2023 upon the accelerated approval of LEQEMBI in the U.S. as well as increased production. Cost of sales as a percentage of revenue was adversely affected by LEQEMBI batches due to minimal margins. The increase was partially offset by a write-off of approximately $275.0 million during the first quarter of 2022 of excess inventory and purchase commitments related to ADUHELM.</w:t>
      </w:r>
    </w:p>
    <w:p>
      <w:pPr>
        <w:spacing w:after="0" w:line="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Additionally, for the three and nine months ended September 30, 2023, we recorded approximately $35.0 million and $113.3 million, respectively, of aggregate gross idle capacity charges, compared to approximately $11.0 million and $83.0 million, respectively, in the prior year comparative periods.</w:t>
      </w:r>
    </w:p>
    <w:p>
      <w:pPr>
        <w:spacing w:after="0" w:line="7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As a result of our acquisition of Reata we recorded a fair value step-up adjustment related to the acquired inventory of SKYCLARYS of approximately $ 1.7 billion. This fair value step-up adjustment will be amortized to cost of sales within our condensed consolidated statements of income when the inventory is sold, which is expected to be within approximately 3 years from the acquisition date. </w:t>
      </w:r>
      <w:r>
        <w:rPr>
          <w:rFonts w:ascii="Arial" w:cs="Arial" w:eastAsia="Arial" w:hAnsi="Arial"/>
          <w:sz w:val="18"/>
          <w:szCs w:val="18"/>
          <w:b w:val="1"/>
          <w:bCs w:val="1"/>
          <w:color w:val="auto"/>
        </w:rPr>
        <w:t>For 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condensed consolidated financial statements included in this report.</w:t>
      </w:r>
    </w:p>
    <w:p>
      <w:pPr>
        <w:spacing w:after="0" w:line="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0070C0"/>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717165" cy="65665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17165" cy="65665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0"/>
        <w:spacing w:after="0" w:line="250" w:lineRule="auto"/>
        <w:rPr>
          <w:sz w:val="20"/>
          <w:szCs w:val="20"/>
          <w:color w:val="auto"/>
        </w:rPr>
      </w:pPr>
      <w:r>
        <w:rPr>
          <w:rFonts w:ascii="Arial" w:cs="Arial" w:eastAsia="Arial" w:hAnsi="Arial"/>
          <w:sz w:val="17"/>
          <w:szCs w:val="17"/>
          <w:color w:val="auto"/>
        </w:rPr>
        <w:t xml:space="preserve">Research and development expense, as a percentage of total revenue, was 29.1% and 21.9% for the three months ended September 30, 2023 and 2022, respectively. For the three months ended September 30, 2023, compared to the same period in 2022, the increase in research and development was primarily due to approximately </w:t>
      </w:r>
      <w:r>
        <w:rPr>
          <w:rFonts w:ascii="Arial" w:cs="Arial" w:eastAsia="Arial" w:hAnsi="Arial"/>
          <w:sz w:val="17"/>
          <w:szCs w:val="17"/>
          <w:b w:val="1"/>
          <w:bCs w:val="1"/>
          <w:color w:val="auto"/>
        </w:rPr>
        <w:t>$197.0 million</w:t>
      </w:r>
      <w:r>
        <w:rPr>
          <w:rFonts w:ascii="Arial" w:cs="Arial" w:eastAsia="Arial" w:hAnsi="Arial"/>
          <w:sz w:val="17"/>
          <w:szCs w:val="17"/>
          <w:color w:val="auto"/>
        </w:rPr>
        <w:t xml:space="preserve"> of equity-based compensation expense incurred as a result of our acquisition of Reata in September 2023, an increase in spending in the development of litifilimab for the treatment of CLE and SLE, an increase in spending in ADUHELM primarily due to the change in our cost sharing arrangement with Eisai, as well as close out costs incurred during the third quarter of 2023 of approximately $37.2 million.</w:t>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EARLY STAGE PROGRAMS</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Q3 2023 vs. Q3 2022</w:t>
      </w:r>
    </w:p>
    <w:p>
      <w:pPr>
        <w:spacing w:after="0" w:line="49" w:lineRule="exact"/>
        <w:rPr>
          <w:sz w:val="20"/>
          <w:szCs w:val="20"/>
          <w:color w:val="auto"/>
        </w:rPr>
      </w:pPr>
    </w:p>
    <w:p>
      <w:pPr>
        <w:ind w:left="380" w:right="220"/>
        <w:spacing w:after="0" w:line="272" w:lineRule="auto"/>
        <w:rPr>
          <w:sz w:val="20"/>
          <w:szCs w:val="20"/>
          <w:color w:val="auto"/>
        </w:rPr>
      </w:pPr>
      <w:r>
        <w:rPr>
          <w:rFonts w:ascii="Arial" w:cs="Arial" w:eastAsia="Arial" w:hAnsi="Arial"/>
          <w:sz w:val="17"/>
          <w:szCs w:val="17"/>
          <w:color w:val="auto"/>
        </w:rPr>
        <w:t>The increase in early stage programs was driven by an increase in costs associated with:</w:t>
      </w:r>
    </w:p>
    <w:p>
      <w:pPr>
        <w:spacing w:after="0" w:line="29" w:lineRule="exact"/>
        <w:rPr>
          <w:sz w:val="20"/>
          <w:szCs w:val="20"/>
          <w:color w:val="auto"/>
        </w:rPr>
      </w:pPr>
    </w:p>
    <w:p>
      <w:pPr>
        <w:ind w:left="340" w:hanging="279"/>
        <w:spacing w:after="0"/>
        <w:tabs>
          <w:tab w:leader="none" w:pos="340" w:val="left"/>
        </w:tabs>
        <w:numPr>
          <w:ilvl w:val="0"/>
          <w:numId w:val="26"/>
        </w:numPr>
        <w:rPr>
          <w:rFonts w:ascii="Arial" w:cs="Arial" w:eastAsia="Arial" w:hAnsi="Arial"/>
          <w:sz w:val="17"/>
          <w:szCs w:val="17"/>
          <w:color w:val="0070C0"/>
        </w:rPr>
      </w:pPr>
      <w:r>
        <w:rPr>
          <w:rFonts w:ascii="Arial" w:cs="Arial" w:eastAsia="Arial" w:hAnsi="Arial"/>
          <w:sz w:val="17"/>
          <w:szCs w:val="17"/>
          <w:color w:val="auto"/>
        </w:rPr>
        <w:t>development of litifilimab for the treatment of CLE; and</w:t>
      </w:r>
    </w:p>
    <w:p>
      <w:pPr>
        <w:spacing w:after="0" w:line="61" w:lineRule="exact"/>
        <w:rPr>
          <w:rFonts w:ascii="Arial" w:cs="Arial" w:eastAsia="Arial" w:hAnsi="Arial"/>
          <w:sz w:val="17"/>
          <w:szCs w:val="17"/>
          <w:color w:val="0070C0"/>
        </w:rPr>
      </w:pPr>
    </w:p>
    <w:p>
      <w:pPr>
        <w:ind w:left="340" w:hanging="279"/>
        <w:spacing w:after="0"/>
        <w:tabs>
          <w:tab w:leader="none" w:pos="340" w:val="left"/>
        </w:tabs>
        <w:numPr>
          <w:ilvl w:val="0"/>
          <w:numId w:val="26"/>
        </w:numPr>
        <w:rPr>
          <w:rFonts w:ascii="Arial" w:cs="Arial" w:eastAsia="Arial" w:hAnsi="Arial"/>
          <w:sz w:val="17"/>
          <w:szCs w:val="17"/>
          <w:color w:val="0070C0"/>
        </w:rPr>
      </w:pPr>
      <w:r>
        <w:rPr>
          <w:rFonts w:ascii="Arial" w:cs="Arial" w:eastAsia="Arial" w:hAnsi="Arial"/>
          <w:sz w:val="17"/>
          <w:szCs w:val="17"/>
          <w:color w:val="auto"/>
        </w:rPr>
        <w:t>development of BIIB121 for the treatment of Angelman syndrome.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LATE STAGE PROGRAMS</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Q3 2023 vs. Q3 2022</w:t>
      </w:r>
    </w:p>
    <w:p>
      <w:pPr>
        <w:spacing w:after="0" w:line="49" w:lineRule="exact"/>
        <w:rPr>
          <w:sz w:val="20"/>
          <w:szCs w:val="20"/>
          <w:color w:val="auto"/>
        </w:rPr>
      </w:pPr>
    </w:p>
    <w:p>
      <w:pPr>
        <w:ind w:left="380" w:right="300"/>
        <w:spacing w:after="0" w:line="272" w:lineRule="auto"/>
        <w:rPr>
          <w:sz w:val="20"/>
          <w:szCs w:val="20"/>
          <w:color w:val="auto"/>
        </w:rPr>
      </w:pPr>
      <w:r>
        <w:rPr>
          <w:rFonts w:ascii="Arial" w:cs="Arial" w:eastAsia="Arial" w:hAnsi="Arial"/>
          <w:sz w:val="17"/>
          <w:szCs w:val="17"/>
          <w:color w:val="auto"/>
        </w:rPr>
        <w:t>The decrease in late stage programs was driven by a decrease in costs associated with:</w:t>
      </w:r>
    </w:p>
    <w:p>
      <w:pPr>
        <w:spacing w:after="0" w:line="16" w:lineRule="exact"/>
        <w:rPr>
          <w:sz w:val="20"/>
          <w:szCs w:val="20"/>
          <w:color w:val="auto"/>
        </w:rPr>
      </w:pPr>
    </w:p>
    <w:p>
      <w:pPr>
        <w:ind w:left="380" w:right="440" w:hanging="319"/>
        <w:spacing w:after="0" w:line="272" w:lineRule="auto"/>
        <w:tabs>
          <w:tab w:leader="none" w:pos="331" w:val="left"/>
        </w:tabs>
        <w:numPr>
          <w:ilvl w:val="0"/>
          <w:numId w:val="27"/>
        </w:numPr>
        <w:rPr>
          <w:rFonts w:ascii="Arial" w:cs="Arial" w:eastAsia="Arial" w:hAnsi="Arial"/>
          <w:sz w:val="17"/>
          <w:szCs w:val="17"/>
          <w:color w:val="0070C0"/>
        </w:rPr>
      </w:pPr>
      <w:r>
        <w:rPr>
          <w:rFonts w:ascii="Arial" w:cs="Arial" w:eastAsia="Arial" w:hAnsi="Arial"/>
          <w:sz w:val="17"/>
          <w:szCs w:val="17"/>
          <w:color w:val="auto"/>
        </w:rPr>
        <w:t>advancement of LEQEMBI from late stage to marketed upon the accelerated approval of LEQEMBI in the U.S.;</w:t>
      </w:r>
    </w:p>
    <w:p>
      <w:pPr>
        <w:spacing w:after="0" w:line="15" w:lineRule="exact"/>
        <w:rPr>
          <w:rFonts w:ascii="Arial" w:cs="Arial" w:eastAsia="Arial" w:hAnsi="Arial"/>
          <w:sz w:val="17"/>
          <w:szCs w:val="17"/>
          <w:color w:val="0070C0"/>
        </w:rPr>
      </w:pPr>
    </w:p>
    <w:p>
      <w:pPr>
        <w:ind w:left="380" w:right="300" w:hanging="319"/>
        <w:spacing w:after="0" w:line="272" w:lineRule="auto"/>
        <w:tabs>
          <w:tab w:leader="none" w:pos="331" w:val="left"/>
        </w:tabs>
        <w:numPr>
          <w:ilvl w:val="0"/>
          <w:numId w:val="27"/>
        </w:numPr>
        <w:rPr>
          <w:rFonts w:ascii="Arial" w:cs="Arial" w:eastAsia="Arial" w:hAnsi="Arial"/>
          <w:sz w:val="17"/>
          <w:szCs w:val="17"/>
          <w:color w:val="0070C0"/>
        </w:rPr>
      </w:pPr>
      <w:r>
        <w:rPr>
          <w:rFonts w:ascii="Arial" w:cs="Arial" w:eastAsia="Arial" w:hAnsi="Arial"/>
          <w:sz w:val="17"/>
          <w:szCs w:val="17"/>
          <w:color w:val="auto"/>
        </w:rPr>
        <w:t>advancement of LUNSUMIO from late stage to marketed upon the accelerated approval of LUNSUMIO in the U.S.;</w:t>
      </w:r>
    </w:p>
    <w:p>
      <w:pPr>
        <w:spacing w:after="0" w:line="15" w:lineRule="exact"/>
        <w:rPr>
          <w:rFonts w:ascii="Arial" w:cs="Arial" w:eastAsia="Arial" w:hAnsi="Arial"/>
          <w:sz w:val="17"/>
          <w:szCs w:val="17"/>
          <w:color w:val="0070C0"/>
        </w:rPr>
      </w:pPr>
    </w:p>
    <w:p>
      <w:pPr>
        <w:ind w:left="380" w:right="280" w:hanging="319"/>
        <w:spacing w:after="0" w:line="272" w:lineRule="auto"/>
        <w:tabs>
          <w:tab w:leader="none" w:pos="331" w:val="left"/>
        </w:tabs>
        <w:numPr>
          <w:ilvl w:val="0"/>
          <w:numId w:val="27"/>
        </w:numPr>
        <w:rPr>
          <w:rFonts w:ascii="Arial" w:cs="Arial" w:eastAsia="Arial" w:hAnsi="Arial"/>
          <w:sz w:val="17"/>
          <w:szCs w:val="17"/>
          <w:color w:val="0070C0"/>
        </w:rPr>
      </w:pPr>
      <w:r>
        <w:rPr>
          <w:rFonts w:ascii="Arial" w:cs="Arial" w:eastAsia="Arial" w:hAnsi="Arial"/>
          <w:sz w:val="17"/>
          <w:szCs w:val="17"/>
          <w:color w:val="auto"/>
        </w:rPr>
        <w:t>advancement of ZURZUVAE from late stage to marketed upon the approval of ZURZUVAE for PPD in the U.S.; and</w:t>
      </w:r>
    </w:p>
    <w:p>
      <w:pPr>
        <w:spacing w:after="0" w:line="15" w:lineRule="exact"/>
        <w:rPr>
          <w:rFonts w:ascii="Arial" w:cs="Arial" w:eastAsia="Arial" w:hAnsi="Arial"/>
          <w:sz w:val="17"/>
          <w:szCs w:val="17"/>
          <w:color w:val="0070C0"/>
        </w:rPr>
      </w:pPr>
    </w:p>
    <w:p>
      <w:pPr>
        <w:ind w:left="340" w:hanging="279"/>
        <w:spacing w:after="0"/>
        <w:tabs>
          <w:tab w:leader="none" w:pos="340" w:val="left"/>
        </w:tabs>
        <w:numPr>
          <w:ilvl w:val="0"/>
          <w:numId w:val="27"/>
        </w:numPr>
        <w:rPr>
          <w:rFonts w:ascii="Arial" w:cs="Arial" w:eastAsia="Arial" w:hAnsi="Arial"/>
          <w:sz w:val="17"/>
          <w:szCs w:val="17"/>
          <w:color w:val="0070C0"/>
        </w:rPr>
      </w:pPr>
      <w:r>
        <w:rPr>
          <w:rFonts w:ascii="Arial" w:cs="Arial" w:eastAsia="Arial" w:hAnsi="Arial"/>
          <w:sz w:val="17"/>
          <w:szCs w:val="17"/>
          <w:color w:val="auto"/>
        </w:rPr>
        <w:t>discontinuation of BIIB093 for large hemispheric infarction.</w:t>
      </w:r>
    </w:p>
    <w:p>
      <w:pPr>
        <w:spacing w:after="0" w:line="61" w:lineRule="exact"/>
        <w:rPr>
          <w:sz w:val="20"/>
          <w:szCs w:val="20"/>
          <w:color w:val="auto"/>
        </w:rPr>
      </w:pPr>
    </w:p>
    <w:p>
      <w:pPr>
        <w:ind w:left="380" w:right="100"/>
        <w:spacing w:after="0" w:line="272" w:lineRule="auto"/>
        <w:rPr>
          <w:sz w:val="20"/>
          <w:szCs w:val="20"/>
          <w:color w:val="auto"/>
        </w:rPr>
      </w:pPr>
      <w:r>
        <w:rPr>
          <w:rFonts w:ascii="Arial" w:cs="Arial" w:eastAsia="Arial" w:hAnsi="Arial"/>
          <w:sz w:val="17"/>
          <w:szCs w:val="17"/>
          <w:color w:val="auto"/>
        </w:rPr>
        <w:t>The decrease was partially offset by an increase in costs associated with:</w:t>
      </w:r>
    </w:p>
    <w:p>
      <w:pPr>
        <w:spacing w:after="0" w:line="16" w:lineRule="exact"/>
        <w:rPr>
          <w:sz w:val="20"/>
          <w:szCs w:val="20"/>
          <w:color w:val="auto"/>
        </w:rPr>
      </w:pPr>
    </w:p>
    <w:p>
      <w:pPr>
        <w:ind w:left="340" w:hanging="279"/>
        <w:spacing w:after="0"/>
        <w:tabs>
          <w:tab w:leader="none" w:pos="340" w:val="left"/>
        </w:tabs>
        <w:numPr>
          <w:ilvl w:val="0"/>
          <w:numId w:val="28"/>
        </w:numPr>
        <w:rPr>
          <w:rFonts w:ascii="Arial" w:cs="Arial" w:eastAsia="Arial" w:hAnsi="Arial"/>
          <w:sz w:val="17"/>
          <w:szCs w:val="17"/>
          <w:b w:val="1"/>
          <w:bCs w:val="1"/>
          <w:color w:val="0070C0"/>
        </w:rPr>
      </w:pPr>
      <w:r>
        <w:rPr>
          <w:rFonts w:ascii="Arial" w:cs="Arial" w:eastAsia="Arial" w:hAnsi="Arial"/>
          <w:sz w:val="17"/>
          <w:szCs w:val="17"/>
          <w:color w:val="auto"/>
        </w:rPr>
        <w:t>development of litifilimab for the treatment of SLE.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MARKETED PROGRAMS</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Q3 2023 vs. Q3 2022</w:t>
      </w:r>
    </w:p>
    <w:p>
      <w:pPr>
        <w:spacing w:after="0" w:line="49" w:lineRule="exact"/>
        <w:rPr>
          <w:sz w:val="20"/>
          <w:szCs w:val="20"/>
          <w:color w:val="auto"/>
        </w:rPr>
      </w:pPr>
    </w:p>
    <w:p>
      <w:pPr>
        <w:ind w:left="380" w:right="340"/>
        <w:spacing w:after="0" w:line="272" w:lineRule="auto"/>
        <w:rPr>
          <w:sz w:val="20"/>
          <w:szCs w:val="20"/>
          <w:color w:val="auto"/>
        </w:rPr>
      </w:pPr>
      <w:r>
        <w:rPr>
          <w:rFonts w:ascii="Arial" w:cs="Arial" w:eastAsia="Arial" w:hAnsi="Arial"/>
          <w:sz w:val="17"/>
          <w:szCs w:val="17"/>
          <w:color w:val="auto"/>
        </w:rPr>
        <w:t>The increase in marketed programs was driven by an increase in costs associated with:</w:t>
      </w:r>
    </w:p>
    <w:p>
      <w:pPr>
        <w:spacing w:after="0" w:line="16" w:lineRule="exact"/>
        <w:rPr>
          <w:sz w:val="20"/>
          <w:szCs w:val="20"/>
          <w:color w:val="auto"/>
        </w:rPr>
      </w:pPr>
    </w:p>
    <w:p>
      <w:pPr>
        <w:ind w:left="380" w:right="440" w:hanging="319"/>
        <w:spacing w:after="0" w:line="272" w:lineRule="auto"/>
        <w:tabs>
          <w:tab w:leader="none" w:pos="331" w:val="left"/>
        </w:tabs>
        <w:numPr>
          <w:ilvl w:val="0"/>
          <w:numId w:val="29"/>
        </w:numPr>
        <w:rPr>
          <w:rFonts w:ascii="Arial" w:cs="Arial" w:eastAsia="Arial" w:hAnsi="Arial"/>
          <w:sz w:val="17"/>
          <w:szCs w:val="17"/>
          <w:color w:val="0070C0"/>
        </w:rPr>
      </w:pPr>
      <w:r>
        <w:rPr>
          <w:rFonts w:ascii="Arial" w:cs="Arial" w:eastAsia="Arial" w:hAnsi="Arial"/>
          <w:sz w:val="17"/>
          <w:szCs w:val="17"/>
          <w:color w:val="auto"/>
        </w:rPr>
        <w:t>advancement of LEQEMBI from late stage to marketed upon the accelerated approval of LEQEMBI in the U.S.;</w:t>
      </w:r>
    </w:p>
    <w:p>
      <w:pPr>
        <w:spacing w:after="0" w:line="15" w:lineRule="exact"/>
        <w:rPr>
          <w:rFonts w:ascii="Arial" w:cs="Arial" w:eastAsia="Arial" w:hAnsi="Arial"/>
          <w:sz w:val="17"/>
          <w:szCs w:val="17"/>
          <w:color w:val="0070C0"/>
        </w:rPr>
      </w:pPr>
    </w:p>
    <w:p>
      <w:pPr>
        <w:ind w:left="380" w:right="280" w:hanging="319"/>
        <w:spacing w:after="0" w:line="272" w:lineRule="auto"/>
        <w:tabs>
          <w:tab w:leader="none" w:pos="331" w:val="left"/>
        </w:tabs>
        <w:numPr>
          <w:ilvl w:val="0"/>
          <w:numId w:val="29"/>
        </w:numPr>
        <w:rPr>
          <w:rFonts w:ascii="Arial" w:cs="Arial" w:eastAsia="Arial" w:hAnsi="Arial"/>
          <w:sz w:val="17"/>
          <w:szCs w:val="17"/>
          <w:color w:val="0070C0"/>
        </w:rPr>
      </w:pPr>
      <w:r>
        <w:rPr>
          <w:rFonts w:ascii="Arial" w:cs="Arial" w:eastAsia="Arial" w:hAnsi="Arial"/>
          <w:sz w:val="17"/>
          <w:szCs w:val="17"/>
          <w:color w:val="auto"/>
        </w:rPr>
        <w:t>advancement of ZURZUVAE from late stage to marketed upon the approval of ZURZUVAE for PPD in the U.S.;</w:t>
      </w:r>
    </w:p>
    <w:p>
      <w:pPr>
        <w:spacing w:after="0" w:line="15" w:lineRule="exact"/>
        <w:rPr>
          <w:rFonts w:ascii="Arial" w:cs="Arial" w:eastAsia="Arial" w:hAnsi="Arial"/>
          <w:sz w:val="17"/>
          <w:szCs w:val="17"/>
          <w:color w:val="0070C0"/>
        </w:rPr>
      </w:pPr>
    </w:p>
    <w:p>
      <w:pPr>
        <w:ind w:left="380" w:right="40" w:hanging="319"/>
        <w:spacing w:after="0" w:line="272" w:lineRule="auto"/>
        <w:tabs>
          <w:tab w:leader="none" w:pos="331" w:val="left"/>
        </w:tabs>
        <w:numPr>
          <w:ilvl w:val="0"/>
          <w:numId w:val="29"/>
        </w:numPr>
        <w:rPr>
          <w:rFonts w:ascii="Arial" w:cs="Arial" w:eastAsia="Arial" w:hAnsi="Arial"/>
          <w:sz w:val="17"/>
          <w:szCs w:val="17"/>
          <w:color w:val="0070C0"/>
        </w:rPr>
      </w:pPr>
      <w:r>
        <w:rPr>
          <w:rFonts w:ascii="Arial" w:cs="Arial" w:eastAsia="Arial" w:hAnsi="Arial"/>
          <w:sz w:val="17"/>
          <w:szCs w:val="17"/>
          <w:color w:val="auto"/>
        </w:rPr>
        <w:t>increased spend in ADUHELM primarily due to the change in our cost sharing arrangement with Eisai; and</w:t>
      </w:r>
    </w:p>
    <w:p>
      <w:pPr>
        <w:spacing w:after="0" w:line="15" w:lineRule="exact"/>
        <w:rPr>
          <w:rFonts w:ascii="Arial" w:cs="Arial" w:eastAsia="Arial" w:hAnsi="Arial"/>
          <w:sz w:val="17"/>
          <w:szCs w:val="17"/>
          <w:color w:val="0070C0"/>
        </w:rPr>
      </w:pPr>
    </w:p>
    <w:p>
      <w:pPr>
        <w:ind w:left="340" w:hanging="279"/>
        <w:spacing w:after="0"/>
        <w:tabs>
          <w:tab w:leader="none" w:pos="340" w:val="left"/>
        </w:tabs>
        <w:numPr>
          <w:ilvl w:val="0"/>
          <w:numId w:val="29"/>
        </w:numPr>
        <w:rPr>
          <w:rFonts w:ascii="Arial" w:cs="Arial" w:eastAsia="Arial" w:hAnsi="Arial"/>
          <w:sz w:val="17"/>
          <w:szCs w:val="17"/>
          <w:color w:val="0070C0"/>
        </w:rPr>
      </w:pPr>
      <w:r>
        <w:rPr>
          <w:rFonts w:ascii="Arial" w:cs="Arial" w:eastAsia="Arial" w:hAnsi="Arial"/>
          <w:sz w:val="17"/>
          <w:szCs w:val="17"/>
          <w:color w:val="auto"/>
        </w:rPr>
        <w:t>close out costs related to the discontinuation of our EMBARK study.</w:t>
      </w:r>
    </w:p>
    <w:p>
      <w:pPr>
        <w:spacing w:after="0" w:line="115" w:lineRule="exact"/>
        <w:rPr>
          <w:sz w:val="20"/>
          <w:szCs w:val="20"/>
          <w:color w:val="auto"/>
        </w:rPr>
      </w:pPr>
    </w:p>
    <w:p>
      <w:pPr>
        <w:ind w:left="380" w:right="1260"/>
        <w:spacing w:after="0" w:line="272" w:lineRule="auto"/>
        <w:rPr>
          <w:sz w:val="20"/>
          <w:szCs w:val="20"/>
          <w:color w:val="auto"/>
        </w:rPr>
      </w:pPr>
      <w:r>
        <w:rPr>
          <w:rFonts w:ascii="Arial" w:cs="Arial" w:eastAsia="Arial" w:hAnsi="Arial"/>
          <w:sz w:val="17"/>
          <w:szCs w:val="17"/>
          <w:color w:val="auto"/>
        </w:rPr>
        <w:t>OTHER RESEARCH AND DEVELOPMENT COSTS Q3 2023 vs. Q3 2022</w:t>
      </w:r>
    </w:p>
    <w:p>
      <w:pPr>
        <w:spacing w:after="0" w:line="16" w:lineRule="exact"/>
        <w:rPr>
          <w:sz w:val="20"/>
          <w:szCs w:val="20"/>
          <w:color w:val="auto"/>
        </w:rPr>
      </w:pPr>
    </w:p>
    <w:p>
      <w:pPr>
        <w:ind w:left="380" w:right="40"/>
        <w:spacing w:after="0" w:line="272" w:lineRule="auto"/>
        <w:rPr>
          <w:sz w:val="20"/>
          <w:szCs w:val="20"/>
          <w:color w:val="auto"/>
        </w:rPr>
      </w:pPr>
      <w:r>
        <w:rPr>
          <w:rFonts w:ascii="Arial" w:cs="Arial" w:eastAsia="Arial" w:hAnsi="Arial"/>
          <w:sz w:val="17"/>
          <w:szCs w:val="17"/>
          <w:color w:val="auto"/>
        </w:rPr>
        <w:t>The increase in other research and development costs was driven by an increase in costs associated with:</w:t>
      </w:r>
    </w:p>
    <w:p>
      <w:pPr>
        <w:spacing w:after="0" w:line="16" w:lineRule="exact"/>
        <w:rPr>
          <w:sz w:val="20"/>
          <w:szCs w:val="20"/>
          <w:color w:val="auto"/>
        </w:rPr>
      </w:pPr>
    </w:p>
    <w:p>
      <w:pPr>
        <w:ind w:left="340" w:hanging="279"/>
        <w:spacing w:after="0"/>
        <w:tabs>
          <w:tab w:leader="none" w:pos="340" w:val="left"/>
        </w:tabs>
        <w:numPr>
          <w:ilvl w:val="0"/>
          <w:numId w:val="30"/>
        </w:numPr>
        <w:rPr>
          <w:rFonts w:ascii="Arial" w:cs="Arial" w:eastAsia="Arial" w:hAnsi="Arial"/>
          <w:sz w:val="17"/>
          <w:szCs w:val="17"/>
          <w:color w:val="0070C0"/>
        </w:rPr>
      </w:pPr>
      <w:r>
        <w:rPr>
          <w:rFonts w:ascii="Arial" w:cs="Arial" w:eastAsia="Arial" w:hAnsi="Arial"/>
          <w:sz w:val="17"/>
          <w:szCs w:val="17"/>
          <w:color w:val="auto"/>
        </w:rPr>
        <w:t>acquisition of Reata in September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69850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720"/>
            <w:col w:w="5580"/>
          </w:cols>
          <w:pgMar w:left="320" w:top="126" w:right="47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900"/>
        <w:spacing w:after="0" w:line="249" w:lineRule="auto"/>
        <w:rPr>
          <w:sz w:val="20"/>
          <w:szCs w:val="20"/>
          <w:color w:val="auto"/>
        </w:rPr>
      </w:pPr>
      <w:r>
        <w:rPr>
          <w:rFonts w:ascii="Arial" w:cs="Arial" w:eastAsia="Arial" w:hAnsi="Arial"/>
          <w:sz w:val="17"/>
          <w:szCs w:val="17"/>
          <w:color w:val="auto"/>
        </w:rPr>
        <w:t xml:space="preserve">Research and development expense, as a percentage of total revenue, was 25.4% and 21.4% for the nine months ended September 30, 2023 and 2022, respectively. For the nine months ended September 30, 2023, compared to the same period in 2022, the increase in research and development was primarily due to approximately </w:t>
      </w:r>
      <w:r>
        <w:rPr>
          <w:rFonts w:ascii="Arial" w:cs="Arial" w:eastAsia="Arial" w:hAnsi="Arial"/>
          <w:sz w:val="16"/>
          <w:szCs w:val="16"/>
          <w:b w:val="1"/>
          <w:bCs w:val="1"/>
          <w:color w:val="auto"/>
        </w:rPr>
        <w:t>$197.0 million</w:t>
      </w:r>
      <w:r>
        <w:rPr>
          <w:rFonts w:ascii="Arial" w:cs="Arial" w:eastAsia="Arial" w:hAnsi="Arial"/>
          <w:sz w:val="17"/>
          <w:szCs w:val="17"/>
          <w:color w:val="auto"/>
        </w:rPr>
        <w:t xml:space="preserve"> of </w:t>
      </w:r>
      <w:r>
        <w:rPr>
          <w:rFonts w:ascii="Arial" w:cs="Arial" w:eastAsia="Arial" w:hAnsi="Arial"/>
          <w:sz w:val="16"/>
          <w:szCs w:val="16"/>
          <w:color w:val="auto"/>
        </w:rPr>
        <w:t>equity-based compensation expense</w:t>
      </w:r>
      <w:r>
        <w:rPr>
          <w:rFonts w:ascii="Arial" w:cs="Arial" w:eastAsia="Arial" w:hAnsi="Arial"/>
          <w:sz w:val="17"/>
          <w:szCs w:val="17"/>
          <w:color w:val="auto"/>
        </w:rPr>
        <w:t xml:space="preserve"> incurred as a result of our acquisition of Reata in September 2023, an increase in spending in the development of LEQEMBI for the treatment of Alzheimer's disease, litifilimab for the treatment of CLE and SLE, and TOFIDENCE, a tocilizumab biosimilar referencing ACTEMRA, as well as close out costs incurred during 2023 of approximately $57.7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-1535430</wp:posOffset>
            </wp:positionV>
            <wp:extent cx="2717165" cy="7406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17165" cy="7406640"/>
                    </a:xfrm>
                    <a:prstGeom prst="rect">
                      <a:avLst/>
                    </a:prstGeom>
                    <a:noFill/>
                  </pic:spPr>
                </pic:pic>
              </a:graphicData>
            </a:graphic>
          </wp:anchor>
        </w:drawing>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EARLY STAGE PROGRAMS</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YTD 2023 vs. YTD 2022</w:t>
      </w:r>
    </w:p>
    <w:p>
      <w:pPr>
        <w:spacing w:after="0" w:line="51" w:lineRule="exact"/>
        <w:rPr>
          <w:sz w:val="20"/>
          <w:szCs w:val="20"/>
          <w:color w:val="auto"/>
        </w:rPr>
      </w:pPr>
    </w:p>
    <w:p>
      <w:pPr>
        <w:ind w:left="5900" w:right="300"/>
        <w:spacing w:after="0" w:line="265" w:lineRule="auto"/>
        <w:rPr>
          <w:sz w:val="20"/>
          <w:szCs w:val="20"/>
          <w:color w:val="auto"/>
        </w:rPr>
      </w:pPr>
      <w:r>
        <w:rPr>
          <w:rFonts w:ascii="Arial" w:cs="Arial" w:eastAsia="Arial" w:hAnsi="Arial"/>
          <w:sz w:val="17"/>
          <w:szCs w:val="17"/>
          <w:color w:val="auto"/>
        </w:rPr>
        <w:t>The increase in early stage programs was driven by an increase in costs associated with:</w:t>
      </w: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litifilimab for the treatment of CLE;</w:t>
      </w:r>
    </w:p>
    <w:p>
      <w:pPr>
        <w:spacing w:after="0" w:line="48"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BIIB121 for the treatment of Angelman syndrome;</w:t>
      </w:r>
    </w:p>
    <w:p>
      <w:pPr>
        <w:spacing w:after="0" w:line="34"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BIIB115 for the treatment of SMA;</w:t>
      </w:r>
    </w:p>
    <w:p>
      <w:pPr>
        <w:spacing w:after="0" w:line="48"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BIIB091 for the treatment of MS; and</w:t>
      </w:r>
    </w:p>
    <w:p>
      <w:pPr>
        <w:spacing w:after="0" w:line="34"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BIIB080 for the treatment of Alzheimer's disease.</w:t>
      </w:r>
    </w:p>
    <w:p>
      <w:pPr>
        <w:spacing w:after="0" w:line="61" w:lineRule="exact"/>
        <w:rPr>
          <w:sz w:val="20"/>
          <w:szCs w:val="20"/>
          <w:color w:val="auto"/>
        </w:rPr>
      </w:pPr>
    </w:p>
    <w:p>
      <w:pPr>
        <w:ind w:left="5900" w:right="280"/>
        <w:spacing w:after="0" w:line="268" w:lineRule="auto"/>
        <w:rPr>
          <w:sz w:val="20"/>
          <w:szCs w:val="20"/>
          <w:color w:val="auto"/>
        </w:rPr>
      </w:pPr>
      <w:r>
        <w:rPr>
          <w:rFonts w:ascii="Arial" w:cs="Arial" w:eastAsia="Arial" w:hAnsi="Arial"/>
          <w:sz w:val="17"/>
          <w:szCs w:val="17"/>
          <w:color w:val="auto"/>
        </w:rPr>
        <w:t>The increase was partially offset by a decrease in costs associated with:</w:t>
      </w:r>
    </w:p>
    <w:p>
      <w:pPr>
        <w:spacing w:after="0" w:line="1" w:lineRule="exact"/>
        <w:rPr>
          <w:sz w:val="20"/>
          <w:szCs w:val="20"/>
          <w:color w:val="auto"/>
        </w:rPr>
      </w:pPr>
    </w:p>
    <w:p>
      <w:pPr>
        <w:ind w:left="5860" w:right="280" w:hanging="323"/>
        <w:spacing w:after="0" w:line="254"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discontinuation of BIIB104 for the treatment of cognitive impairment associated with schizophrenia; and</w:t>
      </w:r>
    </w:p>
    <w:p>
      <w:pPr>
        <w:spacing w:after="0" w:line="26"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discontinuation of BIIB078 for the treatment of Alzheimer's disease.</w:t>
      </w:r>
    </w:p>
    <w:p>
      <w:pPr>
        <w:spacing w:after="0" w:line="5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LATE STAGE PROGRAMS</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YTD 2023 vs. YTD 2022</w:t>
      </w:r>
    </w:p>
    <w:p>
      <w:pPr>
        <w:spacing w:after="0" w:line="51" w:lineRule="exact"/>
        <w:rPr>
          <w:sz w:val="20"/>
          <w:szCs w:val="20"/>
          <w:color w:val="auto"/>
        </w:rPr>
      </w:pPr>
    </w:p>
    <w:p>
      <w:pPr>
        <w:ind w:left="5900" w:right="380"/>
        <w:spacing w:after="0" w:line="265" w:lineRule="auto"/>
        <w:rPr>
          <w:sz w:val="20"/>
          <w:szCs w:val="20"/>
          <w:color w:val="auto"/>
        </w:rPr>
      </w:pPr>
      <w:r>
        <w:rPr>
          <w:rFonts w:ascii="Arial" w:cs="Arial" w:eastAsia="Arial" w:hAnsi="Arial"/>
          <w:sz w:val="17"/>
          <w:szCs w:val="17"/>
          <w:color w:val="auto"/>
        </w:rPr>
        <w:t>The decrease in late stage programs was driven by a decrease in costs associated with:</w:t>
      </w:r>
    </w:p>
    <w:p>
      <w:pPr>
        <w:ind w:left="5860" w:right="500" w:hanging="323"/>
        <w:spacing w:after="0" w:line="270"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advancement of LEQEMBI from late stage to marketed upon the accelerated approval of LEQEMBI in the U.S.;</w:t>
      </w:r>
    </w:p>
    <w:p>
      <w:pPr>
        <w:spacing w:after="0" w:line="6" w:lineRule="exact"/>
        <w:rPr>
          <w:sz w:val="20"/>
          <w:szCs w:val="20"/>
          <w:color w:val="auto"/>
        </w:rPr>
      </w:pPr>
    </w:p>
    <w:p>
      <w:pPr>
        <w:ind w:left="5860" w:right="360" w:hanging="323"/>
        <w:spacing w:after="0" w:line="265"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advancement of LUNSUMIO from late stage to marketed upon the accelerated approval of LUNSUMIO in the U.S; and</w:t>
      </w:r>
    </w:p>
    <w:p>
      <w:pPr>
        <w:ind w:left="5860" w:right="360" w:hanging="323"/>
        <w:spacing w:after="0" w:line="270"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advancement of ZURZUVAE from late stage to marketed upon the approval of ZURZUVAE for PPD in the U.S.</w:t>
      </w:r>
    </w:p>
    <w:p>
      <w:pPr>
        <w:spacing w:after="0" w:line="19" w:lineRule="exact"/>
        <w:rPr>
          <w:sz w:val="20"/>
          <w:szCs w:val="20"/>
          <w:color w:val="auto"/>
        </w:rPr>
      </w:pPr>
    </w:p>
    <w:p>
      <w:pPr>
        <w:ind w:left="5900" w:right="180"/>
        <w:spacing w:after="0" w:line="260" w:lineRule="auto"/>
        <w:rPr>
          <w:sz w:val="20"/>
          <w:szCs w:val="20"/>
          <w:color w:val="auto"/>
        </w:rPr>
      </w:pPr>
      <w:r>
        <w:rPr>
          <w:rFonts w:ascii="Arial" w:cs="Arial" w:eastAsia="Arial" w:hAnsi="Arial"/>
          <w:sz w:val="17"/>
          <w:szCs w:val="17"/>
          <w:color w:val="auto"/>
        </w:rPr>
        <w:t>The decrease was partially offset by an increase in costs associated with:</w:t>
      </w:r>
    </w:p>
    <w:p>
      <w:pPr>
        <w:ind w:left="5580"/>
        <w:spacing w:after="0"/>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development of litifilimab for the treatment of SLE into late stage; and</w:t>
      </w:r>
    </w:p>
    <w:p>
      <w:pPr>
        <w:spacing w:after="0" w:line="56" w:lineRule="exact"/>
        <w:rPr>
          <w:sz w:val="20"/>
          <w:szCs w:val="20"/>
          <w:color w:val="auto"/>
        </w:rPr>
      </w:pPr>
    </w:p>
    <w:p>
      <w:pPr>
        <w:ind w:left="5580"/>
        <w:spacing w:after="0"/>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development of TOFIDENCE, a tocilizumab biosimilar referencing</w:t>
      </w:r>
    </w:p>
    <w:p>
      <w:pPr>
        <w:spacing w:after="0" w:line="1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ACTEMRA.</w:t>
      </w:r>
    </w:p>
    <w:p>
      <w:pPr>
        <w:spacing w:after="0" w:line="48"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MARKETED PROGRAMS</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YTD 2023 vs. YTD 2022</w:t>
      </w:r>
    </w:p>
    <w:p>
      <w:pPr>
        <w:spacing w:after="0" w:line="51" w:lineRule="exact"/>
        <w:rPr>
          <w:sz w:val="20"/>
          <w:szCs w:val="20"/>
          <w:color w:val="auto"/>
        </w:rPr>
      </w:pPr>
    </w:p>
    <w:p>
      <w:pPr>
        <w:ind w:left="5900" w:right="420"/>
        <w:spacing w:after="0" w:line="254" w:lineRule="auto"/>
        <w:rPr>
          <w:sz w:val="20"/>
          <w:szCs w:val="20"/>
          <w:color w:val="auto"/>
        </w:rPr>
      </w:pPr>
      <w:r>
        <w:rPr>
          <w:rFonts w:ascii="Arial" w:cs="Arial" w:eastAsia="Arial" w:hAnsi="Arial"/>
          <w:sz w:val="17"/>
          <w:szCs w:val="17"/>
          <w:color w:val="auto"/>
        </w:rPr>
        <w:t>The increase in marketed programs was driven by an increase in costs associated with:</w:t>
      </w:r>
    </w:p>
    <w:p>
      <w:pPr>
        <w:spacing w:after="0" w:line="18" w:lineRule="exact"/>
        <w:rPr>
          <w:sz w:val="20"/>
          <w:szCs w:val="20"/>
          <w:color w:val="auto"/>
        </w:rPr>
      </w:pPr>
    </w:p>
    <w:p>
      <w:pPr>
        <w:ind w:left="5860" w:right="500" w:hanging="323"/>
        <w:spacing w:after="0" w:line="265"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advancement of LEQEMBI from late stage to marketed upon the accelerated approval of LEQEMBI in the U.S.;</w:t>
      </w:r>
    </w:p>
    <w:p>
      <w:pPr>
        <w:ind w:left="5860" w:right="360" w:hanging="323"/>
        <w:spacing w:after="0" w:line="270"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advancement of ZURZUVAE from late stage to marketed upon the approval of ZURZUVAE for PPD in the U.S.; and</w:t>
      </w:r>
    </w:p>
    <w:p>
      <w:pPr>
        <w:spacing w:after="0" w:line="6" w:lineRule="exact"/>
        <w:rPr>
          <w:sz w:val="20"/>
          <w:szCs w:val="20"/>
          <w:color w:val="auto"/>
        </w:rPr>
      </w:pPr>
    </w:p>
    <w:p>
      <w:pPr>
        <w:ind w:left="5860" w:right="400" w:hanging="323"/>
        <w:spacing w:after="0" w:line="270" w:lineRule="auto"/>
        <w:tabs>
          <w:tab w:leader="none" w:pos="5840" w:val="left"/>
        </w:tabs>
        <w:rPr>
          <w:sz w:val="20"/>
          <w:szCs w:val="20"/>
          <w:color w:val="auto"/>
        </w:rPr>
      </w:pPr>
      <w:r>
        <w:rPr>
          <w:rFonts w:ascii="Arial" w:cs="Arial" w:eastAsia="Arial" w:hAnsi="Arial"/>
          <w:sz w:val="17"/>
          <w:szCs w:val="17"/>
          <w:color w:val="0070C0"/>
        </w:rPr>
        <w:t>•</w:t>
      </w:r>
      <w:r>
        <w:rPr>
          <w:rFonts w:ascii="Arial" w:cs="Arial" w:eastAsia="Arial" w:hAnsi="Arial"/>
          <w:sz w:val="17"/>
          <w:szCs w:val="17"/>
          <w:color w:val="auto"/>
        </w:rPr>
        <w:tab/>
        <w:t>increased spend in ADUHELM primarily due to change in our cost sharing arrangement with Eisai.</w:t>
      </w:r>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 significant amount of our research and development costs consist of indirect costs 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spacing w:after="0" w:line="18" w:lineRule="exact"/>
        <w:rPr>
          <w:sz w:val="20"/>
          <w:szCs w:val="20"/>
          <w:color w:val="auto"/>
        </w:rPr>
      </w:pPr>
    </w:p>
    <w:p>
      <w:pPr>
        <w:ind w:left="500" w:right="200" w:hanging="330"/>
        <w:spacing w:after="0" w:line="281" w:lineRule="auto"/>
        <w:tabs>
          <w:tab w:leader="none" w:pos="455" w:val="left"/>
        </w:tabs>
        <w:numPr>
          <w:ilvl w:val="0"/>
          <w:numId w:val="31"/>
        </w:numPr>
        <w:rPr>
          <w:rFonts w:ascii="Arial" w:cs="Arial" w:eastAsia="Arial" w:hAnsi="Arial"/>
          <w:sz w:val="18"/>
          <w:szCs w:val="18"/>
          <w:color w:val="0070C0"/>
        </w:rPr>
      </w:pPr>
      <w:r>
        <w:rPr>
          <w:rFonts w:ascii="Arial" w:cs="Arial" w:eastAsia="Arial" w:hAnsi="Arial"/>
          <w:sz w:val="18"/>
          <w:szCs w:val="18"/>
          <w:b w:val="1"/>
          <w:bCs w:val="1"/>
          <w:color w:val="0070C0"/>
        </w:rPr>
        <w:t xml:space="preserve">Marketed products: </w:t>
      </w:r>
      <w:r>
        <w:rPr>
          <w:rFonts w:ascii="Arial" w:cs="Arial" w:eastAsia="Arial" w:hAnsi="Arial"/>
          <w:sz w:val="18"/>
          <w:szCs w:val="18"/>
          <w:color w:val="000000"/>
        </w:rPr>
        <w:t>includes costs associated with product lifecycle management activities including, if applicable, costs associated</w:t>
      </w:r>
      <w:r>
        <w:rPr>
          <w:rFonts w:ascii="Arial" w:cs="Arial" w:eastAsia="Arial" w:hAnsi="Arial"/>
          <w:sz w:val="18"/>
          <w:szCs w:val="18"/>
          <w:b w:val="1"/>
          <w:bCs w:val="1"/>
          <w:color w:val="0070C0"/>
        </w:rPr>
        <w:t xml:space="preserve"> </w:t>
      </w:r>
      <w:r>
        <w:rPr>
          <w:rFonts w:ascii="Arial" w:cs="Arial" w:eastAsia="Arial" w:hAnsi="Arial"/>
          <w:sz w:val="18"/>
          <w:szCs w:val="18"/>
          <w:color w:val="000000"/>
        </w:rPr>
        <w:t>with the development of new indications for existing products.</w:t>
      </w:r>
    </w:p>
    <w:p>
      <w:pPr>
        <w:spacing w:after="0" w:line="1" w:lineRule="exact"/>
        <w:rPr>
          <w:rFonts w:ascii="Arial" w:cs="Arial" w:eastAsia="Arial" w:hAnsi="Arial"/>
          <w:sz w:val="18"/>
          <w:szCs w:val="18"/>
          <w:color w:val="0070C0"/>
        </w:rPr>
      </w:pPr>
    </w:p>
    <w:p>
      <w:pPr>
        <w:ind w:left="440" w:hanging="270"/>
        <w:spacing w:after="0"/>
        <w:tabs>
          <w:tab w:leader="none" w:pos="440" w:val="left"/>
        </w:tabs>
        <w:numPr>
          <w:ilvl w:val="0"/>
          <w:numId w:val="31"/>
        </w:numPr>
        <w:rPr>
          <w:rFonts w:ascii="Arial" w:cs="Arial" w:eastAsia="Arial" w:hAnsi="Arial"/>
          <w:sz w:val="18"/>
          <w:szCs w:val="18"/>
          <w:color w:val="0070C0"/>
        </w:rPr>
      </w:pPr>
      <w:r>
        <w:rPr>
          <w:rFonts w:ascii="Arial" w:cs="Arial" w:eastAsia="Arial" w:hAnsi="Arial"/>
          <w:sz w:val="18"/>
          <w:szCs w:val="18"/>
          <w:b w:val="1"/>
          <w:bCs w:val="1"/>
          <w:color w:val="0070C0"/>
        </w:rPr>
        <w:t xml:space="preserve">Late stage programs: </w:t>
      </w:r>
      <w:r>
        <w:rPr>
          <w:rFonts w:ascii="Arial" w:cs="Arial" w:eastAsia="Arial" w:hAnsi="Arial"/>
          <w:sz w:val="18"/>
          <w:szCs w:val="18"/>
          <w:color w:val="000000"/>
        </w:rPr>
        <w:t>are programs in Phase 3 development or in registration stage.</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31"/>
        </w:numPr>
        <w:rPr>
          <w:rFonts w:ascii="Arial" w:cs="Arial" w:eastAsia="Arial" w:hAnsi="Arial"/>
          <w:sz w:val="18"/>
          <w:szCs w:val="18"/>
          <w:color w:val="0070C0"/>
        </w:rPr>
      </w:pPr>
      <w:r>
        <w:rPr>
          <w:rFonts w:ascii="Arial" w:cs="Arial" w:eastAsia="Arial" w:hAnsi="Arial"/>
          <w:sz w:val="18"/>
          <w:szCs w:val="18"/>
          <w:b w:val="1"/>
          <w:bCs w:val="1"/>
          <w:color w:val="0070C0"/>
        </w:rPr>
        <w:t xml:space="preserve">Early stage programs: </w:t>
      </w:r>
      <w:r>
        <w:rPr>
          <w:rFonts w:ascii="Arial" w:cs="Arial" w:eastAsia="Arial" w:hAnsi="Arial"/>
          <w:sz w:val="18"/>
          <w:szCs w:val="18"/>
          <w:color w:val="000000"/>
        </w:rPr>
        <w:t>are programs in Phase 1 or Phase 2 development.</w:t>
      </w:r>
    </w:p>
    <w:p>
      <w:pPr>
        <w:spacing w:after="0" w:line="63" w:lineRule="exact"/>
        <w:rPr>
          <w:rFonts w:ascii="Arial" w:cs="Arial" w:eastAsia="Arial" w:hAnsi="Arial"/>
          <w:sz w:val="18"/>
          <w:szCs w:val="18"/>
          <w:color w:val="0070C0"/>
        </w:rPr>
      </w:pPr>
    </w:p>
    <w:p>
      <w:pPr>
        <w:ind w:left="440" w:hanging="270"/>
        <w:spacing w:after="0"/>
        <w:tabs>
          <w:tab w:leader="none" w:pos="440" w:val="left"/>
        </w:tabs>
        <w:numPr>
          <w:ilvl w:val="0"/>
          <w:numId w:val="31"/>
        </w:numPr>
        <w:rPr>
          <w:rFonts w:ascii="Arial" w:cs="Arial" w:eastAsia="Arial" w:hAnsi="Arial"/>
          <w:sz w:val="18"/>
          <w:szCs w:val="18"/>
          <w:color w:val="0070C0"/>
        </w:rPr>
      </w:pPr>
      <w:r>
        <w:rPr>
          <w:rFonts w:ascii="Arial" w:cs="Arial" w:eastAsia="Arial" w:hAnsi="Arial"/>
          <w:sz w:val="18"/>
          <w:szCs w:val="18"/>
          <w:b w:val="1"/>
          <w:bCs w:val="1"/>
          <w:color w:val="0070C0"/>
        </w:rPr>
        <w:t xml:space="preserve">Research and discovery: </w:t>
      </w:r>
      <w:r>
        <w:rPr>
          <w:rFonts w:ascii="Arial" w:cs="Arial" w:eastAsia="Arial" w:hAnsi="Arial"/>
          <w:sz w:val="18"/>
          <w:szCs w:val="18"/>
          <w:color w:val="000000"/>
        </w:rPr>
        <w:t>represents costs incurred to support our discovery research and translational science efforts.</w:t>
      </w:r>
    </w:p>
    <w:p>
      <w:pPr>
        <w:spacing w:after="0" w:line="63" w:lineRule="exact"/>
        <w:rPr>
          <w:rFonts w:ascii="Arial" w:cs="Arial" w:eastAsia="Arial" w:hAnsi="Arial"/>
          <w:sz w:val="18"/>
          <w:szCs w:val="18"/>
          <w:color w:val="0070C0"/>
        </w:rPr>
      </w:pPr>
    </w:p>
    <w:p>
      <w:pPr>
        <w:ind w:left="500" w:right="520" w:hanging="330"/>
        <w:spacing w:after="0" w:line="281" w:lineRule="auto"/>
        <w:tabs>
          <w:tab w:leader="none" w:pos="455" w:val="left"/>
        </w:tabs>
        <w:numPr>
          <w:ilvl w:val="0"/>
          <w:numId w:val="31"/>
        </w:numPr>
        <w:rPr>
          <w:rFonts w:ascii="Arial" w:cs="Arial" w:eastAsia="Arial" w:hAnsi="Arial"/>
          <w:sz w:val="18"/>
          <w:szCs w:val="18"/>
          <w:color w:val="0070C0"/>
        </w:rPr>
      </w:pPr>
      <w:r>
        <w:rPr>
          <w:rFonts w:ascii="Arial" w:cs="Arial" w:eastAsia="Arial" w:hAnsi="Arial"/>
          <w:sz w:val="18"/>
          <w:szCs w:val="18"/>
          <w:b w:val="1"/>
          <w:bCs w:val="1"/>
          <w:color w:val="0070C0"/>
        </w:rPr>
        <w:t xml:space="preserve">Development stage: </w:t>
      </w:r>
      <w:r>
        <w:rPr>
          <w:rFonts w:ascii="Arial" w:cs="Arial" w:eastAsia="Arial" w:hAnsi="Arial"/>
          <w:sz w:val="18"/>
          <w:szCs w:val="18"/>
          <w:color w:val="000000"/>
        </w:rPr>
        <w:t>based upon the program status when incurred. Therefore, the same program could be reflected in different</w:t>
      </w:r>
      <w:r>
        <w:rPr>
          <w:rFonts w:ascii="Arial" w:cs="Arial" w:eastAsia="Arial" w:hAnsi="Arial"/>
          <w:sz w:val="18"/>
          <w:szCs w:val="18"/>
          <w:b w:val="1"/>
          <w:bCs w:val="1"/>
          <w:color w:val="0070C0"/>
        </w:rPr>
        <w:t xml:space="preserve"> </w:t>
      </w:r>
      <w:r>
        <w:rPr>
          <w:rFonts w:ascii="Arial" w:cs="Arial" w:eastAsia="Arial" w:hAnsi="Arial"/>
          <w:sz w:val="18"/>
          <w:szCs w:val="18"/>
          <w:color w:val="000000"/>
        </w:rPr>
        <w:t>development stages in the same year.</w:t>
      </w:r>
    </w:p>
    <w:p>
      <w:pPr>
        <w:spacing w:after="0" w:line="1" w:lineRule="exact"/>
        <w:rPr>
          <w:rFonts w:ascii="Arial" w:cs="Arial" w:eastAsia="Arial" w:hAnsi="Arial"/>
          <w:sz w:val="18"/>
          <w:szCs w:val="18"/>
          <w:color w:val="0070C0"/>
        </w:rPr>
      </w:pPr>
    </w:p>
    <w:p>
      <w:pPr>
        <w:ind w:left="500" w:right="640" w:hanging="330"/>
        <w:spacing w:after="0" w:line="287" w:lineRule="auto"/>
        <w:tabs>
          <w:tab w:leader="none" w:pos="455" w:val="left"/>
        </w:tabs>
        <w:numPr>
          <w:ilvl w:val="0"/>
          <w:numId w:val="31"/>
        </w:numPr>
        <w:rPr>
          <w:rFonts w:ascii="Arial" w:cs="Arial" w:eastAsia="Arial" w:hAnsi="Arial"/>
          <w:sz w:val="18"/>
          <w:szCs w:val="18"/>
          <w:color w:val="0070C0"/>
        </w:rPr>
      </w:pPr>
      <w:r>
        <w:rPr>
          <w:rFonts w:ascii="Arial" w:cs="Arial" w:eastAsia="Arial" w:hAnsi="Arial"/>
          <w:sz w:val="18"/>
          <w:szCs w:val="18"/>
          <w:b w:val="1"/>
          <w:bCs w:val="1"/>
          <w:color w:val="0070C0"/>
        </w:rPr>
        <w:t xml:space="preserve">Other research and development costs: </w:t>
      </w:r>
      <w:r>
        <w:rPr>
          <w:rFonts w:ascii="Arial" w:cs="Arial" w:eastAsia="Arial" w:hAnsi="Arial"/>
          <w:sz w:val="18"/>
          <w:szCs w:val="18"/>
          <w:color w:val="000000"/>
        </w:rPr>
        <w:t>For several of our programs, the research and development activities are part of our</w:t>
      </w:r>
      <w:r>
        <w:rPr>
          <w:rFonts w:ascii="Arial" w:cs="Arial" w:eastAsia="Arial" w:hAnsi="Arial"/>
          <w:sz w:val="18"/>
          <w:szCs w:val="18"/>
          <w:b w:val="1"/>
          <w:bCs w:val="1"/>
          <w:color w:val="0070C0"/>
        </w:rPr>
        <w:t xml:space="preserve"> </w:t>
      </w:r>
      <w:r>
        <w:rPr>
          <w:rFonts w:ascii="Arial" w:cs="Arial" w:eastAsia="Arial" w:hAnsi="Arial"/>
          <w:sz w:val="18"/>
          <w:szCs w:val="18"/>
          <w:color w:val="000000"/>
        </w:rPr>
        <w:t>collaborative and other relationships. Our costs reflect our share of the total costs incurred.</w:t>
      </w:r>
    </w:p>
    <w:p>
      <w:pPr>
        <w:spacing w:after="0" w:line="5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Excluding upfront payments, we expect our core research and development expense to modestly increase in 2023, as we continue to invest in our pipeline. We intend to continue committing significant resources to targeted research and development opportunities where there is a significant unmet need and where a drug candidate has the potential to be highly differentiated.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SELLING, GENERAL AND ADMINISTRATIVE</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three and nine months ended September 30, 2023, compared to the same periods in 2022, selling, general and administrative expense increased by approximately 39.9% and 9.6%, respectively, primarily due to the recognition of approximately $196.4 million in compensation expense related to our acquisition of Reata. This amount was associated with the accelerated vesting of stock options and RSUs previously granted to Reata employees and required no future services to vest. Additionally, we incurred transaction and integration-related expenses of approximately $29.6 million related to the acquisition. The increases were partially offset by the impact of cost-reduction measures realized during 2023.</w:t>
      </w:r>
    </w:p>
    <w:p>
      <w:pPr>
        <w:spacing w:after="0" w:line="8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During the third quarter of 2023 we recorded a reclassification of $38.7 million in LEQEMBI collaboration costs from other revenue to selling, general and administrative expense within our condensed consolidated statements of income.</w:t>
      </w:r>
    </w:p>
    <w:p>
      <w:pPr>
        <w:spacing w:after="0" w:line="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For the nine months ended September 30, 2023, selling, general and administrative expense also includes a $31.0 million obligation to Eisai related to the termination of the co-promotion agreement for our MS products in Japan during the first quarter of 2023 and accelerated depreciation recognized during the second quarter of 2023 of approximately $11.5 million.</w:t>
      </w:r>
    </w:p>
    <w:p>
      <w:pPr>
        <w:spacing w:after="0" w:line="7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Outside of the Reata acquisition-related costs, we expect selling, general and administrative costs to continue to decline in 2023 due to the implementation of our cost saving initiatives.</w:t>
      </w:r>
    </w:p>
    <w:p>
      <w:pPr>
        <w:spacing w:after="0" w:line="5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xml:space="preserve">, to our condensed consolidated financial statements included in this report. </w:t>
      </w:r>
      <w:r>
        <w:rPr>
          <w:rFonts w:ascii="Arial" w:cs="Arial" w:eastAsia="Arial" w:hAnsi="Arial"/>
          <w:sz w:val="18"/>
          <w:szCs w:val="18"/>
          <w:color w:val="auto"/>
        </w:rPr>
        <w:t>For additional information on our collaboration arrangements with Eisai,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19,</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condensed consolidated financial statements included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0070C0"/>
        </w:rPr>
        <w:t>AMORTIZATION AND IMPAIRMENT OF ACQUIRED INTANGIBLE ASSETS</w:t>
      </w:r>
    </w:p>
    <w:p>
      <w:pPr>
        <w:spacing w:after="0" w:line="10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TYSABRI, AVONEX, SPINRAZA, VUMERITY and SKYCLARYS, which was obtained as part of our acquisition of Reata in September 2023.</w:t>
      </w:r>
    </w:p>
    <w:p>
      <w:pPr>
        <w:spacing w:after="0" w:line="7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For the nine months ended September 30, 2023, compared to the same period in 2022, the decrease in amortization and impairment of acquired intangible assets was primarily due to lower rates of amortization for acquired intangible assets in the current year. For the three and nine months ended September 30, 2023 and 2022, we had no impairment charges.</w:t>
      </w:r>
    </w:p>
    <w:p>
      <w:pPr>
        <w:spacing w:after="0" w:line="66"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condensed consolidated financial statements included in this report.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7, 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COLLABORATION PROFIT SHARING/(LOSS REIMBURSEMENT)</w:t>
      </w:r>
    </w:p>
    <w:p>
      <w:pPr>
        <w:spacing w:after="0" w:line="10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Collaboration profit sharing/(loss reimbursement) primarily includes Samsung Bioepis' 50.0% share of the profit or loss related to our biosimilars 2013 commercial agreement with Samsung Bioepis and Eisai's 45.0% share of income and expense in the U.S. related to the ADUHELM Collaboration Agreement. Beginning January 1, 2023, Eisai receives only a tiered royalty based on net sales of ADUHELM, and will no longer share global profits and losses. In the third quarter of 2023 we began recognizing collaboration profit sharing/(loss reimbursement) related to Sage's 50.0% share of income and expense in the U.S. related to ZURZUVAE.</w:t>
      </w:r>
    </w:p>
    <w:p>
      <w:pPr>
        <w:spacing w:after="0" w:line="8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For the three and nine months ended September 30, 2023, we recognized net profit-sharing expense of $ 56.4 million and $170.4 million, respectively, to reflect Samsung Bioepis' 50.0% sharing of the net collaboration profits, compared to a net profit-sharing expense of $48.7 million and $171.4 million, respectively, in the prior year comparative periods.</w:t>
      </w:r>
    </w:p>
    <w:p>
      <w:pPr>
        <w:spacing w:after="0" w:line="76"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For the three and nine months ended September 30, 2023, we recorded $5.9 million to reflect Sage's 50.0% share of net collaboration expense in the U.S. related to commercialization activities to support ZURZUVAE for PPD.</w:t>
      </w:r>
    </w:p>
    <w:p>
      <w:pPr>
        <w:spacing w:after="0" w:line="5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For the three and nine months ended September 30, 2022, we recognized net reductions to our operating expense of approximately $3.4 million and $214.0 million, respectively, to reflect Eisai's 45.0% share of net collaboration losses in the U.S.</w:t>
      </w:r>
    </w:p>
    <w:p>
      <w:pPr>
        <w:spacing w:after="0" w:line="6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For additional information on our collaboration and license arrangements with Samsung Bioepis, Sage and Eisai,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RESTRUCTURING CHARGES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2023 COST SAVING INITIATIVES</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2023 we initiated additional cost saving measures as part of our Fit for Growth program to reduce operating costs, while improving operating efficiency and effectiveness. The Fit for Growth program is expected to generate approximately $1.0 billion in gross operating expense savings by 2025, some of which will be reinvested in various initiatives. The Fit for Growth program is currently estimated to include net headcount reduction of approximately 1,000 employees.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cost saving initiatives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6"/>
          </w:tcPr>
          <w:p>
            <w:pPr>
              <w:jc w:val="center"/>
              <w:ind w:left="88"/>
              <w:spacing w:after="0"/>
              <w:rPr>
                <w:sz w:val="20"/>
                <w:szCs w:val="20"/>
                <w:color w:val="auto"/>
              </w:rPr>
            </w:pPr>
            <w:r>
              <w:rPr>
                <w:rFonts w:ascii="Arial" w:cs="Arial" w:eastAsia="Arial" w:hAnsi="Arial"/>
                <w:sz w:val="14"/>
                <w:szCs w:val="14"/>
                <w:b w:val="1"/>
                <w:bCs w:val="1"/>
                <w:color w:val="auto"/>
              </w:rPr>
              <w:t>For the Three Months Ended September 30, 2023</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7"/>
          </w:tcPr>
          <w:p>
            <w:pPr>
              <w:jc w:val="center"/>
              <w:ind w:right="168"/>
              <w:spacing w:after="0"/>
              <w:rPr>
                <w:sz w:val="20"/>
                <w:szCs w:val="20"/>
                <w:color w:val="auto"/>
              </w:rPr>
            </w:pPr>
            <w:r>
              <w:rPr>
                <w:rFonts w:ascii="Arial" w:cs="Arial" w:eastAsia="Arial" w:hAnsi="Arial"/>
                <w:sz w:val="14"/>
                <w:szCs w:val="14"/>
                <w:b w:val="1"/>
                <w:bCs w:val="1"/>
                <w:color w:val="auto"/>
              </w:rPr>
              <w:t>For the Nine Months Ended September 30, 2023</w:t>
            </w: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Severance Costs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5.9</w:t>
            </w:r>
          </w:p>
        </w:tc>
        <w:tc>
          <w:tcPr>
            <w:tcW w:w="100" w:type="dxa"/>
            <w:vAlign w:val="bottom"/>
          </w:tcPr>
          <w:p>
            <w:pPr>
              <w:spacing w:after="0"/>
              <w:rPr>
                <w:sz w:val="16"/>
                <w:szCs w:val="16"/>
                <w:color w:val="auto"/>
              </w:rPr>
            </w:pPr>
          </w:p>
        </w:tc>
        <w:tc>
          <w:tcPr>
            <w:tcW w:w="880" w:type="dxa"/>
            <w:vAlign w:val="bottom"/>
            <w:shd w:val="clear" w:color="auto" w:fill="DBDBDB"/>
          </w:tcPr>
          <w:p>
            <w:pPr>
              <w:jc w:val="right"/>
              <w:ind w:right="708"/>
              <w:spacing w:after="0"/>
              <w:rPr>
                <w:sz w:val="20"/>
                <w:szCs w:val="20"/>
                <w:color w:val="auto"/>
              </w:rPr>
            </w:pPr>
            <w:r>
              <w:rPr>
                <w:rFonts w:ascii="Arial" w:cs="Arial" w:eastAsia="Arial" w:hAnsi="Arial"/>
                <w:sz w:val="14"/>
                <w:szCs w:val="14"/>
                <w:color w:val="026DCE"/>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5.9</w:t>
            </w:r>
          </w:p>
        </w:tc>
        <w:tc>
          <w:tcPr>
            <w:tcW w:w="100" w:type="dxa"/>
            <w:vAlign w:val="bottom"/>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17.4</w:t>
            </w:r>
          </w:p>
        </w:tc>
        <w:tc>
          <w:tcPr>
            <w:tcW w:w="100" w:type="dxa"/>
            <w:vAlign w:val="bottom"/>
          </w:tcPr>
          <w:p>
            <w:pPr>
              <w:spacing w:after="0"/>
              <w:rPr>
                <w:sz w:val="16"/>
                <w:szCs w:val="16"/>
                <w:color w:val="auto"/>
              </w:rPr>
            </w:pPr>
          </w:p>
        </w:tc>
        <w:tc>
          <w:tcPr>
            <w:tcW w:w="2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0070C0"/>
                <w:w w:val="76"/>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17.4</w:t>
            </w:r>
          </w:p>
        </w:tc>
        <w:tc>
          <w:tcPr>
            <w:tcW w:w="0" w:type="dxa"/>
            <w:vAlign w:val="bottom"/>
          </w:tcPr>
          <w:p>
            <w:pPr>
              <w:spacing w:after="0"/>
              <w:rPr>
                <w:sz w:val="1"/>
                <w:szCs w:val="1"/>
                <w:color w:val="auto"/>
              </w:rPr>
            </w:pPr>
          </w:p>
        </w:tc>
      </w:tr>
      <w:tr>
        <w:trPr>
          <w:trHeight w:val="203"/>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0.2</w:t>
            </w:r>
          </w:p>
        </w:tc>
        <w:tc>
          <w:tcPr>
            <w:tcW w:w="100" w:type="dxa"/>
            <w:vAlign w:val="bottom"/>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0.2</w:t>
            </w:r>
          </w:p>
        </w:tc>
        <w:tc>
          <w:tcPr>
            <w:tcW w:w="10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100" w:type="dxa"/>
            <w:vAlign w:val="bottom"/>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0" w:type="dxa"/>
            <w:vAlign w:val="bottom"/>
          </w:tcPr>
          <w:p>
            <w:pPr>
              <w:spacing w:after="0"/>
              <w:rPr>
                <w:sz w:val="1"/>
                <w:szCs w:val="1"/>
                <w:color w:val="auto"/>
              </w:rPr>
            </w:pPr>
          </w:p>
        </w:tc>
      </w:tr>
      <w:tr>
        <w:trPr>
          <w:trHeight w:val="208"/>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37.7</w:t>
            </w:r>
          </w:p>
        </w:tc>
        <w:tc>
          <w:tcPr>
            <w:tcW w:w="8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17.3</w:t>
            </w:r>
          </w:p>
        </w:tc>
        <w:tc>
          <w:tcPr>
            <w:tcW w:w="100" w:type="dxa"/>
            <w:vAlign w:val="bottom"/>
          </w:tcPr>
          <w:p>
            <w:pPr>
              <w:spacing w:after="0"/>
              <w:rPr>
                <w:sz w:val="18"/>
                <w:szCs w:val="18"/>
                <w:color w:val="auto"/>
              </w:rPr>
            </w:pPr>
          </w:p>
        </w:tc>
        <w:tc>
          <w:tcPr>
            <w:tcW w:w="880" w:type="dxa"/>
            <w:vAlign w:val="bottom"/>
            <w:tcBorders>
              <w:bottom w:val="single" w:sz="8" w:color="auto"/>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w w:val="95"/>
              </w:rPr>
              <w:t>55.0</w:t>
            </w:r>
          </w:p>
        </w:tc>
        <w:tc>
          <w:tcPr>
            <w:tcW w:w="100" w:type="dxa"/>
            <w:vAlign w:val="bottom"/>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62.6</w:t>
            </w:r>
          </w:p>
        </w:tc>
        <w:tc>
          <w:tcPr>
            <w:tcW w:w="100" w:type="dxa"/>
            <w:vAlign w:val="bottom"/>
          </w:tcPr>
          <w:p>
            <w:pPr>
              <w:spacing w:after="0"/>
              <w:rPr>
                <w:sz w:val="18"/>
                <w:szCs w:val="18"/>
                <w:color w:val="auto"/>
              </w:rPr>
            </w:pPr>
          </w:p>
        </w:tc>
        <w:tc>
          <w:tcPr>
            <w:tcW w:w="10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33.8</w:t>
            </w:r>
          </w:p>
        </w:tc>
        <w:tc>
          <w:tcPr>
            <w:tcW w:w="100" w:type="dxa"/>
            <w:vAlign w:val="bottom"/>
          </w:tcPr>
          <w:p>
            <w:pPr>
              <w:spacing w:after="0"/>
              <w:rPr>
                <w:sz w:val="18"/>
                <w:szCs w:val="18"/>
                <w:color w:val="auto"/>
              </w:rPr>
            </w:pPr>
          </w:p>
        </w:tc>
        <w:tc>
          <w:tcPr>
            <w:tcW w:w="2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96.4</w:t>
            </w:r>
          </w:p>
        </w:tc>
        <w:tc>
          <w:tcPr>
            <w:tcW w:w="0" w:type="dxa"/>
            <w:vAlign w:val="bottom"/>
          </w:tcPr>
          <w:p>
            <w:pPr>
              <w:spacing w:after="0"/>
              <w:rPr>
                <w:sz w:val="1"/>
                <w:szCs w:val="1"/>
                <w:color w:val="auto"/>
              </w:rPr>
            </w:pPr>
          </w:p>
        </w:tc>
      </w:tr>
      <w:tr>
        <w:trPr>
          <w:trHeight w:val="227"/>
        </w:trPr>
        <w:tc>
          <w:tcPr>
            <w:tcW w:w="308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37.7</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23.4</w:t>
            </w:r>
          </w:p>
        </w:tc>
        <w:tc>
          <w:tcPr>
            <w:tcW w:w="100" w:type="dxa"/>
            <w:vAlign w:val="bottom"/>
          </w:tcPr>
          <w:p>
            <w:pPr>
              <w:spacing w:after="0"/>
              <w:rPr>
                <w:sz w:val="19"/>
                <w:szCs w:val="19"/>
                <w:color w:val="auto"/>
              </w:rPr>
            </w:pPr>
          </w:p>
        </w:tc>
        <w:tc>
          <w:tcPr>
            <w:tcW w:w="880" w:type="dxa"/>
            <w:vAlign w:val="bottom"/>
            <w:tcBorders>
              <w:bottom w:val="single" w:sz="8" w:color="auto"/>
            </w:tcBorders>
            <w:shd w:val="clear" w:color="auto" w:fill="DBDBDB"/>
          </w:tcPr>
          <w:p>
            <w:pPr>
              <w:jc w:val="right"/>
              <w:ind w:right="708"/>
              <w:spacing w:after="0"/>
              <w:rPr>
                <w:sz w:val="20"/>
                <w:szCs w:val="20"/>
                <w:color w:val="auto"/>
              </w:rPr>
            </w:pPr>
            <w:r>
              <w:rPr>
                <w:rFonts w:ascii="Arial" w:cs="Arial" w:eastAsia="Arial" w:hAnsi="Arial"/>
                <w:sz w:val="14"/>
                <w:szCs w:val="14"/>
                <w:color w:val="0070C0"/>
              </w:rPr>
              <w:t>$</w:t>
            </w: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95"/>
              </w:rPr>
              <w:t>61.1</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62.6</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51.9</w:t>
            </w:r>
          </w:p>
        </w:tc>
        <w:tc>
          <w:tcPr>
            <w:tcW w:w="100" w:type="dxa"/>
            <w:vAlign w:val="bottom"/>
          </w:tcPr>
          <w:p>
            <w:pPr>
              <w:spacing w:after="0"/>
              <w:rPr>
                <w:sz w:val="19"/>
                <w:szCs w:val="19"/>
                <w:color w:val="auto"/>
              </w:rPr>
            </w:pPr>
          </w:p>
        </w:tc>
        <w:tc>
          <w:tcPr>
            <w:tcW w:w="2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0070C0"/>
                <w:w w:val="76"/>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114.5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color w:val="auto"/>
        </w:rPr>
        <w:t>REATA INTEGRATION</w:t>
      </w:r>
    </w:p>
    <w:p>
      <w:pPr>
        <w:spacing w:after="0" w:line="12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Following the closing of the Reata acquisition, we implemented an integration plan designed to realize operating synergies through cost savings and avoidance. We expect to incur restructuring charges of approximately $30.0 million in 2023. These amounts are primarily related to severance and are expected to be paid by the end of 2024. For the three and nine months ended September 30, 2023, we recognized approximately $21.0 million of net pre-tax restructuring charges, primarily consisting of employee severance costs.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2022 COST SAVING INITIATIVES</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December 2021 and May 2022 we announced our plans to implement a series of cost-reduction measures during 2022. These savings are being achieved through a number of initiatives, including reductions to our workforce, the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substantial elimination of our commercial ADUHELM infrastructure, deprioritization of certain research and development programs, the consolidation of certain real estate locations and operating efficiencies across our selling, general and administrative and research and development functions. Charges related to our 2022 cost saving initiatives were substantially incurred during 2022 with remaining payments expected to be made through 2026.</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2022 cost saving initiatives are summarized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gridSpan w:val="12"/>
          </w:tcPr>
          <w:p>
            <w:pPr>
              <w:jc w:val="center"/>
              <w:ind w:right="200"/>
              <w:spacing w:after="0"/>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2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68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22"/>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2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8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2"/>
          </w:tcPr>
          <w:p>
            <w:pPr>
              <w:jc w:val="center"/>
              <w:ind w:right="200"/>
              <w:spacing w:after="0"/>
              <w:rPr>
                <w:sz w:val="20"/>
                <w:szCs w:val="20"/>
                <w:color w:val="auto"/>
              </w:rPr>
            </w:pPr>
            <w:r>
              <w:rPr>
                <w:rFonts w:ascii="Arial" w:cs="Arial" w:eastAsia="Arial" w:hAnsi="Arial"/>
                <w:sz w:val="14"/>
                <w:szCs w:val="14"/>
                <w:color w:val="auto"/>
              </w:rPr>
              <w:t>For the Nine Months Ended September 30,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Accelerated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Depreciation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2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2.6</w:t>
            </w:r>
          </w:p>
        </w:tc>
        <w:tc>
          <w:tcPr>
            <w:tcW w:w="10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68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22"/>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20" w:type="dxa"/>
            <w:vAlign w:val="bottom"/>
            <w:shd w:val="clear" w:color="auto" w:fill="DBDBDB"/>
          </w:tcPr>
          <w:p>
            <w:pPr>
              <w:ind w:left="800"/>
              <w:spacing w:after="0"/>
              <w:rPr>
                <w:sz w:val="20"/>
                <w:szCs w:val="20"/>
                <w:color w:val="auto"/>
              </w:rPr>
            </w:pPr>
            <w:r>
              <w:rPr>
                <w:rFonts w:ascii="Arial" w:cs="Arial" w:eastAsia="Arial" w:hAnsi="Arial"/>
                <w:sz w:val="14"/>
                <w:szCs w:val="14"/>
                <w:color w:val="0070C0"/>
              </w:rPr>
              <w:t>—</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80" w:type="dxa"/>
            <w:vAlign w:val="bottom"/>
            <w:shd w:val="clear" w:color="auto" w:fill="DBDBDB"/>
          </w:tcPr>
          <w:p>
            <w:pPr>
              <w:spacing w:after="0"/>
              <w:rPr>
                <w:sz w:val="19"/>
                <w:szCs w:val="19"/>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110.2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120015</wp:posOffset>
            </wp:positionV>
            <wp:extent cx="24085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72" w:lineRule="exact"/>
        <w:rPr>
          <w:sz w:val="20"/>
          <w:szCs w:val="20"/>
          <w:color w:val="auto"/>
        </w:rPr>
      </w:pPr>
    </w:p>
    <w:p>
      <w:pPr>
        <w:ind w:right="120" w:firstLine="8"/>
        <w:spacing w:after="0"/>
        <w:tabs>
          <w:tab w:leader="none" w:pos="154"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Amounts reflect a gain recorded during the third quarter of 2022 of approximately $5.3 million related to the partial termination of a portion of our lease located at 300 Binney Street.</w:t>
      </w:r>
    </w:p>
    <w:p>
      <w:pPr>
        <w:spacing w:after="0" w:line="236" w:lineRule="exact"/>
        <w:rPr>
          <w:sz w:val="20"/>
          <w:szCs w:val="20"/>
          <w:color w:val="auto"/>
        </w:rPr>
      </w:pPr>
    </w:p>
    <w:p>
      <w:pPr>
        <w:ind w:right="860"/>
        <w:spacing w:after="0" w:line="282" w:lineRule="auto"/>
        <w:rPr>
          <w:sz w:val="20"/>
          <w:szCs w:val="20"/>
          <w:color w:val="auto"/>
        </w:rPr>
      </w:pPr>
      <w:r>
        <w:rPr>
          <w:rFonts w:ascii="Arial" w:cs="Arial" w:eastAsia="Arial" w:hAnsi="Arial"/>
          <w:sz w:val="18"/>
          <w:szCs w:val="18"/>
          <w:color w:val="auto"/>
        </w:rPr>
        <w:t xml:space="preserve">For additional information on our cost saving initiatives, please read </w:t>
      </w:r>
      <w:r>
        <w:rPr>
          <w:rFonts w:ascii="Arial" w:cs="Arial" w:eastAsia="Arial" w:hAnsi="Arial"/>
          <w:sz w:val="18"/>
          <w:szCs w:val="18"/>
          <w:i w:val="1"/>
          <w:iCs w:val="1"/>
          <w:color w:val="auto"/>
        </w:rPr>
        <w:t>Note 4, Restructuring,</w:t>
      </w:r>
      <w:r>
        <w:rPr>
          <w:rFonts w:ascii="Arial" w:cs="Arial" w:eastAsia="Arial" w:hAnsi="Arial"/>
          <w:sz w:val="18"/>
          <w:szCs w:val="18"/>
          <w:color w:val="auto"/>
        </w:rPr>
        <w:t xml:space="preserve">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GAIN ON SALE OF BUILDING</w:t>
      </w:r>
    </w:p>
    <w:p>
      <w:pPr>
        <w:spacing w:after="0" w:line="10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September 2022 we completed the sale of our building and land parcel located at 125 Broadway for an aggregate sales price of approximately $603.0 million, which is inclusive of a $10.8 million tenant allowance. This sale resulted in a pre-tax gain on sale of approximately $503.7 million, net of transaction costs, which is reflected within gain on sale of building in our condensed consolidated statements of income for the three and nine months ended September 30, 2022. Simultaneously, with the close of this transaction we leased back the building for a term of approximately 5.5 years, which resulted in the recognition of approximately $ 168.2 million in a new lease liability and right-of-use asset recorded within our condensed consolidated balance sheets as of December 31, 2022. The sale and immediate leaseback of this building qualified for sale and leaseback treatment and is classified as an operating lease.</w:t>
      </w:r>
    </w:p>
    <w:p>
      <w:pPr>
        <w:spacing w:after="0" w:line="81"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For additional information on the sale of our building,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to our condensed consolidated financial statements included in this report.</w:t>
      </w:r>
    </w:p>
    <w:p>
      <w:pPr>
        <w:spacing w:after="0" w:line="54"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color w:val="auto"/>
        </w:rPr>
        <w:t xml:space="preserve">For additional information on our 300 Binney Street lease modification,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to these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OTHER (INCOME) EXPENSE, NET</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three months ended September 30, 2023, compared to the same period in 2022, the change in other (income) expense, net primarily reflects net losses on our holdings in equity securities of approximately $302.0 million partially offset by higher interest income driven by higher interest rates.</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the nine months ended September 30, 2023, compared to the same period in 2022, the change in other (income) expense, net primarily reflects a pre-tax gain recorded during the second quarter of 2022 of approximately $1.5 billion related to the sale of our 49.9% equity interest in Samsung Bioepis, partially offset by a pre-tax charge recorded during the second quarter of 2022 of approximately $900.0 million, plus settlement fees and expenses, related to a litigation settlement agreement to resolve a qui tam litigation relating to conduct prior to 2015.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NET (GAINS) LOSSES IN EQUITY SECURITIES</w:t>
      </w:r>
    </w:p>
    <w:p>
      <w:pPr>
        <w:spacing w:after="0" w:line="126"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For the three months ended September 30, 2023, net unrealized and realized losses on our holdings in equity securities were approximately $297.6 million and $4.4 million, respectively, compared to net unrealized and realized gains of approximately $109.3 million and $0.5 million, respectively, in the prior year comparative period.</w:t>
      </w:r>
    </w:p>
    <w:p>
      <w:pPr>
        <w:spacing w:after="0" w:line="76" w:lineRule="exact"/>
        <w:rPr>
          <w:sz w:val="20"/>
          <w:szCs w:val="20"/>
          <w:color w:val="auto"/>
        </w:rPr>
      </w:pPr>
    </w:p>
    <w:p>
      <w:pPr>
        <w:ind w:left="340" w:right="180" w:hanging="332"/>
        <w:spacing w:after="0" w:line="275" w:lineRule="auto"/>
        <w:tabs>
          <w:tab w:leader="none" w:pos="295" w:val="left"/>
        </w:tabs>
        <w:numPr>
          <w:ilvl w:val="0"/>
          <w:numId w:val="33"/>
        </w:numPr>
        <w:rPr>
          <w:rFonts w:ascii="Arial" w:cs="Arial" w:eastAsia="Arial" w:hAnsi="Arial"/>
          <w:sz w:val="18"/>
          <w:szCs w:val="18"/>
          <w:color w:val="0070C0"/>
        </w:rPr>
      </w:pPr>
      <w:r>
        <w:rPr>
          <w:rFonts w:ascii="Arial" w:cs="Arial" w:eastAsia="Arial" w:hAnsi="Arial"/>
          <w:sz w:val="18"/>
          <w:szCs w:val="18"/>
          <w:color w:val="auto"/>
        </w:rPr>
        <w:t>The net unrealized losses recognized during the three months ended September 30, 2023, primarily reflect a decrease in the aggregate fair value of our investments in Sage, Denali and Sangamo common stock of approximately $295.6 million.</w:t>
      </w:r>
    </w:p>
    <w:p>
      <w:pPr>
        <w:spacing w:after="0" w:line="65" w:lineRule="exact"/>
        <w:rPr>
          <w:rFonts w:ascii="Arial" w:cs="Arial" w:eastAsia="Arial" w:hAnsi="Arial"/>
          <w:sz w:val="18"/>
          <w:szCs w:val="18"/>
          <w:color w:val="0070C0"/>
        </w:rPr>
      </w:pPr>
    </w:p>
    <w:p>
      <w:pPr>
        <w:ind w:left="340" w:right="220" w:hanging="332"/>
        <w:spacing w:after="0" w:line="275" w:lineRule="auto"/>
        <w:tabs>
          <w:tab w:leader="none" w:pos="295" w:val="left"/>
        </w:tabs>
        <w:numPr>
          <w:ilvl w:val="0"/>
          <w:numId w:val="33"/>
        </w:numPr>
        <w:rPr>
          <w:rFonts w:ascii="Arial" w:cs="Arial" w:eastAsia="Arial" w:hAnsi="Arial"/>
          <w:sz w:val="18"/>
          <w:szCs w:val="18"/>
          <w:color w:val="0070C0"/>
        </w:rPr>
      </w:pPr>
      <w:r>
        <w:rPr>
          <w:rFonts w:ascii="Arial" w:cs="Arial" w:eastAsia="Arial" w:hAnsi="Arial"/>
          <w:sz w:val="18"/>
          <w:szCs w:val="18"/>
          <w:color w:val="auto"/>
        </w:rPr>
        <w:t>The net unrealized gains recognized during the three months ended September 30, 2022, primarily reflect an increase in the aggregate fair value of our investments in Sage, Ionis, Sangamo and Denali common stock of approximately $112.5 million.</w:t>
      </w:r>
    </w:p>
    <w:p>
      <w:pPr>
        <w:spacing w:after="0" w:line="6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For the nine months ended September 30, 2023, net unrealized and realized losses on our holdings in equity securities were approximately $268.3 million and $5.3 million, respectively, compared to net unrealized losses and realized (gains) losses of $158.1 million and zero, respectively, in the prior year comparative period.</w:t>
      </w:r>
    </w:p>
    <w:p>
      <w:pPr>
        <w:spacing w:after="0" w:line="76" w:lineRule="exact"/>
        <w:rPr>
          <w:sz w:val="20"/>
          <w:szCs w:val="20"/>
          <w:color w:val="auto"/>
        </w:rPr>
      </w:pPr>
    </w:p>
    <w:p>
      <w:pPr>
        <w:ind w:left="340" w:right="260" w:hanging="332"/>
        <w:spacing w:after="0" w:line="275" w:lineRule="auto"/>
        <w:tabs>
          <w:tab w:leader="none" w:pos="295" w:val="left"/>
        </w:tabs>
        <w:numPr>
          <w:ilvl w:val="0"/>
          <w:numId w:val="34"/>
        </w:numPr>
        <w:rPr>
          <w:rFonts w:ascii="Arial" w:cs="Arial" w:eastAsia="Arial" w:hAnsi="Arial"/>
          <w:sz w:val="18"/>
          <w:szCs w:val="18"/>
          <w:color w:val="0070C0"/>
        </w:rPr>
      </w:pPr>
      <w:r>
        <w:rPr>
          <w:rFonts w:ascii="Arial" w:cs="Arial" w:eastAsia="Arial" w:hAnsi="Arial"/>
          <w:sz w:val="18"/>
          <w:szCs w:val="18"/>
          <w:color w:val="auto"/>
        </w:rPr>
        <w:t>The net unrealized losses recognized during the nine months ended September 30, 2023, primarily reflect a decrease in the aggregate fair value of our investments in Sage, Denali, Sangamo and Ionis common stock of approximately $265.0 million.</w:t>
      </w:r>
    </w:p>
    <w:p>
      <w:pPr>
        <w:spacing w:after="0" w:line="65" w:lineRule="exact"/>
        <w:rPr>
          <w:rFonts w:ascii="Arial" w:cs="Arial" w:eastAsia="Arial" w:hAnsi="Arial"/>
          <w:sz w:val="18"/>
          <w:szCs w:val="18"/>
          <w:color w:val="0070C0"/>
        </w:rPr>
      </w:pPr>
    </w:p>
    <w:p>
      <w:pPr>
        <w:ind w:left="340" w:right="80" w:hanging="332"/>
        <w:spacing w:after="0" w:line="263" w:lineRule="auto"/>
        <w:tabs>
          <w:tab w:leader="none" w:pos="295" w:val="left"/>
        </w:tabs>
        <w:numPr>
          <w:ilvl w:val="0"/>
          <w:numId w:val="34"/>
        </w:numPr>
        <w:rPr>
          <w:rFonts w:ascii="Arial" w:cs="Arial" w:eastAsia="Arial" w:hAnsi="Arial"/>
          <w:sz w:val="18"/>
          <w:szCs w:val="18"/>
          <w:color w:val="0070C0"/>
        </w:rPr>
      </w:pPr>
      <w:r>
        <w:rPr>
          <w:rFonts w:ascii="Arial" w:cs="Arial" w:eastAsia="Arial" w:hAnsi="Arial"/>
          <w:sz w:val="18"/>
          <w:szCs w:val="18"/>
          <w:color w:val="auto"/>
        </w:rPr>
        <w:t>The net unrealized losses recognized during the nine months ended September 30, 2022, primarily reflect a decrease in the aggregate fair value of our investments in Denali and Sangamo common stock of approximately $198.0 million, partially offset by an increase in the fair value of Ionis and Sage common stock of approximately $52.2 million.</w:t>
      </w:r>
    </w:p>
    <w:p>
      <w:pPr>
        <w:spacing w:after="0" w:line="70"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INCOME TAX PROVISION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6"/>
          </w:tcPr>
          <w:p>
            <w:pPr>
              <w:jc w:val="center"/>
              <w:ind w:right="320"/>
              <w:spacing w:after="0"/>
              <w:rPr>
                <w:sz w:val="20"/>
                <w:szCs w:val="20"/>
                <w:color w:val="auto"/>
              </w:rPr>
            </w:pPr>
            <w:r>
              <w:rPr>
                <w:rFonts w:ascii="Arial" w:cs="Arial" w:eastAsia="Arial" w:hAnsi="Arial"/>
                <w:sz w:val="14"/>
                <w:szCs w:val="14"/>
                <w:color w:val="auto"/>
              </w:rPr>
              <w:t>For the Three Months Ended</w:t>
            </w:r>
          </w:p>
        </w:tc>
        <w:tc>
          <w:tcPr>
            <w:tcW w:w="2560" w:type="dxa"/>
            <w:vAlign w:val="bottom"/>
            <w:gridSpan w:val="6"/>
          </w:tcPr>
          <w:p>
            <w:pPr>
              <w:ind w:left="40"/>
              <w:spacing w:after="0"/>
              <w:rPr>
                <w:sz w:val="20"/>
                <w:szCs w:val="20"/>
                <w:color w:val="auto"/>
              </w:rPr>
            </w:pPr>
            <w:r>
              <w:rPr>
                <w:rFonts w:ascii="Arial" w:cs="Arial" w:eastAsia="Arial" w:hAnsi="Arial"/>
                <w:sz w:val="14"/>
                <w:szCs w:val="14"/>
                <w:color w:val="auto"/>
              </w:rPr>
              <w:t>For the Nine Months Ended September</w:t>
            </w:r>
          </w:p>
        </w:tc>
      </w:tr>
      <w:tr>
        <w:trPr>
          <w:trHeight w:val="186"/>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ind w:left="508"/>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30,</w:t>
            </w:r>
          </w:p>
        </w:tc>
        <w:tc>
          <w:tcPr>
            <w:tcW w:w="960" w:type="dxa"/>
            <w:vAlign w:val="bottom"/>
            <w:tcBorders>
              <w:bottom w:val="single" w:sz="8" w:color="auto"/>
            </w:tcBorders>
          </w:tcPr>
          <w:p>
            <w:pPr>
              <w:spacing w:after="0"/>
              <w:rPr>
                <w:sz w:val="16"/>
                <w:szCs w:val="16"/>
                <w:color w:val="auto"/>
              </w:rPr>
            </w:pPr>
          </w:p>
        </w:tc>
      </w:tr>
      <w:tr>
        <w:trPr>
          <w:trHeight w:val="193"/>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percentages)</w:t>
            </w: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84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0070C0"/>
              </w:rPr>
              <w:t>2023</w:t>
            </w:r>
          </w:p>
        </w:tc>
        <w:tc>
          <w:tcPr>
            <w:tcW w:w="160" w:type="dxa"/>
            <w:vAlign w:val="bottom"/>
            <w:tcBorders>
              <w:bottom w:val="single" w:sz="8" w:color="auto"/>
            </w:tcBorders>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8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0070C0"/>
              </w:rPr>
              <w:t>2023</w:t>
            </w:r>
          </w:p>
        </w:tc>
        <w:tc>
          <w:tcPr>
            <w:tcW w:w="16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2022</w:t>
            </w:r>
          </w:p>
        </w:tc>
      </w:tr>
      <w:tr>
        <w:trPr>
          <w:trHeight w:val="190"/>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 (benefit) expense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(141.2)</w:t>
            </w:r>
          </w:p>
        </w:tc>
        <w:tc>
          <w:tcPr>
            <w:tcW w:w="160" w:type="dxa"/>
            <w:vAlign w:val="bottom"/>
            <w:shd w:val="clear" w:color="auto" w:fill="DBDBDB"/>
          </w:tcPr>
          <w:p>
            <w:pPr>
              <w:spacing w:after="0"/>
              <w:rPr>
                <w:sz w:val="16"/>
                <w:szCs w:val="16"/>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1,371.1</w:t>
            </w:r>
          </w:p>
        </w:tc>
        <w:tc>
          <w:tcPr>
            <w:tcW w:w="80" w:type="dxa"/>
            <w:vAlign w:val="bottom"/>
          </w:tcPr>
          <w:p>
            <w:pPr>
              <w:spacing w:after="0"/>
              <w:rPr>
                <w:sz w:val="16"/>
                <w:szCs w:val="16"/>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4"/>
                <w:szCs w:val="14"/>
                <w:color w:val="0070C0"/>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1,005.2</w:t>
            </w:r>
          </w:p>
        </w:tc>
        <w:tc>
          <w:tcPr>
            <w:tcW w:w="160" w:type="dxa"/>
            <w:vAlign w:val="bottom"/>
            <w:shd w:val="clear" w:color="auto" w:fill="DBDBDB"/>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2,988.0</w:t>
            </w:r>
          </w:p>
        </w:tc>
      </w:tr>
      <w:tr>
        <w:trPr>
          <w:trHeight w:val="203"/>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22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(72.9)</w:t>
            </w:r>
          </w:p>
        </w:tc>
        <w:tc>
          <w:tcPr>
            <w:tcW w:w="16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92.6</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578.5</w:t>
            </w:r>
          </w:p>
        </w:tc>
      </w:tr>
      <w:tr>
        <w:trPr>
          <w:trHeight w:val="215"/>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22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51.6</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17.2 %</w:t>
            </w:r>
          </w:p>
        </w:tc>
        <w:tc>
          <w:tcPr>
            <w:tcW w:w="80" w:type="dxa"/>
            <w:vAlign w:val="bottom"/>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9.2</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19.4 %</w:t>
            </w:r>
          </w:p>
        </w:tc>
      </w:tr>
    </w:tbl>
    <w:p>
      <w:pPr>
        <w:spacing w:after="0" w:line="17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82"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The effective tax rate for the three months ended September 30, 2023, reflects a tax benefit of $72.9 million recognized as a result of a pretax loss from operations of $141.2 million recorded during the third quarter of 2023, which was driven, in part, by the impact of the non-cash changes in the value of our equity investments and Reata acquisition-related expenses. For all other periods presented, the effective tax rates reflect tax expense on pretax income from operations in the respective periods.</w:t>
      </w:r>
    </w:p>
    <w:p>
      <w:pPr>
        <w:spacing w:after="0" w:line="82"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For the three months ended September 30, 2023, compared to the same period in 2022, the change in our effective tax rate was driven by the impact of the non-cash changes in the value of our equity investments and Reata acquisition-related expenses.</w:t>
      </w:r>
    </w:p>
    <w:p>
      <w:pPr>
        <w:spacing w:after="0" w:line="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nine months ended September 30, 2023, compared to the same period in 2022, our effective tax rate, in addition to the items noted above, was also impacted by the combined net unfavorable tax rate impacts in 2022 related to a litigation settlement agreement, the sale of our equity interest in Samsung Bioepis, the impact of a Neurimmune valuation allowance and an international reorganization to align with global tax developments. The change also benefits from the resolution of an uncertain tax matter during the first quarter of 2023 related to tax credits.</w:t>
      </w:r>
    </w:p>
    <w:p>
      <w:pPr>
        <w:spacing w:after="0" w:line="61"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condensed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Note 17, Income Taxes</w:t>
      </w:r>
      <w:r>
        <w:rPr>
          <w:rFonts w:ascii="Arial" w:cs="Arial" w:eastAsia="Arial" w:hAnsi="Arial"/>
          <w:sz w:val="18"/>
          <w:szCs w:val="18"/>
          <w:color w:val="auto"/>
        </w:rPr>
        <w:t>, to our condensed consolidated financial statements included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0070C0"/>
        </w:rPr>
        <w:t>NONCONTROLLING INTERESTS, NET OF TAX</w:t>
      </w:r>
    </w:p>
    <w:p>
      <w:pPr>
        <w:spacing w:after="0" w:line="10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Our condensed consolidated financial statements include the financial results of our variable interest entity, Neurimmune, as we determined that we are the primary beneficiary.</w:t>
      </w:r>
    </w:p>
    <w:p>
      <w:pPr>
        <w:spacing w:after="0" w:line="6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For the nine months ended September 30, 2023, compared to the same period in 2022, the change in net income (loss) attributable to noncontrolling interests, net of tax, was primarily due to an increase in a valuation allowance of approximately $85.0 million recorded in the first quarter of 2022.</w:t>
      </w:r>
    </w:p>
    <w:p>
      <w:pPr>
        <w:spacing w:after="0" w:line="7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For additional information on the valuation allowance and our collaboration agreement with Neurimmune, please read </w:t>
      </w:r>
      <w:r>
        <w:rPr>
          <w:rFonts w:ascii="Arial" w:cs="Arial" w:eastAsia="Arial" w:hAnsi="Arial"/>
          <w:sz w:val="18"/>
          <w:szCs w:val="18"/>
          <w:i w:val="1"/>
          <w:iCs w:val="1"/>
          <w:color w:val="auto"/>
        </w:rPr>
        <w:t>Note 20, 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Variable Interest Entities, </w:t>
      </w:r>
      <w:r>
        <w:rPr>
          <w:rFonts w:ascii="Arial" w:cs="Arial" w:eastAsia="Arial" w:hAnsi="Arial"/>
          <w:sz w:val="18"/>
          <w:szCs w:val="18"/>
          <w:color w:val="auto"/>
        </w:rPr>
        <w:t>to our condensed consolidated financial statements included in this report.</w:t>
      </w:r>
    </w:p>
    <w:p>
      <w:pPr>
        <w:spacing w:after="0" w:line="110" w:lineRule="exact"/>
        <w:rPr>
          <w:sz w:val="20"/>
          <w:szCs w:val="20"/>
          <w:color w:val="auto"/>
        </w:rPr>
      </w:pPr>
    </w:p>
    <w:p>
      <w:pPr>
        <w:spacing w:after="0"/>
        <w:rPr>
          <w:sz w:val="20"/>
          <w:szCs w:val="20"/>
          <w:color w:val="auto"/>
        </w:rPr>
      </w:pPr>
      <w:r>
        <w:rPr>
          <w:rFonts w:ascii="Arial" w:cs="Arial" w:eastAsia="Arial" w:hAnsi="Arial"/>
          <w:sz w:val="25"/>
          <w:szCs w:val="25"/>
          <w:color w:val="00587F"/>
        </w:rPr>
        <w:t>FINANCIAL CONDITION, 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vMerge w:val="restart"/>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600" w:type="dxa"/>
            <w:vAlign w:val="bottom"/>
            <w:shd w:val="clear" w:color="auto" w:fill="DDDDDD"/>
          </w:tcPr>
          <w:p>
            <w:pPr>
              <w:jc w:val="right"/>
              <w:ind w:right="108"/>
              <w:spacing w:after="0"/>
              <w:rPr>
                <w:sz w:val="20"/>
                <w:szCs w:val="20"/>
                <w:color w:val="auto"/>
              </w:rPr>
            </w:pPr>
            <w:r>
              <w:rPr>
                <w:rFonts w:ascii="Arial" w:cs="Arial" w:eastAsia="Arial" w:hAnsi="Arial"/>
                <w:sz w:val="14"/>
                <w:szCs w:val="14"/>
                <w:b w:val="1"/>
                <w:bCs w:val="1"/>
                <w:color w:val="257ACB"/>
              </w:rPr>
              <w:t>As of September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shd w:val="clear" w:color="auto" w:fill="DBDBDB"/>
          </w:tcPr>
          <w:p>
            <w:pPr>
              <w:spacing w:after="0"/>
              <w:rPr>
                <w:sz w:val="14"/>
                <w:szCs w:val="14"/>
                <w:color w:val="auto"/>
              </w:rPr>
            </w:pPr>
          </w:p>
        </w:tc>
        <w:tc>
          <w:tcPr>
            <w:tcW w:w="1000" w:type="dxa"/>
            <w:vAlign w:val="bottom"/>
            <w:vMerge w:val="restart"/>
            <w:shd w:val="clear" w:color="auto" w:fill="DBDBDB"/>
          </w:tcPr>
          <w:p>
            <w:pPr>
              <w:jc w:val="right"/>
              <w:ind w:right="20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4"/>
                <w:szCs w:val="14"/>
                <w:color w:val="auto"/>
              </w:rPr>
            </w:pPr>
          </w:p>
        </w:tc>
        <w:tc>
          <w:tcPr>
            <w:tcW w:w="1300" w:type="dxa"/>
            <w:vAlign w:val="bottom"/>
            <w:gridSpan w:val="2"/>
            <w:vMerge w:val="restart"/>
            <w:shd w:val="clear" w:color="auto" w:fill="DBDBDB"/>
          </w:tcPr>
          <w:p>
            <w:pPr>
              <w:jc w:val="right"/>
              <w:ind w:right="228"/>
              <w:spacing w:after="0"/>
              <w:rPr>
                <w:sz w:val="20"/>
                <w:szCs w:val="20"/>
                <w:color w:val="auto"/>
              </w:rPr>
            </w:pPr>
            <w:r>
              <w:rPr>
                <w:rFonts w:ascii="Arial" w:cs="Arial" w:eastAsia="Arial" w:hAnsi="Arial"/>
                <w:sz w:val="14"/>
                <w:szCs w:val="14"/>
                <w:b w:val="1"/>
                <w:bCs w:val="1"/>
                <w:color w:val="0070C0"/>
              </w:rPr>
              <w:t>% Change</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600" w:type="dxa"/>
            <w:vAlign w:val="bottom"/>
            <w:tcBorders>
              <w:bottom w:val="single" w:sz="8" w:color="auto"/>
            </w:tcBorders>
            <w:shd w:val="clear" w:color="auto" w:fill="DDDDDD"/>
          </w:tcPr>
          <w:p>
            <w:pPr>
              <w:jc w:val="right"/>
              <w:ind w:right="62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gridSpan w:val="2"/>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shd w:val="clear" w:color="auto" w:fill="DDDDDD"/>
          </w:tcPr>
          <w:p>
            <w:pPr>
              <w:spacing w:after="0"/>
              <w:rPr>
                <w:sz w:val="16"/>
                <w:szCs w:val="16"/>
                <w:color w:val="auto"/>
              </w:rPr>
            </w:pPr>
          </w:p>
        </w:tc>
        <w:tc>
          <w:tcPr>
            <w:tcW w:w="160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6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2,287.9</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3,419.3</w:t>
            </w:r>
          </w:p>
        </w:tc>
        <w:tc>
          <w:tcPr>
            <w:tcW w:w="80" w:type="dxa"/>
            <w:vAlign w:val="bottom"/>
          </w:tcPr>
          <w:p>
            <w:pPr>
              <w:spacing w:after="0"/>
              <w:rPr>
                <w:sz w:val="18"/>
                <w:szCs w:val="18"/>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(1,131.4)</w:t>
            </w:r>
          </w:p>
        </w:tc>
        <w:tc>
          <w:tcPr>
            <w:tcW w:w="100" w:type="dxa"/>
            <w:vAlign w:val="bottom"/>
          </w:tcPr>
          <w:p>
            <w:pPr>
              <w:spacing w:after="0"/>
              <w:rPr>
                <w:sz w:val="18"/>
                <w:szCs w:val="18"/>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(33.1)%</w:t>
            </w:r>
          </w:p>
        </w:tc>
        <w:tc>
          <w:tcPr>
            <w:tcW w:w="0" w:type="dxa"/>
            <w:vAlign w:val="bottom"/>
          </w:tcPr>
          <w:p>
            <w:pPr>
              <w:spacing w:after="0"/>
              <w:rPr>
                <w:sz w:val="1"/>
                <w:szCs w:val="1"/>
                <w:color w:val="auto"/>
              </w:rPr>
            </w:pPr>
          </w:p>
        </w:tc>
      </w:tr>
      <w:tr>
        <w:trPr>
          <w:trHeight w:val="191"/>
        </w:trPr>
        <w:tc>
          <w:tcPr>
            <w:tcW w:w="506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current</w:t>
            </w:r>
          </w:p>
        </w:tc>
        <w:tc>
          <w:tcPr>
            <w:tcW w:w="120" w:type="dxa"/>
            <w:vAlign w:val="bottom"/>
            <w:shd w:val="clear" w:color="auto" w:fill="DBDBDB"/>
          </w:tcPr>
          <w:p>
            <w:pPr>
              <w:spacing w:after="0"/>
              <w:rPr>
                <w:sz w:val="16"/>
                <w:szCs w:val="16"/>
                <w:color w:val="auto"/>
              </w:rPr>
            </w:pPr>
          </w:p>
        </w:tc>
        <w:tc>
          <w:tcPr>
            <w:tcW w:w="1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1,473.5</w:t>
            </w:r>
          </w:p>
        </w:tc>
        <w:tc>
          <w:tcPr>
            <w:tcW w:w="8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(1,473.5)</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0070C0"/>
              </w:rPr>
              <w:t>(100.0)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06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non-current</w:t>
            </w:r>
          </w:p>
        </w:tc>
        <w:tc>
          <w:tcPr>
            <w:tcW w:w="1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705.7</w:t>
            </w:r>
          </w:p>
        </w:tc>
        <w:tc>
          <w:tcPr>
            <w:tcW w:w="8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(705.6)</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(100.0)</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060" w:type="dxa"/>
            <w:vAlign w:val="bottom"/>
            <w:gridSpan w:val="2"/>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2,288.0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5,598.5</w:t>
            </w:r>
          </w:p>
        </w:tc>
        <w:tc>
          <w:tcPr>
            <w:tcW w:w="80" w:type="dxa"/>
            <w:vAlign w:val="bottom"/>
          </w:tcPr>
          <w:p>
            <w:pPr>
              <w:spacing w:after="0"/>
              <w:rPr>
                <w:sz w:val="21"/>
                <w:szCs w:val="21"/>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(3,310.5)</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0070C0"/>
              </w:rPr>
              <w:t>(59.1)%</w:t>
            </w:r>
          </w:p>
        </w:tc>
        <w:tc>
          <w:tcPr>
            <w:tcW w:w="0" w:type="dxa"/>
            <w:vAlign w:val="bottom"/>
          </w:tcPr>
          <w:p>
            <w:pPr>
              <w:spacing w:after="0"/>
              <w:rPr>
                <w:sz w:val="1"/>
                <w:szCs w:val="1"/>
                <w:color w:val="auto"/>
              </w:rPr>
            </w:pPr>
          </w:p>
        </w:tc>
      </w:tr>
      <w:tr>
        <w:trPr>
          <w:trHeight w:val="157"/>
        </w:trPr>
        <w:tc>
          <w:tcPr>
            <w:tcW w:w="50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Borrowings:</w:t>
            </w:r>
          </w:p>
        </w:tc>
        <w:tc>
          <w:tcPr>
            <w:tcW w:w="120" w:type="dxa"/>
            <w:vAlign w:val="bottom"/>
            <w:tcBorders>
              <w:top w:val="single" w:sz="8" w:color="auto"/>
            </w:tcBorders>
            <w:shd w:val="clear" w:color="auto" w:fill="DBDBDB"/>
          </w:tcPr>
          <w:p>
            <w:pPr>
              <w:spacing w:after="0"/>
              <w:rPr>
                <w:sz w:val="13"/>
                <w:szCs w:val="13"/>
                <w:color w:val="auto"/>
              </w:rPr>
            </w:pPr>
          </w:p>
        </w:tc>
        <w:tc>
          <w:tcPr>
            <w:tcW w:w="160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shd w:val="clear" w:color="auto" w:fill="DBDBDB"/>
          </w:tcPr>
          <w:p>
            <w:pPr>
              <w:spacing w:after="0"/>
              <w:rPr>
                <w:sz w:val="13"/>
                <w:szCs w:val="13"/>
                <w:color w:val="auto"/>
              </w:rPr>
            </w:pPr>
          </w:p>
        </w:tc>
        <w:tc>
          <w:tcPr>
            <w:tcW w:w="100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60" w:type="dxa"/>
            <w:vAlign w:val="bottom"/>
            <w:gridSpan w:val="2"/>
          </w:tcPr>
          <w:p>
            <w:pPr>
              <w:ind w:left="140"/>
              <w:spacing w:after="0"/>
              <w:rPr>
                <w:sz w:val="20"/>
                <w:szCs w:val="20"/>
                <w:color w:val="auto"/>
              </w:rPr>
            </w:pPr>
            <w:r>
              <w:rPr>
                <w:rFonts w:ascii="Arial" w:cs="Arial" w:eastAsia="Arial" w:hAnsi="Arial"/>
                <w:sz w:val="14"/>
                <w:szCs w:val="14"/>
                <w:color w:val="auto"/>
              </w:rPr>
              <w:t>Current portion of term loan</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500.0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500.0</w:t>
            </w:r>
          </w:p>
        </w:tc>
        <w:tc>
          <w:tcPr>
            <w:tcW w:w="100" w:type="dxa"/>
            <w:vAlign w:val="bottom"/>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08"/>
        </w:trPr>
        <w:tc>
          <w:tcPr>
            <w:tcW w:w="5060" w:type="dxa"/>
            <w:vAlign w:val="bottom"/>
            <w:gridSpan w:val="2"/>
          </w:tcPr>
          <w:p>
            <w:pPr>
              <w:ind w:left="140"/>
              <w:spacing w:after="0"/>
              <w:rPr>
                <w:sz w:val="20"/>
                <w:szCs w:val="20"/>
                <w:color w:val="auto"/>
              </w:rPr>
            </w:pPr>
            <w:r>
              <w:rPr>
                <w:rFonts w:ascii="Arial" w:cs="Arial" w:eastAsia="Arial" w:hAnsi="Arial"/>
                <w:sz w:val="14"/>
                <w:szCs w:val="14"/>
                <w:color w:val="auto"/>
              </w:rPr>
              <w:t>Notes payable and term loan</w:t>
            </w:r>
          </w:p>
        </w:tc>
        <w:tc>
          <w:tcPr>
            <w:tcW w:w="120" w:type="dxa"/>
            <w:vAlign w:val="bottom"/>
            <w:tcBorders>
              <w:bottom w:val="single" w:sz="8" w:color="auto"/>
            </w:tcBorders>
            <w:shd w:val="clear" w:color="auto" w:fill="DBDBDB"/>
          </w:tcPr>
          <w:p>
            <w:pPr>
              <w:spacing w:after="0"/>
              <w:rPr>
                <w:sz w:val="18"/>
                <w:szCs w:val="18"/>
                <w:color w:val="auto"/>
              </w:rPr>
            </w:pPr>
          </w:p>
        </w:tc>
        <w:tc>
          <w:tcPr>
            <w:tcW w:w="16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6,786.4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6,281.0</w:t>
            </w:r>
          </w:p>
        </w:tc>
        <w:tc>
          <w:tcPr>
            <w:tcW w:w="8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505.4</w:t>
            </w:r>
          </w:p>
        </w:tc>
        <w:tc>
          <w:tcPr>
            <w:tcW w:w="100" w:type="dxa"/>
            <w:vAlign w:val="bottom"/>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8.0</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243"/>
        </w:trPr>
        <w:tc>
          <w:tcPr>
            <w:tcW w:w="5060" w:type="dxa"/>
            <w:vAlign w:val="bottom"/>
            <w:gridSpan w:val="2"/>
          </w:tcPr>
          <w:p>
            <w:pPr>
              <w:ind w:left="360"/>
              <w:spacing w:after="0"/>
              <w:rPr>
                <w:sz w:val="20"/>
                <w:szCs w:val="20"/>
                <w:color w:val="auto"/>
              </w:rPr>
            </w:pPr>
            <w:r>
              <w:rPr>
                <w:rFonts w:ascii="Arial" w:cs="Arial" w:eastAsia="Arial" w:hAnsi="Arial"/>
                <w:sz w:val="14"/>
                <w:szCs w:val="14"/>
                <w:color w:val="auto"/>
              </w:rPr>
              <w:t>Total borrowings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7,286.4</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6,281.0</w:t>
            </w:r>
          </w:p>
        </w:tc>
        <w:tc>
          <w:tcPr>
            <w:tcW w:w="80" w:type="dxa"/>
            <w:vAlign w:val="bottom"/>
          </w:tcPr>
          <w:p>
            <w:pPr>
              <w:spacing w:after="0"/>
              <w:rPr>
                <w:sz w:val="21"/>
                <w:szCs w:val="21"/>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1,005.4</w:t>
            </w:r>
          </w:p>
        </w:tc>
        <w:tc>
          <w:tcPr>
            <w:tcW w:w="100" w:type="dxa"/>
            <w:vAlign w:val="bottom"/>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0" w:type="dxa"/>
            <w:vAlign w:val="bottom"/>
          </w:tcPr>
          <w:p>
            <w:pPr>
              <w:spacing w:after="0"/>
              <w:rPr>
                <w:sz w:val="1"/>
                <w:szCs w:val="1"/>
                <w:color w:val="auto"/>
              </w:rPr>
            </w:pPr>
          </w:p>
        </w:tc>
      </w:tr>
      <w:tr>
        <w:trPr>
          <w:trHeight w:val="157"/>
        </w:trPr>
        <w:tc>
          <w:tcPr>
            <w:tcW w:w="50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Working capital:</w:t>
            </w:r>
          </w:p>
        </w:tc>
        <w:tc>
          <w:tcPr>
            <w:tcW w:w="120" w:type="dxa"/>
            <w:vAlign w:val="bottom"/>
            <w:tcBorders>
              <w:top w:val="single" w:sz="8" w:color="auto"/>
            </w:tcBorders>
            <w:shd w:val="clear" w:color="auto" w:fill="DBDBDB"/>
          </w:tcPr>
          <w:p>
            <w:pPr>
              <w:spacing w:after="0"/>
              <w:rPr>
                <w:sz w:val="13"/>
                <w:szCs w:val="13"/>
                <w:color w:val="auto"/>
              </w:rPr>
            </w:pPr>
          </w:p>
        </w:tc>
        <w:tc>
          <w:tcPr>
            <w:tcW w:w="160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shd w:val="clear" w:color="auto" w:fill="DBDBDB"/>
          </w:tcPr>
          <w:p>
            <w:pPr>
              <w:spacing w:after="0"/>
              <w:rPr>
                <w:sz w:val="13"/>
                <w:szCs w:val="13"/>
                <w:color w:val="auto"/>
              </w:rPr>
            </w:pPr>
          </w:p>
        </w:tc>
        <w:tc>
          <w:tcPr>
            <w:tcW w:w="100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top w:val="single" w:sz="8" w:color="auto"/>
            </w:tcBorders>
            <w:shd w:val="clear" w:color="auto" w:fill="DBDBDB"/>
          </w:tcPr>
          <w:p>
            <w:pPr>
              <w:spacing w:after="0"/>
              <w:rPr>
                <w:sz w:val="13"/>
                <w:szCs w:val="13"/>
                <w:color w:val="auto"/>
              </w:rPr>
            </w:pPr>
          </w:p>
        </w:tc>
        <w:tc>
          <w:tcPr>
            <w:tcW w:w="140" w:type="dxa"/>
            <w:vAlign w:val="bottom"/>
            <w:tcBorders>
              <w:top w:val="single" w:sz="8" w:color="auto"/>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06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8,454.1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9,791.2</w:t>
            </w:r>
          </w:p>
        </w:tc>
        <w:tc>
          <w:tcPr>
            <w:tcW w:w="80" w:type="dxa"/>
            <w:vAlign w:val="bottom"/>
          </w:tcPr>
          <w:p>
            <w:pPr>
              <w:spacing w:after="0"/>
              <w:rPr>
                <w:sz w:val="18"/>
                <w:szCs w:val="18"/>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(1,337.1)</w:t>
            </w:r>
          </w:p>
        </w:tc>
        <w:tc>
          <w:tcPr>
            <w:tcW w:w="100" w:type="dxa"/>
            <w:vAlign w:val="bottom"/>
          </w:tcPr>
          <w:p>
            <w:pPr>
              <w:spacing w:after="0"/>
              <w:rPr>
                <w:sz w:val="18"/>
                <w:szCs w:val="18"/>
                <w:color w:val="auto"/>
              </w:rPr>
            </w:pP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(13.7)%</w:t>
            </w:r>
          </w:p>
        </w:tc>
        <w:tc>
          <w:tcPr>
            <w:tcW w:w="0" w:type="dxa"/>
            <w:vAlign w:val="bottom"/>
          </w:tcPr>
          <w:p>
            <w:pPr>
              <w:spacing w:after="0"/>
              <w:rPr>
                <w:sz w:val="1"/>
                <w:szCs w:val="1"/>
                <w:color w:val="auto"/>
              </w:rPr>
            </w:pPr>
          </w:p>
        </w:tc>
      </w:tr>
      <w:tr>
        <w:trPr>
          <w:trHeight w:val="196"/>
        </w:trPr>
        <w:tc>
          <w:tcPr>
            <w:tcW w:w="506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120" w:type="dxa"/>
            <w:vAlign w:val="bottom"/>
            <w:tcBorders>
              <w:bottom w:val="single" w:sz="8" w:color="auto"/>
            </w:tcBorders>
            <w:shd w:val="clear" w:color="auto" w:fill="DBDBDB"/>
          </w:tcPr>
          <w:p>
            <w:pPr>
              <w:spacing w:after="0"/>
              <w:rPr>
                <w:sz w:val="17"/>
                <w:szCs w:val="17"/>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(5,022.3)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(3,272.8)</w:t>
            </w: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(1,749.5)</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53.5</w:t>
            </w: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060" w:type="dxa"/>
            <w:vAlign w:val="bottom"/>
            <w:gridSpan w:val="2"/>
          </w:tcPr>
          <w:p>
            <w:pPr>
              <w:ind w:left="360"/>
              <w:spacing w:after="0"/>
              <w:rPr>
                <w:sz w:val="20"/>
                <w:szCs w:val="20"/>
                <w:color w:val="auto"/>
              </w:rPr>
            </w:pPr>
            <w:r>
              <w:rPr>
                <w:rFonts w:ascii="Arial" w:cs="Arial" w:eastAsia="Arial" w:hAnsi="Arial"/>
                <w:sz w:val="14"/>
                <w:szCs w:val="14"/>
                <w:color w:val="auto"/>
              </w:rPr>
              <w:t>Total working capital</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3,431.8</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6,518.4</w:t>
            </w:r>
          </w:p>
        </w:tc>
        <w:tc>
          <w:tcPr>
            <w:tcW w:w="8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(3,086.6)</w:t>
            </w: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0070C0"/>
              </w:rPr>
              <w:t>(47.4)%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-1637030</wp:posOffset>
            </wp:positionV>
            <wp:extent cx="831215" cy="540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31215" cy="54038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-427990</wp:posOffset>
            </wp:positionV>
            <wp:extent cx="831215" cy="411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31215" cy="4114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0070C0"/>
        </w:rPr>
        <w:t>OVERVIEW</w:t>
      </w:r>
    </w:p>
    <w:p>
      <w:pPr>
        <w:spacing w:after="0" w:line="12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have historically financed and expect to continue to fund our operating and capital expenditures primarily through cash flow earned through our operations, as well as our existing cash resources. We believe generic competition for TECFIDERA in the U.S. and other key markets, continued decline in the Interferon product class and investments in the development and launch of potential new products will continue to reduce our cash flow from operations in 2023 and will have a significant adverse impact on our future cash flow from operations.</w:t>
      </w:r>
    </w:p>
    <w:p>
      <w:pPr>
        <w:spacing w:after="0" w:line="89"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b w:val="1"/>
          <w:bCs w:val="1"/>
          <w:color w:val="auto"/>
        </w:rPr>
        <w:t>September 26, 2023</w:t>
      </w:r>
      <w:r>
        <w:rPr>
          <w:rFonts w:ascii="Arial" w:cs="Arial" w:eastAsia="Arial" w:hAnsi="Arial"/>
          <w:sz w:val="18"/>
          <w:szCs w:val="18"/>
          <w:color w:val="auto"/>
        </w:rPr>
        <w:t xml:space="preserve">, we completed the acquisition of all of the issued and outstanding shares of Reata for </w:t>
      </w:r>
      <w:r>
        <w:rPr>
          <w:rFonts w:ascii="Arial" w:cs="Arial" w:eastAsia="Arial" w:hAnsi="Arial"/>
          <w:sz w:val="18"/>
          <w:szCs w:val="18"/>
          <w:b w:val="1"/>
          <w:bCs w:val="1"/>
          <w:color w:val="auto"/>
        </w:rPr>
        <w:t>$6.6 billion</w:t>
      </w:r>
      <w:r>
        <w:rPr>
          <w:rFonts w:ascii="Arial" w:cs="Arial" w:eastAsia="Arial" w:hAnsi="Arial"/>
          <w:sz w:val="18"/>
          <w:szCs w:val="18"/>
          <w:color w:val="auto"/>
        </w:rPr>
        <w:t xml:space="preserve"> and</w:t>
      </w:r>
    </w:p>
    <w:p>
      <w:pPr>
        <w:spacing w:after="0" w:line="1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b w:val="1"/>
          <w:bCs w:val="1"/>
          <w:color w:val="auto"/>
        </w:rPr>
        <w:t xml:space="preserve">$983.9 million </w:t>
      </w:r>
      <w:r>
        <w:rPr>
          <w:rFonts w:ascii="Arial" w:cs="Arial" w:eastAsia="Arial" w:hAnsi="Arial"/>
          <w:sz w:val="18"/>
          <w:szCs w:val="18"/>
          <w:color w:val="auto"/>
        </w:rPr>
        <w:t>for outstanding equity awards. This transaction was funded with cash on hand and the issuance of a $1.0 billion term loan.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September 30, 2023, approximately $1.3 billion associated with the Reata transaction is accrued and will be paid by November 2023. </w:t>
      </w:r>
      <w:r>
        <w:rPr>
          <w:rFonts w:ascii="Arial" w:cs="Arial" w:eastAsia="Arial" w:hAnsi="Arial"/>
          <w:sz w:val="18"/>
          <w:szCs w:val="18"/>
          <w:b w:val="1"/>
          <w:bCs w:val="1"/>
          <w:color w:val="auto"/>
        </w:rPr>
        <w:t>For</w:t>
      </w:r>
    </w:p>
    <w:p>
      <w:pPr>
        <w:spacing w:after="0" w:line="1"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b w:val="1"/>
          <w:bCs w:val="1"/>
          <w:color w:val="auto"/>
        </w:rPr>
        <w:t xml:space="preserve">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condensed consolidated financial statements included in this report.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3. Quantitative and Qualitative Disclosures About Market Risk </w:t>
      </w:r>
      <w:r>
        <w:rPr>
          <w:rFonts w:ascii="Arial" w:cs="Arial" w:eastAsia="Arial" w:hAnsi="Arial"/>
          <w:sz w:val="18"/>
          <w:szCs w:val="18"/>
          <w:color w:val="auto"/>
        </w:rPr>
        <w:t>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0070C0"/>
        </w:rPr>
        <w:t>LIQUIDITY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0070C0"/>
        </w:rPr>
        <w:t>WORKING CAPITAL</w:t>
      </w:r>
    </w:p>
    <w:p>
      <w:pPr>
        <w:spacing w:after="0" w:line="12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Working capital is defined as current assets less current liabilities. Our working capital was $3.4 billion and $6.5 billion as of September 30, 2023 and December 31, 2022, respectively. The change in working capital reflects a decrease in total current assets of approximately $1,337.1 million and an increase in total current liabilities of approximately $1,749.5 million. The changes in current assets and current liabilities were primarily driven by the following:</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89" w:lineRule="exact"/>
        <w:rPr>
          <w:sz w:val="20"/>
          <w:szCs w:val="20"/>
          <w:color w:val="auto"/>
        </w:rPr>
      </w:pPr>
    </w:p>
    <w:p>
      <w:pPr>
        <w:ind w:left="340" w:hanging="332"/>
        <w:spacing w:after="0" w:line="248" w:lineRule="auto"/>
        <w:tabs>
          <w:tab w:leader="none" w:pos="267" w:val="left"/>
        </w:tabs>
        <w:numPr>
          <w:ilvl w:val="0"/>
          <w:numId w:val="35"/>
        </w:numPr>
        <w:rPr>
          <w:rFonts w:ascii="Arial" w:cs="Arial" w:eastAsia="Arial" w:hAnsi="Arial"/>
          <w:sz w:val="22"/>
          <w:szCs w:val="22"/>
          <w:b w:val="1"/>
          <w:bCs w:val="1"/>
          <w:i w:val="1"/>
          <w:iCs w:val="1"/>
          <w:color w:val="0070C0"/>
        </w:rPr>
      </w:pPr>
      <w:r>
        <w:rPr>
          <w:rFonts w:ascii="Arial" w:cs="Arial" w:eastAsia="Arial" w:hAnsi="Arial"/>
          <w:sz w:val="18"/>
          <w:szCs w:val="18"/>
          <w:b w:val="1"/>
          <w:bCs w:val="1"/>
          <w:color w:val="auto"/>
        </w:rPr>
        <w:t xml:space="preserve">$2,604.9 million decrease in cash, cash equivalents and current marketable securities primarily due to consideration paid for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Reata</w:t>
      </w:r>
      <w:r>
        <w:rPr>
          <w:rFonts w:ascii="Arial" w:cs="Arial" w:eastAsia="Arial" w:hAnsi="Arial"/>
          <w:sz w:val="18"/>
          <w:szCs w:val="18"/>
          <w:b w:val="1"/>
          <w:bCs w:val="1"/>
          <w:color w:val="auto"/>
        </w:rPr>
        <w:t>;</w:t>
      </w:r>
    </w:p>
    <w:p>
      <w:pPr>
        <w:spacing w:after="0" w:line="51" w:lineRule="exact"/>
        <w:rPr>
          <w:rFonts w:ascii="Arial" w:cs="Arial" w:eastAsia="Arial" w:hAnsi="Arial"/>
          <w:sz w:val="22"/>
          <w:szCs w:val="22"/>
          <w:b w:val="1"/>
          <w:bCs w:val="1"/>
          <w:i w:val="1"/>
          <w:iCs w:val="1"/>
          <w:color w:val="0070C0"/>
        </w:rPr>
      </w:pPr>
    </w:p>
    <w:p>
      <w:pPr>
        <w:ind w:left="340" w:right="80" w:hanging="332"/>
        <w:spacing w:after="0" w:line="237" w:lineRule="auto"/>
        <w:tabs>
          <w:tab w:leader="none" w:pos="267" w:val="left"/>
        </w:tabs>
        <w:numPr>
          <w:ilvl w:val="0"/>
          <w:numId w:val="35"/>
        </w:numPr>
        <w:rPr>
          <w:rFonts w:ascii="Arial" w:cs="Arial" w:eastAsia="Arial" w:hAnsi="Arial"/>
          <w:sz w:val="22"/>
          <w:szCs w:val="22"/>
          <w:b w:val="1"/>
          <w:bCs w:val="1"/>
          <w:i w:val="1"/>
          <w:iCs w:val="1"/>
          <w:color w:val="2573BA"/>
        </w:rPr>
      </w:pPr>
      <w:r>
        <w:rPr>
          <w:rFonts w:ascii="Arial" w:cs="Arial" w:eastAsia="Arial" w:hAnsi="Arial"/>
          <w:sz w:val="18"/>
          <w:szCs w:val="18"/>
          <w:b w:val="1"/>
          <w:bCs w:val="1"/>
          <w:color w:val="auto"/>
        </w:rPr>
        <w:t xml:space="preserve">$443.5 million decrease in other current assets primarily due to the receipt of </w:t>
      </w:r>
      <w:r>
        <w:rPr>
          <w:rFonts w:ascii="Arial" w:cs="Arial" w:eastAsia="Arial" w:hAnsi="Arial"/>
          <w:sz w:val="18"/>
          <w:szCs w:val="18"/>
          <w:color w:val="auto"/>
        </w:rPr>
        <w:t>$812.5 million from Samsung BioLogics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Samsung Bioepis, partially offset by the second deferred payment of $437.5 million being due within one year; and</w:t>
      </w:r>
    </w:p>
    <w:p>
      <w:pPr>
        <w:spacing w:after="0" w:line="70" w:lineRule="exact"/>
        <w:rPr>
          <w:rFonts w:ascii="Arial" w:cs="Arial" w:eastAsia="Arial" w:hAnsi="Arial"/>
          <w:sz w:val="22"/>
          <w:szCs w:val="22"/>
          <w:b w:val="1"/>
          <w:bCs w:val="1"/>
          <w:i w:val="1"/>
          <w:iCs w:val="1"/>
          <w:color w:val="2573BA"/>
        </w:rPr>
      </w:pPr>
    </w:p>
    <w:p>
      <w:pPr>
        <w:ind w:left="260" w:hanging="252"/>
        <w:spacing w:after="0"/>
        <w:tabs>
          <w:tab w:leader="none" w:pos="260" w:val="left"/>
        </w:tabs>
        <w:numPr>
          <w:ilvl w:val="0"/>
          <w:numId w:val="35"/>
        </w:numPr>
        <w:rPr>
          <w:rFonts w:ascii="Arial" w:cs="Arial" w:eastAsia="Arial" w:hAnsi="Arial"/>
          <w:sz w:val="22"/>
          <w:szCs w:val="22"/>
          <w:b w:val="1"/>
          <w:bCs w:val="1"/>
          <w:i w:val="1"/>
          <w:iCs w:val="1"/>
          <w:color w:val="0070C0"/>
        </w:rPr>
      </w:pPr>
      <w:r>
        <w:rPr>
          <w:rFonts w:ascii="Arial" w:cs="Arial" w:eastAsia="Arial" w:hAnsi="Arial"/>
          <w:sz w:val="18"/>
          <w:szCs w:val="18"/>
          <w:b w:val="1"/>
          <w:bCs w:val="1"/>
          <w:color w:val="auto"/>
        </w:rPr>
        <w:t>$1,638.0 million increase in inventory due to the acquired inventory resulting from our acquisition of Reata.</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CURRENT LIABILITIES</w:t>
      </w:r>
    </w:p>
    <w:p>
      <w:pPr>
        <w:spacing w:after="0" w:line="87"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22"/>
          <w:szCs w:val="22"/>
          <w:b w:val="1"/>
          <w:bCs w:val="1"/>
          <w:i w:val="1"/>
          <w:iCs w:val="1"/>
          <w:color w:val="0070C0"/>
        </w:rPr>
      </w:pPr>
      <w:r>
        <w:rPr>
          <w:rFonts w:ascii="Arial" w:cs="Arial" w:eastAsia="Arial" w:hAnsi="Arial"/>
          <w:sz w:val="18"/>
          <w:szCs w:val="18"/>
          <w:b w:val="1"/>
          <w:bCs w:val="1"/>
          <w:color w:val="auto"/>
        </w:rPr>
        <w:t>$51.4 million decrease in accounts payable primarily due to timing of payments;</w:t>
      </w:r>
    </w:p>
    <w:p>
      <w:pPr>
        <w:spacing w:after="0" w:line="59" w:lineRule="exact"/>
        <w:rPr>
          <w:rFonts w:ascii="Arial" w:cs="Arial" w:eastAsia="Arial" w:hAnsi="Arial"/>
          <w:sz w:val="22"/>
          <w:szCs w:val="22"/>
          <w:b w:val="1"/>
          <w:bCs w:val="1"/>
          <w:i w:val="1"/>
          <w:iCs w:val="1"/>
          <w:color w:val="0070C0"/>
        </w:rPr>
      </w:pPr>
    </w:p>
    <w:p>
      <w:pPr>
        <w:ind w:left="340" w:right="620" w:hanging="332"/>
        <w:spacing w:after="0" w:line="262" w:lineRule="auto"/>
        <w:tabs>
          <w:tab w:leader="none" w:pos="267" w:val="left"/>
        </w:tabs>
        <w:numPr>
          <w:ilvl w:val="0"/>
          <w:numId w:val="36"/>
        </w:numPr>
        <w:rPr>
          <w:rFonts w:ascii="Arial" w:cs="Arial" w:eastAsia="Arial" w:hAnsi="Arial"/>
          <w:sz w:val="22"/>
          <w:szCs w:val="22"/>
          <w:b w:val="1"/>
          <w:bCs w:val="1"/>
          <w:i w:val="1"/>
          <w:iCs w:val="1"/>
          <w:color w:val="2573BA"/>
        </w:rPr>
      </w:pPr>
      <w:r>
        <w:rPr>
          <w:rFonts w:ascii="Arial" w:cs="Arial" w:eastAsia="Arial" w:hAnsi="Arial"/>
          <w:sz w:val="18"/>
          <w:szCs w:val="18"/>
          <w:b w:val="1"/>
          <w:bCs w:val="1"/>
          <w:color w:val="auto"/>
        </w:rPr>
        <w:t xml:space="preserve">$500.0 million increase in current portion of debt due to the short-term portion of the outstanding term loan related to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Reata</w:t>
      </w:r>
      <w:r>
        <w:rPr>
          <w:rFonts w:ascii="Arial" w:cs="Arial" w:eastAsia="Arial" w:hAnsi="Arial"/>
          <w:sz w:val="18"/>
          <w:szCs w:val="18"/>
          <w:b w:val="1"/>
          <w:bCs w:val="1"/>
          <w:color w:val="auto"/>
        </w:rPr>
        <w:t>; and</w:t>
      </w:r>
    </w:p>
    <w:p>
      <w:pPr>
        <w:spacing w:after="0" w:line="35" w:lineRule="exact"/>
        <w:rPr>
          <w:rFonts w:ascii="Arial" w:cs="Arial" w:eastAsia="Arial" w:hAnsi="Arial"/>
          <w:sz w:val="22"/>
          <w:szCs w:val="22"/>
          <w:b w:val="1"/>
          <w:bCs w:val="1"/>
          <w:i w:val="1"/>
          <w:iCs w:val="1"/>
          <w:color w:val="2573BA"/>
        </w:rPr>
      </w:pPr>
    </w:p>
    <w:p>
      <w:pPr>
        <w:ind w:left="260" w:hanging="252"/>
        <w:spacing w:after="0"/>
        <w:tabs>
          <w:tab w:leader="none" w:pos="260" w:val="left"/>
        </w:tabs>
        <w:numPr>
          <w:ilvl w:val="0"/>
          <w:numId w:val="36"/>
        </w:numPr>
        <w:rPr>
          <w:rFonts w:ascii="Arial" w:cs="Arial" w:eastAsia="Arial" w:hAnsi="Arial"/>
          <w:sz w:val="22"/>
          <w:szCs w:val="22"/>
          <w:b w:val="1"/>
          <w:bCs w:val="1"/>
          <w:i w:val="1"/>
          <w:iCs w:val="1"/>
          <w:color w:val="0070C0"/>
        </w:rPr>
      </w:pPr>
      <w:r>
        <w:rPr>
          <w:rFonts w:ascii="Arial" w:cs="Arial" w:eastAsia="Arial" w:hAnsi="Arial"/>
          <w:sz w:val="18"/>
          <w:szCs w:val="18"/>
          <w:b w:val="1"/>
          <w:bCs w:val="1"/>
          <w:color w:val="auto"/>
        </w:rPr>
        <w:t>$1,317.0 million increase in accrued expense and other primarily reflecting accrued costs related to our acquisition of Reata.</w:t>
      </w:r>
    </w:p>
    <w:p>
      <w:pPr>
        <w:spacing w:after="0" w:line="73"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condensed consolidated financial statements included in this report.</w:t>
      </w:r>
    </w:p>
    <w:p>
      <w:pPr>
        <w:spacing w:after="0" w:line="25"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condensed consolidated financial statements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CASH, CASH EQUIVALENTS AND MARKETABLE SECURITIES</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As of September 30, 2023, we had cash, cash equivalents and marketable securities totaling approximately $2.3 billion compared to approximately $5.6 billion as of December 31, 2022. The decrease in the balance was primarily due to the use of cash, cash equivalents and marketable securities to fund our acquisition of Reata. In connection with our acquisition of Reata we accrued approximately </w:t>
      </w:r>
      <w:r>
        <w:rPr>
          <w:rFonts w:ascii="Arial" w:cs="Arial" w:eastAsia="Arial" w:hAnsi="Arial"/>
          <w:sz w:val="18"/>
          <w:szCs w:val="18"/>
          <w:b w:val="1"/>
          <w:bCs w:val="1"/>
          <w:color w:val="auto"/>
        </w:rPr>
        <w:t>$983.9 million</w:t>
      </w:r>
      <w:r>
        <w:rPr>
          <w:rFonts w:ascii="Arial" w:cs="Arial" w:eastAsia="Arial" w:hAnsi="Arial"/>
          <w:sz w:val="18"/>
          <w:szCs w:val="18"/>
          <w:color w:val="auto"/>
        </w:rPr>
        <w:t xml:space="preserve"> related to Reata's outstanding equity awards, inclusive of employer taxes, of which approximately </w:t>
      </w:r>
      <w:r>
        <w:rPr>
          <w:rFonts w:ascii="Arial" w:cs="Arial" w:eastAsia="Arial" w:hAnsi="Arial"/>
          <w:sz w:val="18"/>
          <w:szCs w:val="18"/>
          <w:b w:val="1"/>
          <w:bCs w:val="1"/>
          <w:color w:val="auto"/>
        </w:rPr>
        <w:t>$980.0 million</w:t>
      </w:r>
      <w:r>
        <w:rPr>
          <w:rFonts w:ascii="Arial" w:cs="Arial" w:eastAsia="Arial" w:hAnsi="Arial"/>
          <w:sz w:val="18"/>
          <w:szCs w:val="18"/>
          <w:color w:val="auto"/>
        </w:rPr>
        <w:t xml:space="preserve"> was subsequently paid in October 2023. </w:t>
      </w:r>
      <w:r>
        <w:rPr>
          <w:rFonts w:ascii="Arial" w:cs="Arial" w:eastAsia="Arial" w:hAnsi="Arial"/>
          <w:sz w:val="18"/>
          <w:szCs w:val="18"/>
          <w:b w:val="1"/>
          <w:bCs w:val="1"/>
          <w:color w:val="auto"/>
        </w:rPr>
        <w:t>Additionally, we assumed a payable to Blackstone of approximately $300.0 million related to a one-time contract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termination fee to eliminate potential future royalty obligations related to SKYCLARYS, which was triggered as part of the change in control provision under Reata's funding agreement with Blackstone. Payment to Blackstone is expected to be made in November 2023.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condensed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included in this report.</w:t>
      </w:r>
    </w:p>
    <w:p>
      <w:pPr>
        <w:spacing w:after="0" w:line="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significant common stock investments in our strategic investment portfolio:</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78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026DCE"/>
              </w:rPr>
              <w:t>September 30, 2023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December 31, 2022</w:t>
            </w:r>
          </w:p>
        </w:tc>
      </w:tr>
      <w:tr>
        <w:trPr>
          <w:trHeight w:val="184"/>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Denali</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26DCE"/>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274.6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370.2</w:t>
            </w:r>
          </w:p>
        </w:tc>
      </w:tr>
      <w:tr>
        <w:trPr>
          <w:trHeight w:val="203"/>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Sage</w:t>
            </w:r>
          </w:p>
        </w:tc>
        <w:tc>
          <w:tcPr>
            <w:tcW w:w="220" w:type="dxa"/>
            <w:vAlign w:val="bottom"/>
            <w:shd w:val="clear" w:color="auto" w:fill="DBDBDB"/>
          </w:tcPr>
          <w:p>
            <w:pPr>
              <w:spacing w:after="0"/>
              <w:rPr>
                <w:sz w:val="17"/>
                <w:szCs w:val="17"/>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128.4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238.0</w:t>
            </w:r>
          </w:p>
        </w:tc>
      </w:tr>
      <w:tr>
        <w:trPr>
          <w:trHeight w:val="218"/>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Sangamo</w:t>
            </w:r>
            <w:r>
              <w:rPr>
                <w:rFonts w:ascii="Arial" w:cs="Arial" w:eastAsia="Arial" w:hAnsi="Arial"/>
                <w:sz w:val="18"/>
                <w:szCs w:val="18"/>
                <w:color w:val="auto"/>
                <w:vertAlign w:val="superscript"/>
              </w:rPr>
              <w:t>(1)</w:t>
            </w:r>
          </w:p>
        </w:tc>
        <w:tc>
          <w:tcPr>
            <w:tcW w:w="22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74.3</w:t>
            </w:r>
          </w:p>
        </w:tc>
      </w:tr>
      <w:tr>
        <w:trPr>
          <w:trHeight w:val="199"/>
        </w:trPr>
        <w:tc>
          <w:tcPr>
            <w:tcW w:w="7100" w:type="dxa"/>
            <w:vAlign w:val="bottom"/>
            <w:gridSpan w:val="3"/>
          </w:tcPr>
          <w:p>
            <w:pPr>
              <w:ind w:left="20"/>
              <w:spacing w:after="0" w:line="199" w:lineRule="exact"/>
              <w:rPr>
                <w:sz w:val="20"/>
                <w:szCs w:val="20"/>
                <w:color w:val="auto"/>
              </w:rPr>
            </w:pPr>
            <w:r>
              <w:rPr>
                <w:rFonts w:ascii="Arial" w:cs="Arial" w:eastAsia="Arial" w:hAnsi="Arial"/>
                <w:sz w:val="14"/>
                <w:szCs w:val="14"/>
                <w:color w:val="auto"/>
              </w:rPr>
              <w:t>Ionis</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DBDBDB"/>
          </w:tcPr>
          <w:p>
            <w:pPr>
              <w:spacing w:after="0"/>
              <w:rPr>
                <w:sz w:val="17"/>
                <w:szCs w:val="17"/>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108.6</w:t>
            </w:r>
          </w:p>
        </w:tc>
      </w:tr>
      <w:tr>
        <w:trPr>
          <w:trHeight w:val="216"/>
        </w:trPr>
        <w:tc>
          <w:tcPr>
            <w:tcW w:w="7100" w:type="dxa"/>
            <w:vAlign w:val="bottom"/>
            <w:gridSpan w:val="3"/>
          </w:tcPr>
          <w:p>
            <w:pPr>
              <w:ind w:left="24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26DCE"/>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413.6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0" w:type="dxa"/>
            <w:vAlign w:val="bottom"/>
          </w:tcPr>
          <w:p>
            <w:pPr>
              <w:jc w:val="right"/>
              <w:ind w:right="8"/>
              <w:spacing w:after="0"/>
              <w:rPr>
                <w:sz w:val="20"/>
                <w:szCs w:val="20"/>
                <w:color w:val="auto"/>
              </w:rPr>
            </w:pPr>
            <w:r>
              <w:rPr>
                <w:rFonts w:ascii="Arial" w:cs="Arial" w:eastAsia="Arial" w:hAnsi="Arial"/>
                <w:sz w:val="14"/>
                <w:szCs w:val="14"/>
                <w:color w:val="auto"/>
              </w:rPr>
              <w:t>791.1</w:t>
            </w:r>
          </w:p>
        </w:tc>
      </w:tr>
      <w:tr>
        <w:trPr>
          <w:trHeight w:val="20"/>
        </w:trPr>
        <w:tc>
          <w:tcPr>
            <w:tcW w:w="3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3800" w:type="dxa"/>
            <w:vAlign w:val="bottom"/>
            <w:tcBorders>
              <w:bottom w:val="single" w:sz="8" w:color="auto"/>
            </w:tcBorders>
          </w:tcPr>
          <w:p>
            <w:pPr>
              <w:spacing w:after="0"/>
              <w:rPr>
                <w:sz w:val="13"/>
                <w:szCs w:val="13"/>
                <w:color w:val="auto"/>
              </w:rPr>
            </w:pP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r>
    </w:tbl>
    <w:p>
      <w:pPr>
        <w:spacing w:after="0" w:line="76"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9"/>
          <w:szCs w:val="9"/>
          <w:color w:val="auto"/>
        </w:rPr>
      </w:pPr>
      <w:r>
        <w:rPr>
          <w:rFonts w:ascii="Arial" w:cs="Arial" w:eastAsia="Arial" w:hAnsi="Arial"/>
          <w:sz w:val="14"/>
          <w:szCs w:val="14"/>
          <w:color w:val="auto"/>
        </w:rPr>
        <w:t>During the third quarter of 2023 we sold a portion of our Sangamo common stock.</w:t>
      </w:r>
    </w:p>
    <w:p>
      <w:pPr>
        <w:spacing w:after="0" w:line="21" w:lineRule="exact"/>
        <w:rPr>
          <w:rFonts w:ascii="Arial" w:cs="Arial" w:eastAsia="Arial" w:hAnsi="Arial"/>
          <w:sz w:val="9"/>
          <w:szCs w:val="9"/>
          <w:color w:val="auto"/>
        </w:rPr>
      </w:pPr>
    </w:p>
    <w:p>
      <w:pPr>
        <w:ind w:left="140" w:hanging="132"/>
        <w:spacing w:after="0" w:line="228" w:lineRule="auto"/>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2"/>
          <w:szCs w:val="12"/>
          <w:color w:val="auto"/>
        </w:rPr>
        <w:t>During the second quarter of 2023 we sold our remaining shares of Ionis common stock.</w:t>
      </w:r>
    </w:p>
    <w:p>
      <w:pPr>
        <w:spacing w:after="0" w:line="94" w:lineRule="exact"/>
        <w:rPr>
          <w:sz w:val="20"/>
          <w:szCs w:val="20"/>
          <w:color w:val="auto"/>
        </w:rPr>
      </w:pPr>
    </w:p>
    <w:p>
      <w:pPr>
        <w:jc w:val="both"/>
        <w:ind w:right="240"/>
        <w:spacing w:after="0" w:line="258" w:lineRule="auto"/>
        <w:rPr>
          <w:sz w:val="20"/>
          <w:szCs w:val="20"/>
          <w:color w:val="auto"/>
        </w:rPr>
      </w:pPr>
      <w:r>
        <w:rPr>
          <w:rFonts w:ascii="Arial" w:cs="Arial" w:eastAsia="Arial" w:hAnsi="Arial"/>
          <w:sz w:val="18"/>
          <w:szCs w:val="18"/>
          <w:color w:val="auto"/>
        </w:rPr>
        <w:t>Although the contractual holding period restrictions on our investments in Denali, Sage and Sangamo have expired, our ability to liquidate these investments may be limited by the size of our interest, the volume of market related activity, our concentrated level of ownership and other potential restrictions resulting from our status as a collaborator. Therefore, we may realize significantly less than the current value of such investments.</w:t>
      </w:r>
    </w:p>
    <w:p>
      <w:pPr>
        <w:spacing w:after="0" w:line="7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condensed consolidated financial statements included in this report</w:t>
      </w:r>
      <w:r>
        <w:rPr>
          <w:rFonts w:ascii="Arial" w:cs="Arial" w:eastAsia="Arial" w:hAnsi="Arial"/>
          <w:sz w:val="18"/>
          <w:szCs w:val="18"/>
          <w:i w:val="1"/>
          <w:iCs w:val="1"/>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7"/>
          </w:tcPr>
          <w:p>
            <w:pPr>
              <w:jc w:val="right"/>
              <w:ind w:right="980"/>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97"/>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620" w:type="dxa"/>
            <w:vAlign w:val="bottom"/>
            <w:tcBorders>
              <w:bottom w:val="single" w:sz="8" w:color="auto"/>
            </w:tcBorders>
            <w:gridSpan w:val="2"/>
            <w:shd w:val="clear" w:color="auto" w:fill="DBDBDB"/>
          </w:tcPr>
          <w:p>
            <w:pPr>
              <w:jc w:val="right"/>
              <w:ind w:right="460"/>
              <w:spacing w:after="0"/>
              <w:rPr>
                <w:sz w:val="20"/>
                <w:szCs w:val="20"/>
                <w:color w:val="auto"/>
              </w:rPr>
            </w:pPr>
            <w:r>
              <w:rPr>
                <w:rFonts w:ascii="Arial" w:cs="Arial" w:eastAsia="Arial" w:hAnsi="Arial"/>
                <w:sz w:val="14"/>
                <w:szCs w:val="14"/>
                <w:b w:val="1"/>
                <w:bCs w:val="1"/>
                <w:color w:val="0070C0"/>
              </w:rPr>
              <w:t>% Change</w:t>
            </w:r>
          </w:p>
        </w:tc>
      </w:tr>
      <w:tr>
        <w:trPr>
          <w:trHeight w:val="197"/>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operating activities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1,534.7</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center"/>
              <w:ind w:left="488"/>
              <w:spacing w:after="0"/>
              <w:rPr>
                <w:sz w:val="20"/>
                <w:szCs w:val="20"/>
                <w:color w:val="auto"/>
              </w:rPr>
            </w:pPr>
            <w:r>
              <w:rPr>
                <w:rFonts w:ascii="Arial" w:cs="Arial" w:eastAsia="Arial" w:hAnsi="Arial"/>
                <w:sz w:val="14"/>
                <w:szCs w:val="14"/>
                <w:color w:val="auto"/>
              </w:rPr>
              <w:t>1,559.3</w:t>
            </w:r>
          </w:p>
        </w:tc>
        <w:tc>
          <w:tcPr>
            <w:tcW w:w="120" w:type="dxa"/>
            <w:vAlign w:val="bottom"/>
          </w:tcPr>
          <w:p>
            <w:pPr>
              <w:spacing w:after="0"/>
              <w:rPr>
                <w:sz w:val="17"/>
                <w:szCs w:val="17"/>
                <w:color w:val="auto"/>
              </w:rPr>
            </w:pPr>
          </w:p>
        </w:tc>
        <w:tc>
          <w:tcPr>
            <w:tcW w:w="1620" w:type="dxa"/>
            <w:vAlign w:val="bottom"/>
            <w:gridSpan w:val="2"/>
            <w:shd w:val="clear" w:color="auto" w:fill="DBDBDB"/>
          </w:tcPr>
          <w:p>
            <w:pPr>
              <w:jc w:val="right"/>
              <w:ind w:right="20"/>
              <w:spacing w:after="0"/>
              <w:rPr>
                <w:sz w:val="20"/>
                <w:szCs w:val="20"/>
                <w:color w:val="auto"/>
              </w:rPr>
            </w:pPr>
            <w:r>
              <w:rPr>
                <w:rFonts w:ascii="Arial" w:cs="Arial" w:eastAsia="Arial" w:hAnsi="Arial"/>
                <w:sz w:val="14"/>
                <w:szCs w:val="14"/>
                <w:color w:val="0070C0"/>
              </w:rPr>
              <w:t>(1.6)%</w:t>
            </w:r>
          </w:p>
        </w:tc>
      </w:tr>
      <w:tr>
        <w:trPr>
          <w:trHeight w:val="190"/>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investing activities</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(3,448.7)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center"/>
              <w:ind w:left="488"/>
              <w:spacing w:after="0"/>
              <w:rPr>
                <w:sz w:val="20"/>
                <w:szCs w:val="20"/>
                <w:color w:val="auto"/>
              </w:rPr>
            </w:pPr>
            <w:r>
              <w:rPr>
                <w:rFonts w:ascii="Arial" w:cs="Arial" w:eastAsia="Arial" w:hAnsi="Arial"/>
                <w:sz w:val="14"/>
                <w:szCs w:val="14"/>
                <w:color w:val="auto"/>
              </w:rPr>
              <w:t>1,717.7</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070C0"/>
              </w:rPr>
              <w:t>(300.8)</w:t>
            </w:r>
          </w:p>
        </w:tc>
        <w:tc>
          <w:tcPr>
            <w:tcW w:w="140" w:type="dxa"/>
            <w:vAlign w:val="bottom"/>
            <w:shd w:val="clear" w:color="auto" w:fill="DBDBDB"/>
          </w:tcPr>
          <w:p>
            <w:pPr>
              <w:spacing w:after="0"/>
              <w:rPr>
                <w:sz w:val="16"/>
                <w:szCs w:val="16"/>
                <w:color w:val="auto"/>
              </w:rPr>
            </w:pPr>
          </w:p>
        </w:tc>
      </w:tr>
      <w:tr>
        <w:trPr>
          <w:trHeight w:val="215"/>
        </w:trPr>
        <w:tc>
          <w:tcPr>
            <w:tcW w:w="632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financing activities</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468"/>
              <w:spacing w:after="0"/>
              <w:rPr>
                <w:sz w:val="20"/>
                <w:szCs w:val="20"/>
                <w:color w:val="auto"/>
              </w:rPr>
            </w:pPr>
            <w:r>
              <w:rPr>
                <w:rFonts w:ascii="Arial" w:cs="Arial" w:eastAsia="Arial" w:hAnsi="Arial"/>
                <w:sz w:val="14"/>
                <w:szCs w:val="14"/>
                <w:color w:val="auto"/>
              </w:rPr>
              <w:t>(1,739.9)</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070C0"/>
              </w:rPr>
              <w:t>145.7</w:t>
            </w:r>
          </w:p>
        </w:tc>
        <w:tc>
          <w:tcPr>
            <w:tcW w:w="140" w:type="dxa"/>
            <w:vAlign w:val="bottom"/>
            <w:shd w:val="clear" w:color="auto" w:fill="DBDBDB"/>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-393700</wp:posOffset>
            </wp:positionV>
            <wp:extent cx="942975" cy="394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2975" cy="39433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is derived by adjusting our net income for:</w:t>
      </w:r>
    </w:p>
    <w:p>
      <w:pPr>
        <w:spacing w:after="0" w:line="77" w:lineRule="exact"/>
        <w:rPr>
          <w:sz w:val="20"/>
          <w:szCs w:val="20"/>
          <w:color w:val="auto"/>
        </w:rPr>
      </w:pPr>
    </w:p>
    <w:p>
      <w:pPr>
        <w:ind w:left="420" w:right="280" w:hanging="331"/>
        <w:spacing w:after="0" w:line="264" w:lineRule="auto"/>
        <w:tabs>
          <w:tab w:leader="none" w:pos="368" w:val="left"/>
        </w:tabs>
        <w:numPr>
          <w:ilvl w:val="0"/>
          <w:numId w:val="38"/>
        </w:numPr>
        <w:rPr>
          <w:rFonts w:ascii="Arial" w:cs="Arial" w:eastAsia="Arial" w:hAnsi="Arial"/>
          <w:sz w:val="20"/>
          <w:szCs w:val="20"/>
          <w:color w:val="0070C0"/>
        </w:rPr>
      </w:pPr>
      <w:r>
        <w:rPr>
          <w:rFonts w:ascii="Arial" w:cs="Arial" w:eastAsia="Arial" w:hAnsi="Arial"/>
          <w:sz w:val="18"/>
          <w:szCs w:val="18"/>
          <w:color w:val="auto"/>
        </w:rPr>
        <w:t>non-cash operating items such as depreciation and amortization, impairment charges, unrealized (gain) loss on strategic investments and share-based compensation;</w:t>
      </w:r>
    </w:p>
    <w:p>
      <w:pPr>
        <w:spacing w:after="0" w:line="32" w:lineRule="exact"/>
        <w:rPr>
          <w:rFonts w:ascii="Arial" w:cs="Arial" w:eastAsia="Arial" w:hAnsi="Arial"/>
          <w:sz w:val="20"/>
          <w:szCs w:val="20"/>
          <w:color w:val="0070C0"/>
        </w:rPr>
      </w:pPr>
    </w:p>
    <w:p>
      <w:pPr>
        <w:ind w:left="420" w:right="360" w:hanging="331"/>
        <w:spacing w:after="0" w:line="264" w:lineRule="auto"/>
        <w:tabs>
          <w:tab w:leader="none" w:pos="368" w:val="left"/>
        </w:tabs>
        <w:numPr>
          <w:ilvl w:val="0"/>
          <w:numId w:val="38"/>
        </w:numPr>
        <w:rPr>
          <w:rFonts w:ascii="Arial" w:cs="Arial" w:eastAsia="Arial" w:hAnsi="Arial"/>
          <w:sz w:val="20"/>
          <w:szCs w:val="20"/>
          <w:color w:val="0070C0"/>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32" w:lineRule="exact"/>
        <w:rPr>
          <w:rFonts w:ascii="Arial" w:cs="Arial" w:eastAsia="Arial" w:hAnsi="Arial"/>
          <w:sz w:val="20"/>
          <w:szCs w:val="20"/>
          <w:color w:val="0070C0"/>
        </w:rPr>
      </w:pPr>
    </w:p>
    <w:p>
      <w:pPr>
        <w:ind w:left="420" w:right="280" w:hanging="331"/>
        <w:spacing w:after="0" w:line="249" w:lineRule="auto"/>
        <w:tabs>
          <w:tab w:leader="none" w:pos="368" w:val="left"/>
        </w:tabs>
        <w:numPr>
          <w:ilvl w:val="0"/>
          <w:numId w:val="38"/>
        </w:numPr>
        <w:rPr>
          <w:rFonts w:ascii="Arial" w:cs="Arial" w:eastAsia="Arial" w:hAnsi="Arial"/>
          <w:sz w:val="20"/>
          <w:szCs w:val="20"/>
          <w:color w:val="0070C0"/>
        </w:rPr>
      </w:pPr>
      <w:r>
        <w:rPr>
          <w:rFonts w:ascii="Arial" w:cs="Arial" w:eastAsia="Arial" w:hAnsi="Arial"/>
          <w:sz w:val="18"/>
          <w:szCs w:val="18"/>
          <w:color w:val="auto"/>
        </w:rPr>
        <w:t>(gains) losses on the disposal of assets, deferred income taxes, changes in the fair value of contingent payments associated with our acquisitions of businesses and acquired IPR&amp;D.</w:t>
      </w:r>
    </w:p>
    <w:p>
      <w:pPr>
        <w:spacing w:after="0" w:line="8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the nine months ended September 30, 2023, compared to the same period in 2022, net cash flow provided by operating activities was relatively flat. Net cash flow from operations in 2023 was primarily driven by net income of $912.6 million, lower inventory purchases and the timing of payments. Net cash flow from operations in 2022 was primarily driven by net income of $2.4 billion adjusted for a pre-tax gain of approximately $1.5 billion related to the sale of our equity interest in Samsung Bioepis and a pre-tax gain of approximately $503.7 million related to the sale of one of our buildings as well as timing of payments.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2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the nine months ended September 30, 2023, compared to the same period in 2022, the change in net cash flow provided by (used in) investing activities was primarily due to a $6.3 billion payment made in 2023 for our acquisition of Reata, net of cash acquired, partially offset by higher net sales of marketable securities in the current period. Additionally, we received $582.6 million in 2022 related to the sale of one of our buildings.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the nine months ended September 30, 2023, compared to the same period in 2022, the change in net cash flow provided by (used in) financing activities was primarily due to the issuance of term loans totaling $1.0 billion under our $1.5 billion term loan credit agreement which were used to partially fund our acquisition of Reata, compared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debt repayments of approximately $1.0 billion and share repurchases of $750.0 million during the same period in 2022. Additionally, we repaid Reata's outstanding debt obligation of $159.9 million during the third quarter of 2023.</w:t>
      </w:r>
    </w:p>
    <w:p>
      <w:pPr>
        <w:spacing w:after="0" w:line="6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condensed consolidated financial statements included in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25"/>
          <w:szCs w:val="25"/>
          <w:color w:val="0070C0"/>
        </w:rPr>
        <w:t>CAPITAL RESOURCES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0070C0"/>
        </w:rPr>
        <w:t>DEBT AND CREDIT FACILITIES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DEBT AND TERM LOAN CREDIT AGREEMENTS</w:t>
      </w:r>
    </w:p>
    <w:p>
      <w:pPr>
        <w:spacing w:after="0" w:line="122"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Our long-term obligations primarily consist of long -term debt related to our Senior Notes with final maturity dates ranging between 2025 and 2051. As of September 30, 2023, our outstanding balance related to long-term debt was $6,786.4 million.</w:t>
      </w:r>
    </w:p>
    <w:p>
      <w:pPr>
        <w:spacing w:after="0" w:line="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our acquisition of Reata in September 2023 we entered into a $1.5 billion term loan credit agreement. On the closing date of the Reata acquisition we drew $1.0 billion from the term loan, comprised of a $500.0 million floating rate 364-day tranche and a</w:t>
      </w:r>
    </w:p>
    <w:p>
      <w:pPr>
        <w:spacing w:after="0" w:line="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$500.0 million floating rate three-year tranche. The remaining unused commitment of $500.0 million was terminated. As of September 30, 2023, we had $1.0 billion outstanding under the term loan credit agreement, of which $500.0 million was outstanding under the 364-day tranche and $500.0 million outstanding under the three-year tranche.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REVOLVING CREDIT FACILITY</w:t>
      </w:r>
    </w:p>
    <w:p>
      <w:pPr>
        <w:spacing w:after="0" w:line="13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maintain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September 30, 2023 and December 31, 2022, we had no outstanding borrowings and were in compliance with all covenants under this facility.</w:t>
      </w:r>
    </w:p>
    <w:p>
      <w:pPr>
        <w:spacing w:after="0" w:line="8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 xml:space="preserve">For a summary of the fair and carrying values of our outstanding borrowings as of September 30, 2023 and December 31, 2022, please read </w:t>
      </w:r>
      <w:r>
        <w:rPr>
          <w:rFonts w:ascii="Arial" w:cs="Arial" w:eastAsia="Arial" w:hAnsi="Arial"/>
          <w:sz w:val="18"/>
          <w:szCs w:val="18"/>
          <w:i w:val="1"/>
          <w:iCs w:val="1"/>
          <w:color w:val="auto"/>
        </w:rPr>
        <w:t xml:space="preserve">Note 8, Fair Value Measurements, </w:t>
      </w:r>
      <w:r>
        <w:rPr>
          <w:rFonts w:ascii="Arial" w:cs="Arial" w:eastAsia="Arial" w:hAnsi="Arial"/>
          <w:sz w:val="18"/>
          <w:szCs w:val="18"/>
          <w:color w:val="auto"/>
        </w:rPr>
        <w:t>to our condensed consolidated financial statements included in this report.</w:t>
      </w:r>
    </w:p>
    <w:p>
      <w:pPr>
        <w:spacing w:after="0" w:line="6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For additional information on our Senior Notes and credit facility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our 2022 Form 10-K.</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color w:val="0070C0"/>
        </w:rPr>
        <w:t>SHARE REPURCHASE PROGRAMS</w:t>
      </w:r>
    </w:p>
    <w:p>
      <w:pPr>
        <w:spacing w:after="0" w:line="10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1.2 million and 3.6 million shares of our common stock at a cost of approximately $250.0 million and $750.0 million during the three and nine months ended September 30, 2022, respectively. There were no share repurchases of our common stock during the three and nine months ended September 30, 2023. Approximately $2.1 billion remained available under our 2020 Share Repurchase Program as of September 30, 2023.</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CAPITAL EXPENDITURES</w:t>
      </w:r>
    </w:p>
    <w:p>
      <w:pPr>
        <w:spacing w:after="0" w:line="10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the fourth quarter of 2021 we began construction of a new gene therapy manufacturing facility in RTP, North Carolina to support our gene therapy pipeline across multiple therapeutic areas. The new manufacturing facility will be approximately 197,000 square feet with an estimated total investment of approximately $195.0 million. As we continue to advance our research and development prioritization efforts, which includes refocusing our investment in gene therapy, we are evaluating several alternative uses for this facility.</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CONTRACTUAL OBLIGATIONS AND OFF-BALANCE SHEET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CONTRACTUAL OBLIGATIONS</w:t>
      </w:r>
    </w:p>
    <w:p>
      <w:pPr>
        <w:spacing w:after="0" w:line="108"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long-term debt obligations and defined benefit and other purchase obligations, excluding amounts related to uncertain tax positions, funding commitments, contingent development, regulatory and commercial milestone payments and contingent payments, as described below.</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In addition, certain of our collaboration and licensing arrangements include royalty payment obligations. For additional information on our royalty payments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our 2022 Form 10-K.</w:t>
      </w:r>
    </w:p>
    <w:p>
      <w:pPr>
        <w:spacing w:after="0" w:line="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In connection with our acquisition of Reata in September 2023 we assumed additional contractual obligations related to operating lease commitments and royalty payments. Reata entered into agreements to pay royalties on future sales of SKYCLARYS, which will cumulatively range in the low to mid single digits. Additionally, as of September 30, 2023, our contractual obligations include a liability assumed from Reata of approximately </w:t>
      </w:r>
      <w:r>
        <w:rPr>
          <w:rFonts w:ascii="Arial" w:cs="Arial" w:eastAsia="Arial" w:hAnsi="Arial"/>
          <w:sz w:val="18"/>
          <w:szCs w:val="18"/>
          <w:b w:val="1"/>
          <w:bCs w:val="1"/>
          <w:color w:val="auto"/>
        </w:rPr>
        <w:t>$300.0 million related to a one-time contract termination fee to eliminate potential future royalty obligations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related to SKYCLARYS, which was triggered as part of the change in control provision under Reata's funding agreement with Blackstone. Additionally, we </w:t>
      </w:r>
      <w:r>
        <w:rPr>
          <w:rFonts w:ascii="Arial" w:cs="Arial" w:eastAsia="Arial" w:hAnsi="Arial"/>
          <w:sz w:val="18"/>
          <w:szCs w:val="18"/>
          <w:color w:val="auto"/>
        </w:rPr>
        <w:t>assumed responsibility for a single -tenant, build-to-suit building of approximately 327,400 square feet of office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laboratory space located in Plano, Texas, with an initial lease term of 16 years. </w:t>
      </w:r>
      <w:r>
        <w:rPr>
          <w:rFonts w:ascii="Arial" w:cs="Arial" w:eastAsia="Arial" w:hAnsi="Arial"/>
          <w:sz w:val="18"/>
          <w:szCs w:val="18"/>
          <w:b w:val="1"/>
          <w:bCs w:val="1"/>
          <w:color w:val="auto"/>
        </w:rPr>
        <w:t>This lease was expected to be Reata’s future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headquarters. Total net present value of rental expense is approximately $151.8 million over </w:t>
      </w:r>
      <w:r>
        <w:rPr>
          <w:rFonts w:ascii="Arial" w:cs="Arial" w:eastAsia="Arial" w:hAnsi="Arial"/>
          <w:sz w:val="18"/>
          <w:szCs w:val="18"/>
          <w:color w:val="auto"/>
        </w:rPr>
        <w:t>the next 15 years.</w:t>
      </w:r>
    </w:p>
    <w:p>
      <w:pPr>
        <w:spacing w:after="0" w:line="60"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condensed consolidated financial statements included in this report.</w:t>
      </w:r>
    </w:p>
    <w:p>
      <w:pPr>
        <w:spacing w:after="0" w:line="31"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Aside from our new commitments related to Reata, there have been no material changes in our contractual obligations since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CONTINGENT DEVELOPMENT, REGULATORY AND COMMERCIAL MILESTONE PAYMENTS</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Based on our development plans as of September 30, 2023, we could trigger potential future milestone payments to third parties of up to approximately $6.0 billion, including approximately $1.2 billion in development milestones, approximately $500.0 million in regulatory milestones and approximately $4.3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September 30, 2023,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138" w:lineRule="exact"/>
        <w:rPr>
          <w:sz w:val="20"/>
          <w:szCs w:val="20"/>
          <w:color w:val="auto"/>
        </w:rPr>
      </w:pPr>
    </w:p>
    <w:p>
      <w:pPr>
        <w:ind w:right="140"/>
        <w:spacing w:after="0" w:line="306" w:lineRule="auto"/>
        <w:rPr>
          <w:sz w:val="20"/>
          <w:szCs w:val="20"/>
          <w:color w:val="auto"/>
        </w:rPr>
      </w:pPr>
      <w:r>
        <w:rPr>
          <w:rFonts w:ascii="Arial" w:cs="Arial" w:eastAsia="Arial" w:hAnsi="Arial"/>
          <w:sz w:val="17"/>
          <w:szCs w:val="17"/>
          <w:color w:val="auto"/>
        </w:rPr>
        <w:t>If certain clinical and commercial milestones are met, we may pay up to approximately $91.7 million in milestones in 2023 under our current agreements. This includes milestones totaling $75.0 million due to Sage upon the first commercial sale of ZURZUVAE for PPD in the U.S.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OTHER FUNDING COMMITMENTS</w:t>
      </w:r>
    </w:p>
    <w:p>
      <w:pPr>
        <w:spacing w:after="0" w:line="108"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As of September 30, 2023, we have several ongoing clinical studies in various clinical trial stages. Our most significant clinical trial expenditures are to CROs. The contracts with CROs are generally cancellable, with notice, at our option. We recorded accrued expense of approximately $34.3 million in our condensed consolidated balance sheets for expenditures incurred by CROs as of September 30, 2023. We have approximately $777.0 million in cancellable future commitments based on existing CRO contracts as of September 30, 2023.</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TAX RELATED OBLIGATIONS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September 30, 2023, we have approximately $163.7 million of liabilities associated with uncertain tax positions.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and December 31, 2022, we have accrued income tax liabilities of approximately $419.5 million and</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$558.0 million, respectively, under the Transition Toll Tax. Of the amounts accrued as of September 30, 2023, approximately $185.4 million is expected to be paid within one year. The Transition Toll Tax is being paid in installments over an eight-year period, which started in 2018, and will not accrue interest.</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NEW ACCOUNTING STANDARDS</w:t>
      </w:r>
    </w:p>
    <w:p>
      <w:pPr>
        <w:spacing w:after="0" w:line="129"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our condensed consolidated financial statements included in this report.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CRITICAL ACCOUNTING ESTIMATES</w:t>
      </w:r>
    </w:p>
    <w:p>
      <w:pPr>
        <w:spacing w:after="0" w:line="13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preparation of our condensed consolidated financial statements, which have been prepared in accordance with accounting principles generally accepted in the U.S.,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0070C0"/>
        </w:rPr>
        <w:t>BUSINESS COMBINATIONS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Business combinations are recorded using the acquisition method of accounting. The results of operations of the acquired company are included in our results of operations beginning on the acquisition date, and assets acquired and liabilities assumed are recognized on the acquisition date at their respective fair values. Any excess of consideration transferred over the net carrying value of the assets acquired and liabilities assumed as of the acquisition date is recognized as goodwill. Transaction and restructuring costs related to business combinations are expensed as incurred. The fair value of assets acquired and liabilities assumed in certain cases may be subject to revision based on the final determination of fair value during a period of time not to exceed 12 months from the acquisition date. If we determine the assets acquired do not meet the definition of a business, the transaction will be accounted for as an asset acquisition rather than a business combination.</w:t>
      </w:r>
    </w:p>
    <w:p>
      <w:pPr>
        <w:spacing w:after="0" w:line="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 xml:space="preserve">Except for business combinations, as discussed above, there have been no material changes to our critical accounting estimates since our 2022 Form 10-K. For a discussion of our other critical accounting estimates, please read </w:t>
      </w:r>
      <w:r>
        <w:rPr>
          <w:rFonts w:ascii="Arial" w:cs="Arial" w:eastAsia="Arial" w:hAnsi="Arial"/>
          <w:sz w:val="18"/>
          <w:szCs w:val="18"/>
          <w:i w:val="1"/>
          <w:iCs w:val="1"/>
          <w:color w:val="auto"/>
        </w:rPr>
        <w:t>Part II, Item 7.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2022 Form 10-K.</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3.</w:t>
        <w:tab/>
        <w:t>QUANTITATIVE AND QUALITATIVE DISCLOSURES ABOUT MARKET RISK</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COVID-19 pandemic, the conflict in Ukraine and the military conflict in the Middle East. We manage the impact of foreign currency exchange rates and interest rates through various financial instruments, including derivative instruments such as foreign currency forward contracts, foreign currency options,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color w:val="0070C0"/>
        </w:rPr>
        <w:t>FOREIGN CURRENCY EXCHANGE RISK</w:t>
      </w:r>
    </w:p>
    <w:p>
      <w:pPr>
        <w:spacing w:after="0" w:line="10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and Swiss franc.</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spacing w:after="0" w:line="8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operations or financial position as of September 30, 2023, and is not expected to have a material impact on our results of operations or financial position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AND OPERATING EXPENSE HEDGING PROGRAM</w:t>
      </w:r>
    </w:p>
    <w:p>
      <w:pPr>
        <w:spacing w:after="0" w:line="118"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15 months. We do not engage in currency speculation. For a more detailed disclosure of our revenue and operating expense hedging program, please read </w:t>
      </w:r>
      <w:r>
        <w:rPr>
          <w:rFonts w:ascii="Arial" w:cs="Arial" w:eastAsia="Arial" w:hAnsi="Arial"/>
          <w:sz w:val="18"/>
          <w:szCs w:val="18"/>
          <w:i w:val="1"/>
          <w:iCs w:val="1"/>
          <w:color w:val="auto"/>
        </w:rPr>
        <w:t>Note 10, Derivative Instruments,</w:t>
      </w:r>
      <w:r>
        <w:rPr>
          <w:rFonts w:ascii="Arial" w:cs="Arial" w:eastAsia="Arial" w:hAnsi="Arial"/>
          <w:sz w:val="18"/>
          <w:szCs w:val="18"/>
          <w:color w:val="auto"/>
        </w:rPr>
        <w:t xml:space="preserve"> to our condensed consolidated financial statements included in this report.</w:t>
      </w:r>
    </w:p>
    <w:p>
      <w:pPr>
        <w:spacing w:after="0" w:line="84"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BALANCE SHEET RISK MANAGEMENT HEDGING PROGRAM</w:t>
      </w:r>
    </w:p>
    <w:p>
      <w:pPr>
        <w:spacing w:after="0" w:line="10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condensed consolidated statements of cash flow.</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September 30, 2023 and December 31, 2022, a hypothetical adverse 10.0% movement in foreign currency exchange rates compared to the U.S. dollar across all maturities would result in a hypothetical decrease in the fair value of forward contracts of approximately $230.9 million and $293.7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2573BA"/>
        </w:rPr>
        <w:t>INTEREST RATE RISK</w:t>
      </w:r>
    </w:p>
    <w:p>
      <w:pPr>
        <w:spacing w:after="0" w:line="1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investment portfolio includes cash equivalents and short-term investments.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December 31, 2022, we estimate that such hypothetical 100 basis point adverse movement would result in a hypothetical loss in fair value of approximately $11.7 million to our interest rate sensitive instruments. The fair values of our investments were determined using third-party pricing services or other market observable data.</w:t>
      </w:r>
    </w:p>
    <w:p>
      <w:pPr>
        <w:spacing w:after="0" w:line="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 xml:space="preserve">We partially funded our Reata acquisition through available cash, cash equivalents and marketable securities. As of September 30, 2023, we have sold all of our marketable debt securities.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these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CREDIT RISK</w:t>
      </w:r>
    </w:p>
    <w:p>
      <w:pPr>
        <w:spacing w:after="0" w:line="1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We operate in certain countries where weakness in economic conditions, including the effects of the COVID-19 pandemic, the conflict in Ukraine and the military conflict in the Middle East,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allowance for doubtful accounts was adequate as of September 30, 2023 and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EQUITY PRICE RISK</w:t>
      </w:r>
    </w:p>
    <w:p>
      <w:pPr>
        <w:spacing w:after="0" w:line="13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Our strategic investment portfolio includes investments in equity securities of certain biotechnology companies. While we are holding such securities, we are subject to equity price risk, and this may increase the volatility of our income in future periods due to changes in the fair value of equity investments. We may sell such equity securities based on our business considerations, which may include limiting our price risk.</w:t>
      </w:r>
    </w:p>
    <w:p>
      <w:pPr>
        <w:spacing w:after="0" w:line="93"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Changes in the fair value of these equity securities are impacted by the volatility of the stock market and changes in general economic conditions, among other factors. The potential change in fair value for equity price sensitive instruments has been assessed on a hypothetical 10.0% adverse movement. As of September 30, 2023 and December 31, 2022, a hypothetical adverse 10.0% movement would result in a hypothetical decrease in fair value of approximately $41.4 million and $79.1 million, respectively.</w:t>
      </w:r>
    </w:p>
    <w:p>
      <w:pPr>
        <w:spacing w:after="0" w:line="166"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auto"/>
        </w:rPr>
        <w:t>ITEM 4.</w:t>
        <w:tab/>
        <w:t>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DISCLOSURE CONTROLS AND PROCEDURES AND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CONTROLS AND PROCEDURES</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September 30, 2023. Based upon that evaluation, our principal executive officer and principal financial officer concluded that, as of the end of the period covered by this report, our disclosure controls and procedures are effective in ensuring that:</w:t>
      </w:r>
    </w:p>
    <w:p>
      <w:pPr>
        <w:spacing w:after="0" w:line="84" w:lineRule="exact"/>
        <w:rPr>
          <w:sz w:val="20"/>
          <w:szCs w:val="20"/>
          <w:color w:val="auto"/>
        </w:rPr>
      </w:pPr>
    </w:p>
    <w:p>
      <w:pPr>
        <w:ind w:left="740" w:right="40" w:hanging="246"/>
        <w:spacing w:after="0" w:line="263" w:lineRule="auto"/>
        <w:tabs>
          <w:tab w:leader="none" w:pos="7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75" w:lineRule="exact"/>
        <w:rPr>
          <w:rFonts w:ascii="Arial" w:cs="Arial" w:eastAsia="Arial" w:hAnsi="Arial"/>
          <w:sz w:val="18"/>
          <w:szCs w:val="18"/>
          <w:color w:val="auto"/>
        </w:rPr>
      </w:pPr>
    </w:p>
    <w:p>
      <w:pPr>
        <w:ind w:left="740" w:right="460" w:hanging="246"/>
        <w:spacing w:after="0" w:line="275" w:lineRule="auto"/>
        <w:tabs>
          <w:tab w:leader="none" w:pos="7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1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On September 26, 2023, we completed our acquisition of Reata. The Reata acquisition was accounted for as a business combination using the acquisition method of accounting. The results of operations of the acquired Reata business have been included in our results of operations since September 26, 2023, and we are currently in the process of evaluating and integrating Reata's historical internal controls over financial reporting with ours.</w:t>
      </w:r>
    </w:p>
    <w:p>
      <w:pPr>
        <w:spacing w:after="0" w:line="8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Other than the evaluation and integration of internal controls resulting from the Reata acquisition, as discussed above, there were no changes in our internal control over financial reporting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1C5A7D"/>
        </w:rPr>
        <w:t>PART II OTHER INFORMATION</w:t>
      </w:r>
    </w:p>
    <w:p>
      <w:pPr>
        <w:spacing w:after="0" w:line="249"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1.</w:t>
        <w:tab/>
        <w:t>LEGAL PROCEEDINGS</w:t>
      </w:r>
    </w:p>
    <w:p>
      <w:pPr>
        <w:spacing w:after="0" w:line="12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color w:val="auto"/>
        </w:rPr>
        <w:t xml:space="preserve">For a discussion of legal proceedings as of September 30, 2023,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condensed consolidated financial statements included in this report, which is incorporated into this item by reference.</w:t>
      </w:r>
    </w:p>
    <w:p>
      <w:pPr>
        <w:spacing w:after="0" w:line="42"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auto"/>
        </w:rPr>
        <w:t>ITEM 1A.</w:t>
      </w:r>
      <w:r>
        <w:rPr>
          <w:sz w:val="20"/>
          <w:szCs w:val="20"/>
          <w:color w:val="auto"/>
        </w:rPr>
        <w:tab/>
      </w:r>
      <w:r>
        <w:rPr>
          <w:rFonts w:ascii="Arial" w:cs="Arial" w:eastAsia="Arial" w:hAnsi="Arial"/>
          <w:sz w:val="24"/>
          <w:szCs w:val="24"/>
          <w:b w:val="1"/>
          <w:bCs w:val="1"/>
          <w:color w:val="auto"/>
        </w:rPr>
        <w:t>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27"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could cause a decline in our stock price:</w:t>
      </w:r>
    </w:p>
    <w:p>
      <w:pPr>
        <w:spacing w:after="0" w:line="82" w:lineRule="exact"/>
        <w:rPr>
          <w:sz w:val="20"/>
          <w:szCs w:val="20"/>
          <w:color w:val="auto"/>
        </w:rPr>
      </w:pPr>
    </w:p>
    <w:p>
      <w:pPr>
        <w:ind w:left="500" w:right="520" w:hanging="330"/>
        <w:spacing w:after="0" w:line="306" w:lineRule="auto"/>
        <w:tabs>
          <w:tab w:leader="none" w:pos="45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introduction, greater acceptance or more favorable reimbursement of competing products, including new originator therapies, generics, prodrugs and biosimilars of existing products and products approved under abbreviated regulatory pathways;</w:t>
      </w:r>
    </w:p>
    <w:p>
      <w:pPr>
        <w:spacing w:after="0" w:line="41" w:lineRule="exact"/>
        <w:rPr>
          <w:rFonts w:ascii="Arial" w:cs="Arial" w:eastAsia="Arial" w:hAnsi="Arial"/>
          <w:sz w:val="17"/>
          <w:szCs w:val="17"/>
          <w:color w:val="auto"/>
        </w:rPr>
      </w:pPr>
    </w:p>
    <w:p>
      <w:pPr>
        <w:ind w:left="440" w:hanging="270"/>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117" w:lineRule="exact"/>
        <w:rPr>
          <w:rFonts w:ascii="Arial" w:cs="Arial" w:eastAsia="Arial" w:hAnsi="Arial"/>
          <w:sz w:val="18"/>
          <w:szCs w:val="18"/>
          <w:color w:val="auto"/>
        </w:rPr>
      </w:pPr>
    </w:p>
    <w:p>
      <w:pPr>
        <w:ind w:left="500" w:hanging="330"/>
        <w:spacing w:after="0" w:line="263" w:lineRule="auto"/>
        <w:tabs>
          <w:tab w:leader="none" w:pos="4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resulting from governmental or regulatory requirements; increased competition, including from generic or biosimilar versions of our products; or changes in, or implementation of, reimbursement policies and practices of payors and other third-parties;</w:t>
      </w:r>
    </w:p>
    <w:p>
      <w:pPr>
        <w:spacing w:after="0" w:line="75" w:lineRule="exact"/>
        <w:rPr>
          <w:rFonts w:ascii="Arial" w:cs="Arial" w:eastAsia="Arial" w:hAnsi="Arial"/>
          <w:sz w:val="18"/>
          <w:szCs w:val="18"/>
          <w:color w:val="auto"/>
        </w:rPr>
      </w:pPr>
    </w:p>
    <w:p>
      <w:pPr>
        <w:ind w:left="440" w:hanging="270"/>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 legal, administrative, geopolitical events, regulatory or legislative developments; or</w:t>
      </w:r>
    </w:p>
    <w:p>
      <w:pPr>
        <w:spacing w:after="0" w:line="117" w:lineRule="exact"/>
        <w:rPr>
          <w:rFonts w:ascii="Arial" w:cs="Arial" w:eastAsia="Arial" w:hAnsi="Arial"/>
          <w:sz w:val="18"/>
          <w:szCs w:val="18"/>
          <w:color w:val="auto"/>
        </w:rPr>
      </w:pPr>
    </w:p>
    <w:p>
      <w:pPr>
        <w:ind w:left="500" w:right="20" w:hanging="330"/>
        <w:spacing w:after="0" w:line="275" w:lineRule="auto"/>
        <w:tabs>
          <w:tab w:leader="none" w:pos="4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w:t>
      </w:r>
    </w:p>
    <w:p>
      <w:pPr>
        <w:spacing w:after="0" w:line="5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LEQEMBI and SKYCLARYS are in the early stages of commercial launch in the U.S. In addition to risks associated with new product launches and the other factors described in these Risk Factors, Biogen’s and Eisai’s ability to successfully commercialize LEQEMBI and our ability to successfully commercialize SKYCLARYS may be adversely affected due to:</w:t>
      </w:r>
    </w:p>
    <w:p>
      <w:pPr>
        <w:spacing w:after="0" w:line="76" w:lineRule="exact"/>
        <w:rPr>
          <w:sz w:val="20"/>
          <w:szCs w:val="20"/>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Eisai’s ability to obtain and maintain adequate reimbursement for LEQEMBI;</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Eisai's and Biogen’s commercial strategy for marketing LEQEMBI;</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such as participation in a registry and the use of imaging or other diagnostics;</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approval of other new products for the same or similar indications;</w:t>
      </w:r>
    </w:p>
    <w:p>
      <w:pPr>
        <w:spacing w:after="0" w:line="103" w:lineRule="exact"/>
        <w:rPr>
          <w:rFonts w:ascii="Arial" w:cs="Arial" w:eastAsia="Arial" w:hAnsi="Arial"/>
          <w:sz w:val="18"/>
          <w:szCs w:val="18"/>
          <w:color w:val="auto"/>
        </w:rPr>
      </w:pPr>
    </w:p>
    <w:p>
      <w:pPr>
        <w:ind w:left="500" w:hanging="330"/>
        <w:spacing w:after="0" w:line="260"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Eisai’s and Biogen’s ability to maintain a positive reputation among patients, healthcare providers and others in the Alzheimer’s disease community, which may be impacted by pricing and reimbursement decisions relating to LEQEMBI, which are made by Eisai;</w:t>
      </w:r>
    </w:p>
    <w:p>
      <w:pPr>
        <w:spacing w:after="0" w:line="64" w:lineRule="exact"/>
        <w:rPr>
          <w:rFonts w:ascii="Arial" w:cs="Arial" w:eastAsia="Arial" w:hAnsi="Arial"/>
          <w:sz w:val="18"/>
          <w:szCs w:val="18"/>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Biogen's ability to obtain and maintain adequate reimbursement for SKYCLARYS; and</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Biogen's commercial strategy for marketing SKYCLARYS.</w:t>
      </w:r>
    </w:p>
    <w:p>
      <w:pPr>
        <w:spacing w:after="0" w:line="94"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3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color w:val="auto"/>
        </w:rPr>
        <w:t>Our long -term success will depend upon the successful development of new products from our research and development activities or our licenses or acquisitions from third-parties, as well as additional indications for our existing products.</w:t>
      </w:r>
    </w:p>
    <w:p>
      <w:pPr>
        <w:spacing w:after="0" w:line="6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may present additional challenges and risks, including obtaining approval from regulatory authorities that have limited experience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with the development of such therapies. For example, we are currently seeking approval of SKYCLARYS in Europe and any delays or challenges regarding its approval in Europe may adversely impact our ability to realize the anticipated benefits from the Reata acquisition.</w:t>
      </w:r>
    </w:p>
    <w:p>
      <w:pPr>
        <w:spacing w:after="0" w:line="5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7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Success in preclinical work or early-stage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or delay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8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Even if we could successfully develop new products or indications, we may make a strategic decision to discontinue development of a product candidate or indication if, for example, we believe commercialization will be difficult relative to the standard of care or we prefer to pursue other opportunities in our pipeline.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Sales of new products or products with additional indications may not meet investor expectations.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in 2020. In addition, in some markets, when a generic or biosimilar version of one of our products is commercialized, it may be automatically substituted for our product and significantly reduce our revenue in a short period of time.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maintain and grow our business may also be adversely affected due to a number of factors, including:</w:t>
      </w:r>
    </w:p>
    <w:p>
      <w:pPr>
        <w:spacing w:after="0" w:line="117" w:lineRule="exact"/>
        <w:rPr>
          <w:sz w:val="20"/>
          <w:szCs w:val="20"/>
          <w:color w:val="auto"/>
        </w:rPr>
      </w:pPr>
    </w:p>
    <w:p>
      <w:pPr>
        <w:ind w:left="500" w:right="900" w:hanging="330"/>
        <w:spacing w:after="0" w:line="275" w:lineRule="auto"/>
        <w:tabs>
          <w:tab w:leader="none" w:pos="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117" w:lineRule="exact"/>
        <w:rPr>
          <w:rFonts w:ascii="Arial" w:cs="Arial" w:eastAsia="Arial" w:hAnsi="Arial"/>
          <w:sz w:val="18"/>
          <w:szCs w:val="18"/>
          <w:color w:val="auto"/>
        </w:rPr>
      </w:pPr>
    </w:p>
    <w:p>
      <w:pPr>
        <w:ind w:left="500" w:right="120" w:hanging="330"/>
        <w:spacing w:after="0" w:line="275" w:lineRule="auto"/>
        <w:tabs>
          <w:tab w:leader="none" w:pos="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65" w:lineRule="exact"/>
        <w:rPr>
          <w:rFonts w:ascii="Arial" w:cs="Arial" w:eastAsia="Arial" w:hAnsi="Arial"/>
          <w:sz w:val="18"/>
          <w:szCs w:val="18"/>
          <w:color w:val="auto"/>
        </w:rPr>
      </w:pPr>
    </w:p>
    <w:p>
      <w:pPr>
        <w:ind w:left="500" w:right="300" w:hanging="330"/>
        <w:spacing w:after="0" w:line="275" w:lineRule="auto"/>
        <w:tabs>
          <w:tab w:leader="none" w:pos="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65" w:lineRule="exact"/>
        <w:rPr>
          <w:rFonts w:ascii="Arial" w:cs="Arial" w:eastAsia="Arial" w:hAnsi="Arial"/>
          <w:sz w:val="18"/>
          <w:szCs w:val="18"/>
          <w:color w:val="auto"/>
        </w:rPr>
      </w:pPr>
    </w:p>
    <w:p>
      <w:pPr>
        <w:jc w:val="both"/>
        <w:ind w:left="500" w:right="80" w:hanging="330"/>
        <w:spacing w:after="0" w:line="285" w:lineRule="auto"/>
        <w:tabs>
          <w:tab w:leader="none" w:pos="4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spacing w:after="0" w:line="59" w:lineRule="exact"/>
        <w:rPr>
          <w:rFonts w:ascii="Arial" w:cs="Arial" w:eastAsia="Arial" w:hAnsi="Arial"/>
          <w:sz w:val="17"/>
          <w:szCs w:val="17"/>
          <w:color w:val="auto"/>
        </w:rPr>
      </w:pPr>
    </w:p>
    <w:p>
      <w:pPr>
        <w:ind w:left="500" w:right="300" w:hanging="330"/>
        <w:spacing w:after="0" w:line="275" w:lineRule="auto"/>
        <w:tabs>
          <w:tab w:leader="none" w:pos="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obtain appropriate pricing and adequate reimbursement for our products compared to our competitors in key international markets; or</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3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successful execution of our strategic and growth initiatives may depend upon internal development projects, commercial initiatives and external opportunities, which may include the acquisition and in-licensing of products, technologies, companies, the entry into strategic alliances and collaborations or our Fit for Growth program.</w:t>
      </w:r>
    </w:p>
    <w:p>
      <w:pPr>
        <w:spacing w:after="0" w:line="7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84"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w:t>
      </w:r>
    </w:p>
    <w:p>
      <w:pPr>
        <w:spacing w:after="0" w:line="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disputes or litigation. Furthermore, we may not be able to achieve the full strategic and financial benefits expected to result from transactions, or the benefits may be delayed or not occur at all. We may also face additional costs or liabilities in completed transactions that were not contemplated prior to completion.</w:t>
      </w:r>
    </w:p>
    <w:p>
      <w:pPr>
        <w:spacing w:after="0" w:line="8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 For example, we recently acquired Reata and are in the process of integrating Reata into our Company. The ultimate success of our acquisition of Reata and our ability to realize the anticipated benefits from the acquisition, including the SKYCLARYS product and anticipated synergies, depends on, among other things, how effective we are in integrating the Biogen and Reata operations.</w:t>
      </w:r>
    </w:p>
    <w:p>
      <w:pPr>
        <w:spacing w:after="0" w:line="77"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face risks associated with our Fit for Growth program that may impair our ability to achieve anticipated savings and operational efficiencies or that may otherwise harm our business. These risks include delays in implementation of cost optimization actions, loss of workforce capabilities, higher than anticipated separation expenses, litigation and the failure to meet financial and operational targets. In addition, the calculation of the anticipated cost savings and other benefits resulting from our Fit for Growth program are subject to many estimates and assumptions. These estimates and assumptions are subject to significant business, economic, competitive and other uncertainties and contingencies, many of which are beyond our control. if these estimates and assumptions are incorrect or if we experience delays or unforeseen events, our business and financial results could be adversely affected.</w:t>
      </w:r>
    </w:p>
    <w:p>
      <w:pPr>
        <w:spacing w:after="0" w:line="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7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Sales of our products depend, to a significant extent, on adequate coverage, pricing and reimbursement from third-party payors. When a new pharmaceutical product is approved, the availability of government and private reimbursement for that product, diagnosis of the condition it treats and the cost to administer it may be uncertain, as is the pricing and amount for which that product will be reimbursed.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117" w:lineRule="exact"/>
        <w:rPr>
          <w:sz w:val="20"/>
          <w:szCs w:val="20"/>
          <w:color w:val="auto"/>
        </w:rPr>
      </w:pPr>
    </w:p>
    <w:p>
      <w:pPr>
        <w:ind w:left="500" w:right="620" w:hanging="330"/>
        <w:spacing w:after="0" w:line="275"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117" w:lineRule="exact"/>
        <w:rPr>
          <w:rFonts w:ascii="Arial" w:cs="Arial" w:eastAsia="Arial" w:hAnsi="Arial"/>
          <w:sz w:val="18"/>
          <w:szCs w:val="18"/>
          <w:color w:val="auto"/>
        </w:rPr>
      </w:pPr>
    </w:p>
    <w:p>
      <w:pPr>
        <w:ind w:left="500" w:right="400" w:hanging="330"/>
        <w:spacing w:after="0" w:line="263"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right="120" w:hanging="330"/>
        <w:spacing w:after="0" w:line="275" w:lineRule="auto"/>
        <w:tabs>
          <w:tab w:leader="none" w:pos="4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receive reimbursement for our products or our ability to receive comparable reimbursement to that of competing products; and</w:t>
      </w:r>
    </w:p>
    <w:p>
      <w:pPr>
        <w:spacing w:after="0" w:line="65" w:lineRule="exact"/>
        <w:rPr>
          <w:rFonts w:ascii="Arial" w:cs="Arial" w:eastAsia="Arial" w:hAnsi="Arial"/>
          <w:sz w:val="18"/>
          <w:szCs w:val="18"/>
          <w:color w:val="auto"/>
        </w:rPr>
      </w:pPr>
    </w:p>
    <w:p>
      <w:pPr>
        <w:ind w:left="500" w:right="20" w:hanging="330"/>
        <w:spacing w:after="0" w:line="263" w:lineRule="auto"/>
        <w:tabs>
          <w:tab w:leader="none" w:pos="4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7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Governments may use a variety of cost-containment measures to control the cost of products, 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We expect drug pricing and other health care costs to continue to be subject to intense political and societal pressures on a global basis.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This may create the opportunity for third-party cross-border trade or influence our decision to sell or not to sell a product, thus adversely affecting our geographic expansion plans and revenue. Additionally, and in part due to the impact of the COVID-19 pandemic, in certain jurisdictions governmental health agencies may adjust, retroactively and/or prospectively, reimbursement rates for our products.</w:t>
      </w:r>
    </w:p>
    <w:p>
      <w:pPr>
        <w:spacing w:after="0" w:line="93"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spacing w:after="0" w:line="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8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w:t>
      </w:r>
    </w:p>
    <w:p>
      <w:pPr>
        <w:spacing w:after="0" w:line="68" w:lineRule="exact"/>
        <w:rPr>
          <w:sz w:val="20"/>
          <w:szCs w:val="20"/>
          <w:color w:val="auto"/>
        </w:rPr>
      </w:pPr>
    </w:p>
    <w:p>
      <w:pPr>
        <w:ind w:right="220"/>
        <w:spacing w:after="0" w:line="333" w:lineRule="auto"/>
        <w:rPr>
          <w:sz w:val="20"/>
          <w:szCs w:val="20"/>
          <w:color w:val="auto"/>
        </w:rPr>
      </w:pPr>
      <w:r>
        <w:rPr>
          <w:rFonts w:ascii="Arial" w:cs="Arial" w:eastAsia="Arial" w:hAnsi="Arial"/>
          <w:sz w:val="17"/>
          <w:szCs w:val="17"/>
          <w:b w:val="1"/>
          <w:bCs w:val="1"/>
          <w:i w:val="1"/>
          <w:iCs w:val="1"/>
          <w:color w:val="2573BA"/>
        </w:rPr>
        <w:t>We depend on relationships with collaborators and other third-parties for revenue, and for the development, regulatory approval, commercialization and marketing of certain of our products and product candidates, which are outside of our full control.</w:t>
      </w:r>
    </w:p>
    <w:p>
      <w:pPr>
        <w:spacing w:after="0" w:line="8"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third-parties. Reliance on third-parties subjects us to a number of risks, including:</w:t>
      </w:r>
    </w:p>
    <w:p>
      <w:pPr>
        <w:spacing w:after="0" w:line="82" w:lineRule="exact"/>
        <w:rPr>
          <w:sz w:val="20"/>
          <w:szCs w:val="20"/>
          <w:color w:val="auto"/>
        </w:rPr>
      </w:pPr>
    </w:p>
    <w:p>
      <w:pPr>
        <w:ind w:left="440" w:hanging="270"/>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or third-parties devote to our programs, products or product candidates;</w:t>
      </w:r>
    </w:p>
    <w:p>
      <w:pPr>
        <w:spacing w:after="0" w:line="117" w:lineRule="exact"/>
        <w:rPr>
          <w:rFonts w:ascii="Arial" w:cs="Arial" w:eastAsia="Arial" w:hAnsi="Arial"/>
          <w:sz w:val="18"/>
          <w:szCs w:val="18"/>
          <w:color w:val="auto"/>
        </w:rPr>
      </w:pPr>
    </w:p>
    <w:p>
      <w:pPr>
        <w:ind w:left="500" w:right="220" w:hanging="330"/>
        <w:spacing w:after="0" w:line="263" w:lineRule="auto"/>
        <w:tabs>
          <w:tab w:leader="none" w:pos="4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third-parties fail to perform;</w:t>
      </w:r>
    </w:p>
    <w:p>
      <w:pPr>
        <w:spacing w:after="0" w:line="75" w:lineRule="exact"/>
        <w:rPr>
          <w:rFonts w:ascii="Arial" w:cs="Arial" w:eastAsia="Arial" w:hAnsi="Arial"/>
          <w:sz w:val="18"/>
          <w:szCs w:val="18"/>
          <w:color w:val="auto"/>
        </w:rPr>
      </w:pPr>
    </w:p>
    <w:p>
      <w:pPr>
        <w:ind w:left="500" w:right="320" w:hanging="330"/>
        <w:spacing w:after="0" w:line="285" w:lineRule="auto"/>
        <w:tabs>
          <w:tab w:leader="none" w:pos="4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interests of our collaborators or third-parties may not always be aligned with our interests, and such parties may not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500" w:right="440" w:hanging="330"/>
        <w:spacing w:after="0" w:line="263"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75" w:lineRule="exact"/>
        <w:rPr>
          <w:rFonts w:ascii="Arial" w:cs="Arial" w:eastAsia="Arial" w:hAnsi="Arial"/>
          <w:sz w:val="18"/>
          <w:szCs w:val="18"/>
          <w:color w:val="auto"/>
        </w:rPr>
      </w:pPr>
    </w:p>
    <w:p>
      <w:pPr>
        <w:ind w:left="500" w:right="140" w:hanging="330"/>
        <w:spacing w:after="0" w:line="285" w:lineRule="auto"/>
        <w:tabs>
          <w:tab w:leader="none" w:pos="455"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failure on the part of our collaborators or third-parties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as well as involve us in possible legal proceedings; and</w:t>
      </w:r>
    </w:p>
    <w:p>
      <w:pPr>
        <w:spacing w:after="0" w:line="59" w:lineRule="exact"/>
        <w:rPr>
          <w:rFonts w:ascii="Arial" w:cs="Arial" w:eastAsia="Arial" w:hAnsi="Arial"/>
          <w:sz w:val="17"/>
          <w:szCs w:val="17"/>
          <w:color w:val="auto"/>
        </w:rPr>
      </w:pPr>
    </w:p>
    <w:p>
      <w:pPr>
        <w:ind w:left="500" w:right="220" w:hanging="330"/>
        <w:spacing w:after="0" w:line="263"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or third-parties could subject us to civil or criminal investigations and monetary and injunctive penalties, impact the accuracy and timing of our financial reporting and/or adversely impact our ability to conduct business, our operating results and our reputation.</w:t>
      </w:r>
    </w:p>
    <w:p>
      <w:pPr>
        <w:spacing w:after="0" w:line="76"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(including those contained in the IRA) and increasing pressure from social sources could significantly influence the manner in which our products are prescribed, purchased and reimbursed.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w:t>
      </w:r>
    </w:p>
    <w:p>
      <w:pPr>
        <w:spacing w:after="0" w:line="8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is increasing public attention on the costs of prescription drugs and we expect drug pricing and other health care costs to continue to be subject to intense political and societal pressures on a global basis. For example, two committees of the U.S. House of Representatives previously investigated the approval and price of ADUHELM. In addition, there have been (including elements of the IRA), and are expected to continue to be, legislative proposals to address prescription drug pricing. Some of these proposals could have significant effects on our business, including an executive order issued in September 2020 to test a “most favored nation” model for Part B and Part D drugs that tie reimbursement rates to international drug pricing metrics. These actions and the uncertainty about the future of the PPACA and healthcare laws may put downward pressure on pharmaceutical pricing and increase our regulatory burdens and operating costs.</w:t>
      </w:r>
    </w:p>
    <w:p>
      <w:pPr>
        <w:spacing w:after="0" w:line="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There is also significant economic pressure on state budgets, including as a result of the COVID-19 pandemic,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8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59"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in such activities, our business may be adversely affected.</w:t>
      </w:r>
    </w:p>
    <w:p>
      <w:pPr>
        <w:spacing w:after="0" w:line="3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The development, manufacture and commercialization of biosimilar products require specialized expertise and are very costly and subject to complex regulation. Our success in commercializing biosimilars is subject to a number of risks, including:</w:t>
      </w:r>
    </w:p>
    <w:p>
      <w:pPr>
        <w:spacing w:after="0" w:line="60" w:lineRule="exact"/>
        <w:rPr>
          <w:sz w:val="20"/>
          <w:szCs w:val="20"/>
          <w:color w:val="auto"/>
        </w:rPr>
      </w:pPr>
    </w:p>
    <w:p>
      <w:pPr>
        <w:ind w:left="500" w:right="60" w:hanging="330"/>
        <w:spacing w:after="0" w:line="261"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Third-Parties. </w:t>
      </w:r>
      <w:r>
        <w:rPr>
          <w:rFonts w:ascii="Arial" w:cs="Arial" w:eastAsia="Arial" w:hAnsi="Arial"/>
          <w:sz w:val="18"/>
          <w:szCs w:val="18"/>
          <w:color w:val="auto"/>
        </w:rPr>
        <w:t>We are dependent, in part, on the efforts of collaboration partners and other third-parties over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limited or no control in the development and manufacturing of biosimilars products. If these third-parties fail to perform successfully, our biosimilar product development or commercialization of biosimilar products could be delayed, revenue from biosimilar products could decline and/or we may not realize the anticipated benefits of these arrangements;</w:t>
      </w:r>
    </w:p>
    <w:p>
      <w:pPr>
        <w:spacing w:after="0" w:line="71" w:lineRule="exact"/>
        <w:rPr>
          <w:rFonts w:ascii="Arial" w:cs="Arial" w:eastAsia="Arial" w:hAnsi="Arial"/>
          <w:sz w:val="18"/>
          <w:szCs w:val="18"/>
          <w:color w:val="auto"/>
        </w:rPr>
      </w:pPr>
    </w:p>
    <w:p>
      <w:pPr>
        <w:ind w:left="500" w:right="340" w:hanging="330"/>
        <w:spacing w:after="0" w:line="282"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53" w:lineRule="exact"/>
        <w:rPr>
          <w:rFonts w:ascii="Arial" w:cs="Arial" w:eastAsia="Arial" w:hAnsi="Arial"/>
          <w:sz w:val="18"/>
          <w:szCs w:val="18"/>
          <w:color w:val="auto"/>
        </w:rPr>
      </w:pPr>
    </w:p>
    <w:p>
      <w:pPr>
        <w:ind w:left="500" w:right="40" w:hanging="330"/>
        <w:spacing w:after="0" w:line="261"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Ability to Provide Adequate Supply. </w:t>
      </w:r>
      <w:r>
        <w:rPr>
          <w:rFonts w:ascii="Arial" w:cs="Arial" w:eastAsia="Arial" w:hAnsi="Arial"/>
          <w:sz w:val="18"/>
          <w:szCs w:val="18"/>
          <w:color w:val="auto"/>
        </w:rPr>
        <w:t>Manufacturing biosimilars is complex. If we encounter any manufacturing or supply chain difficulties</w:t>
      </w:r>
      <w:r>
        <w:rPr>
          <w:rFonts w:ascii="Arial" w:cs="Arial" w:eastAsia="Arial" w:hAnsi="Arial"/>
          <w:sz w:val="18"/>
          <w:szCs w:val="18"/>
          <w:i w:val="1"/>
          <w:iCs w:val="1"/>
          <w:color w:val="auto"/>
        </w:rPr>
        <w:t xml:space="preserve"> </w:t>
      </w:r>
      <w:r>
        <w:rPr>
          <w:rFonts w:ascii="Arial" w:cs="Arial" w:eastAsia="Arial" w:hAnsi="Arial"/>
          <w:sz w:val="18"/>
          <w:szCs w:val="18"/>
          <w:color w:val="auto"/>
        </w:rPr>
        <w:t>we may be unable to meet demand. We are dependent on a third-party for the manufacture of our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w:t>
      </w:r>
    </w:p>
    <w:p>
      <w:pPr>
        <w:spacing w:after="0" w:line="71" w:lineRule="exact"/>
        <w:rPr>
          <w:rFonts w:ascii="Arial" w:cs="Arial" w:eastAsia="Arial" w:hAnsi="Arial"/>
          <w:sz w:val="18"/>
          <w:szCs w:val="18"/>
          <w:color w:val="auto"/>
        </w:rPr>
      </w:pPr>
    </w:p>
    <w:p>
      <w:pPr>
        <w:ind w:left="500" w:right="340" w:hanging="330"/>
        <w:spacing w:after="0" w:line="266"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patent clearances, patent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w:t>
      </w:r>
    </w:p>
    <w:p>
      <w:pPr>
        <w:spacing w:after="0" w:line="67" w:lineRule="exact"/>
        <w:rPr>
          <w:rFonts w:ascii="Arial" w:cs="Arial" w:eastAsia="Arial" w:hAnsi="Arial"/>
          <w:sz w:val="18"/>
          <w:szCs w:val="18"/>
          <w:color w:val="auto"/>
        </w:rPr>
      </w:pPr>
    </w:p>
    <w:p>
      <w:pPr>
        <w:ind w:left="500" w:right="40" w:hanging="330"/>
        <w:spacing w:after="0" w:line="266"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and/or payors do not accept biosimilar products as safe and efficacious products offering a more competitive price or other benefit over existing therapies; and</w:t>
      </w:r>
    </w:p>
    <w:p>
      <w:pPr>
        <w:spacing w:after="0" w:line="67" w:lineRule="exact"/>
        <w:rPr>
          <w:rFonts w:ascii="Arial" w:cs="Arial" w:eastAsia="Arial" w:hAnsi="Arial"/>
          <w:sz w:val="18"/>
          <w:szCs w:val="18"/>
          <w:color w:val="auto"/>
        </w:rPr>
      </w:pPr>
    </w:p>
    <w:p>
      <w:pPr>
        <w:ind w:left="500" w:right="180" w:hanging="330"/>
        <w:spacing w:after="0" w:line="256"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 The decision to explore strategic options related to our biosimilars business could adversely effect our operations related to our biosimilars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104"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defend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manufacturers of generics and biosimilars may choose to launch or attempt to launch their products before the expiration of our patent or other intellectual property protections.</w:t>
      </w:r>
    </w:p>
    <w:p>
      <w:pPr>
        <w:spacing w:after="0" w:line="12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third-parties. Legal proceedings, administrative challenges or other types of proceedings are and may in the future be necessary to determine the validity, scope or non-infringement of certain patent rights claimed by third-parties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a decline or volatility in our stock price.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04" w:lineRule="exact"/>
        <w:rPr>
          <w:sz w:val="20"/>
          <w:szCs w:val="20"/>
          <w:color w:val="auto"/>
        </w:rPr>
      </w:pPr>
    </w:p>
    <w:p>
      <w:pPr>
        <w:ind w:right="660"/>
        <w:spacing w:after="0" w:line="301" w:lineRule="auto"/>
        <w:rPr>
          <w:sz w:val="20"/>
          <w:szCs w:val="20"/>
          <w:color w:val="auto"/>
        </w:rPr>
      </w:pPr>
      <w:r>
        <w:rPr>
          <w:rFonts w:ascii="Arial" w:cs="Arial" w:eastAsia="Arial" w:hAnsi="Arial"/>
          <w:sz w:val="18"/>
          <w:szCs w:val="18"/>
          <w:b w:val="1"/>
          <w:bCs w:val="1"/>
          <w:i w:val="1"/>
          <w:iCs w:val="1"/>
          <w:color w:val="2573BA"/>
        </w:rPr>
        <w:t>Successful preclinical work or early stage clinical trials does not ensure success in later stage trials, regulatory approval or commercial viability of a product.</w:t>
      </w:r>
    </w:p>
    <w:p>
      <w:pPr>
        <w:spacing w:after="0" w:line="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or not approve adequate reimbursement. Regulatory authorities may also fail to approve the facilities or processes used to manufacture a product candidate, our dosing or delivery methods or companion devices. Regulatory authorities may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76"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31"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third-parties to carry out our clinical trial related activities and rely on such parties to accurately report their results. Our reliance on third-parties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spacing w:after="0" w:line="77" w:lineRule="exact"/>
        <w:rPr>
          <w:sz w:val="20"/>
          <w:szCs w:val="20"/>
          <w:color w:val="auto"/>
        </w:rPr>
      </w:pPr>
    </w:p>
    <w:p>
      <w:pPr>
        <w:ind w:right="460"/>
        <w:spacing w:after="0" w:line="301"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spacing w:after="0" w:line="82"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Restrictions on use or safety warnings that may be required to be included in the label of our products may significantly reduce expected revenue for those products and require significant expense and management time.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 breakdown or breach of our technology systems could subject us to liability or interrupt the operation of our business.</w:t>
      </w:r>
    </w:p>
    <w:p>
      <w:pPr>
        <w:spacing w:after="0" w:line="11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are increasingly dependent upon technology systems and data to operate our business. The COVID-19 pandemic has caused us to modify our business practices in ways that heighten this dependence, including changing the requirement that most of our office-based employees in the U.S. and our other key markets work from the office, with a number of our employees now working in hybrid or full-remote positions. As a result, we are increasingly dependent upon our technology systems to operate our business and our ability to effectively manage our business depends on the security, reliability and adequacy of our technology systems and data, which includes use of cloud technologies, including Software as a Service (SaaS), Platform as a Service (PaaS) and Infrastructure as a Service (IaaS). Breakdowns, invasions, corruptions, destructions and/or breaches of our technology systems or those of our business partners, including our cloud technologies, and/or unauthorized access to our data and information could subject us to liability, negatively impact our business operations, and/or require replacement of technology and/or ransom payments. Our technology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Cyber-attacks are increasing in their frequency, sophistication and intensity, and are becoming increasingly difficult to detect, when they impact vendors, customers or companies, including vendors, suppliers and other companies in our supply chain. They are often carried out by motivated, well-resourced, skilled and persistent actors, including nation states, organized crime groups, “hacktivists” and employees or contractors acting with careless or malicious intent. Geopolitical instability, including that related to Russia's invasion of Ukraine or the conflict in the Middle East, may increase cyber-attacks. Cyber-attacks include deployment of harmful malware and key loggers, ransomware, a denial-of-service attack, a malicious website,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posture.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propriety information.</w:t>
      </w:r>
    </w:p>
    <w:p>
      <w:pPr>
        <w:spacing w:after="0" w:line="14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plans, there can be no assurance that our efforts will prevent breakdowns or breaches in our systems that could adversely affect our business and operations and/or result in the loss of critical or sensitive information, which could result in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5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Regulations continue to change as regulators worldwide consider new rules. For example, the SEC has adopted additional disclosure rules regarding cyber security risk management, strategy, governance and incident reporting by public companies. These new regulations or other regulations being considered in Europe and around the world may impact the manner in which we operate.</w:t>
      </w:r>
    </w:p>
    <w:p>
      <w:pPr>
        <w:spacing w:after="0" w:line="14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Regulators are imposing new data privacy and security requirements, including new and greater monetary fines for privacy violations. For example, the E.U.’s General Data Protection Regulation established regulations regarding the handling of personal data, and provides an enforcement authority and imposes large penalties for noncompliance. New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98" w:lineRule="exact"/>
        <w:rPr>
          <w:sz w:val="20"/>
          <w:szCs w:val="20"/>
          <w:color w:val="auto"/>
        </w:rPr>
      </w:pPr>
    </w:p>
    <w:p>
      <w:pPr>
        <w:ind w:left="500" w:hanging="330"/>
        <w:spacing w:after="0" w:line="236"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Third-Parties and Single Source Providers. </w:t>
      </w:r>
      <w:r>
        <w:rPr>
          <w:rFonts w:ascii="Arial" w:cs="Arial" w:eastAsia="Arial" w:hAnsi="Arial"/>
          <w:sz w:val="18"/>
          <w:szCs w:val="18"/>
          <w:color w:val="auto"/>
        </w:rPr>
        <w:t>We rely on third-party suppliers and manufacturers for many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manufacturing process for our products and product candidates. In some cases, due to the unique manner in which our products are manufactured, we rely on single source providers of raw materials and manufacturing supplies. These third-parties are independent entities subject to their own unique operational and financial risks that are outside of our control. These third-parties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84" w:lineRule="exact"/>
        <w:rPr>
          <w:rFonts w:ascii="Arial" w:cs="Arial" w:eastAsia="Arial" w:hAnsi="Arial"/>
          <w:sz w:val="18"/>
          <w:szCs w:val="18"/>
          <w:color w:val="auto"/>
        </w:rPr>
      </w:pPr>
    </w:p>
    <w:p>
      <w:pPr>
        <w:ind w:left="500" w:right="160" w:hanging="330"/>
        <w:spacing w:after="0" w:line="245"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Global Bulk Supply Risks. </w:t>
      </w:r>
      <w:r>
        <w:rPr>
          <w:rFonts w:ascii="Arial" w:cs="Arial" w:eastAsia="Arial" w:hAnsi="Arial"/>
          <w:sz w:val="18"/>
          <w:szCs w:val="18"/>
          <w:color w:val="auto"/>
        </w:rPr>
        <w:t>We rely on our manufacturing facilities for the production of drug substance for our large molecule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product candidates. Our global bulk supply of these products and product candidates depends on the uninterrupted and efficient operation of these facilities, which could be adversely affected by equipment failures, labor or raw material shortages, geopolitical instability, public health epidemics, natural disasters, power failures, cyber-attacks and many other factors.</w:t>
      </w:r>
    </w:p>
    <w:p>
      <w:pPr>
        <w:spacing w:after="0" w:line="86" w:lineRule="exact"/>
        <w:rPr>
          <w:rFonts w:ascii="Arial" w:cs="Arial" w:eastAsia="Arial" w:hAnsi="Arial"/>
          <w:sz w:val="18"/>
          <w:szCs w:val="18"/>
          <w:color w:val="auto"/>
        </w:rPr>
      </w:pPr>
    </w:p>
    <w:p>
      <w:pPr>
        <w:ind w:left="500" w:right="80" w:hanging="330"/>
        <w:spacing w:after="0" w:line="274" w:lineRule="auto"/>
        <w:tabs>
          <w:tab w:leader="none" w:pos="455"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Risks Relating to Compliance with current GMP (cGMP). </w:t>
      </w:r>
      <w:r>
        <w:rPr>
          <w:rFonts w:ascii="Arial" w:cs="Arial" w:eastAsia="Arial" w:hAnsi="Arial"/>
          <w:sz w:val="17"/>
          <w:szCs w:val="17"/>
          <w:color w:val="auto"/>
        </w:rPr>
        <w:t>We and our third-party providers are generally required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cGMP and other stringent requirements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65" w:lineRule="exact"/>
        <w:rPr>
          <w:rFonts w:ascii="Arial" w:cs="Arial" w:eastAsia="Arial" w:hAnsi="Arial"/>
          <w:sz w:val="17"/>
          <w:szCs w:val="17"/>
          <w:color w:val="auto"/>
        </w:rPr>
      </w:pPr>
    </w:p>
    <w:p>
      <w:pPr>
        <w:ind w:left="500" w:right="120" w:hanging="330"/>
        <w:spacing w:after="0" w:line="258"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8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spacing w:after="0" w:line="6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Furthermore, factors such as the COVID-19 pandemic and other global health outbreaks, weather events, labor or raw material shortages and other supply chain disruptions could result in difficulties and delays in manufacturing our products, which could have an adverse impact</w:t>
      </w:r>
    </w:p>
    <w:p>
      <w:pPr>
        <w:spacing w:after="0" w:line="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on our results in operations or result in product shortages.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98"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6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i w:val="1"/>
          <w:iCs w:val="1"/>
          <w:color w:val="2573BA"/>
        </w:rPr>
        <w:t>Management, personnel and other organizational changes may disrupt our operations, and we may have difficulty retaining personnel or attracting and retaining qualified replacements on a timely basis for the management and other personnel who may leave the Company.</w:t>
      </w:r>
    </w:p>
    <w:p>
      <w:pPr>
        <w:spacing w:after="0" w:line="5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members of management may have different perspectives on programs and opportunities for our business, which may cause us to focus on new opportunities or reduce or change emphasis on our existing programs.</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integration related to the Reata acquisition, the underperformance or discontinuation of one or more marketed, pre-clinical or clinical programs, recruitment by competitors or changes in the overall labor market. In addition, changes in our organizational structure or in our flexible working arrangements could impact employees'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74"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 care industry, we could face increased costs, penalties and a loss of business.</w:t>
      </w:r>
    </w:p>
    <w:p>
      <w:pPr>
        <w:spacing w:after="0" w:line="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regulations governing the health care industry are subject to change, with possible retroactive effect, including:</w:t>
      </w:r>
    </w:p>
    <w:p>
      <w:pPr>
        <w:spacing w:after="0" w:line="117" w:lineRule="exact"/>
        <w:rPr>
          <w:sz w:val="20"/>
          <w:szCs w:val="20"/>
          <w:color w:val="auto"/>
        </w:rPr>
      </w:pPr>
    </w:p>
    <w:p>
      <w:pPr>
        <w:ind w:left="500" w:right="220" w:hanging="330"/>
        <w:spacing w:after="0" w:line="256"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84" w:lineRule="exact"/>
        <w:rPr>
          <w:rFonts w:ascii="Arial" w:cs="Arial" w:eastAsia="Arial" w:hAnsi="Arial"/>
          <w:sz w:val="18"/>
          <w:szCs w:val="18"/>
          <w:color w:val="auto"/>
        </w:rPr>
      </w:pPr>
    </w:p>
    <w:p>
      <w:pPr>
        <w:ind w:left="500" w:right="80" w:hanging="330"/>
        <w:spacing w:after="0" w:line="275"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or perspectives that may delay or prevent the approval of new products and result in lost market opportunity;</w:t>
      </w:r>
    </w:p>
    <w:p>
      <w:pPr>
        <w:spacing w:after="0" w:line="65" w:lineRule="exact"/>
        <w:rPr>
          <w:rFonts w:ascii="Arial" w:cs="Arial" w:eastAsia="Arial" w:hAnsi="Arial"/>
          <w:sz w:val="18"/>
          <w:szCs w:val="18"/>
          <w:color w:val="auto"/>
        </w:rPr>
      </w:pPr>
    </w:p>
    <w:p>
      <w:pPr>
        <w:ind w:left="500" w:hanging="330"/>
        <w:spacing w:after="0" w:line="275"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government shutdowns or relocations may result in delays to the review and approval process, slowing the time necessary for new drug candidates to be reviewed and/or approved, which may adversely affect our business;</w:t>
      </w:r>
    </w:p>
    <w:p>
      <w:pPr>
        <w:spacing w:after="0" w:line="65" w:lineRule="exact"/>
        <w:rPr>
          <w:rFonts w:ascii="Arial" w:cs="Arial" w:eastAsia="Arial" w:hAnsi="Arial"/>
          <w:sz w:val="18"/>
          <w:szCs w:val="18"/>
          <w:color w:val="auto"/>
        </w:rPr>
      </w:pPr>
    </w:p>
    <w:p>
      <w:pPr>
        <w:ind w:left="500" w:right="60" w:hanging="330"/>
        <w:spacing w:after="0" w:line="285" w:lineRule="auto"/>
        <w:tabs>
          <w:tab w:leader="none" w:pos="4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59" w:lineRule="exact"/>
        <w:rPr>
          <w:rFonts w:ascii="Arial" w:cs="Arial" w:eastAsia="Arial" w:hAnsi="Arial"/>
          <w:sz w:val="17"/>
          <w:szCs w:val="17"/>
          <w:color w:val="auto"/>
        </w:rPr>
      </w:pPr>
    </w:p>
    <w:p>
      <w:pPr>
        <w:ind w:left="500" w:right="720" w:hanging="330"/>
        <w:spacing w:after="0" w:line="275"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labeling changes, restrictions on product distribution or use or other measures after the introduction of our products to market,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00" w:right="640"/>
        <w:spacing w:after="0" w:line="275" w:lineRule="auto"/>
        <w:rPr>
          <w:sz w:val="20"/>
          <w:szCs w:val="20"/>
          <w:color w:val="auto"/>
        </w:rPr>
      </w:pPr>
      <w:r>
        <w:rPr>
          <w:rFonts w:ascii="Arial" w:cs="Arial" w:eastAsia="Arial" w:hAnsi="Arial"/>
          <w:sz w:val="18"/>
          <w:szCs w:val="18"/>
          <w:color w:val="auto"/>
        </w:rPr>
        <w:t>which could increase our costs of doing business, adversely affect the future permitted uses of approved products or otherwise adversely affect the market for our products.</w:t>
      </w:r>
    </w:p>
    <w:p>
      <w:pPr>
        <w:spacing w:after="0" w:line="12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 -party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117" w:lineRule="exact"/>
        <w:rPr>
          <w:sz w:val="20"/>
          <w:szCs w:val="20"/>
          <w:color w:val="auto"/>
        </w:rPr>
      </w:pPr>
    </w:p>
    <w:p>
      <w:pPr>
        <w:ind w:left="500" w:right="740" w:hanging="330"/>
        <w:spacing w:after="0" w:line="275"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the global economy and the delivery of healthcare treatments;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117" w:lineRule="exact"/>
        <w:rPr>
          <w:rFonts w:ascii="Arial" w:cs="Arial" w:eastAsia="Arial" w:hAnsi="Arial"/>
          <w:sz w:val="18"/>
          <w:szCs w:val="18"/>
          <w:color w:val="auto"/>
        </w:rPr>
      </w:pPr>
    </w:p>
    <w:p>
      <w:pPr>
        <w:ind w:left="500" w:right="360" w:hanging="330"/>
        <w:spacing w:after="0" w:line="275"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reimbursement or receive price increases, including those resulting from governmental or regulatory requirements;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cost of goods due to factors such as inflation and supply chain disruptions;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 complexity in manufacturing internationally;</w:t>
      </w:r>
    </w:p>
    <w:p>
      <w:pPr>
        <w:spacing w:after="0" w:line="117" w:lineRule="exact"/>
        <w:rPr>
          <w:rFonts w:ascii="Arial" w:cs="Arial" w:eastAsia="Arial" w:hAnsi="Arial"/>
          <w:sz w:val="18"/>
          <w:szCs w:val="18"/>
          <w:color w:val="auto"/>
        </w:rPr>
      </w:pPr>
    </w:p>
    <w:p>
      <w:pPr>
        <w:ind w:left="500" w:right="380" w:hanging="330"/>
        <w:spacing w:after="0" w:line="275"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in clinical trials relating to geopolitical instability related to Russia's invasion of Ukraine and the military conflict in the Middle East;</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117" w:lineRule="exact"/>
        <w:rPr>
          <w:rFonts w:ascii="Arial" w:cs="Arial" w:eastAsia="Arial" w:hAnsi="Arial"/>
          <w:sz w:val="18"/>
          <w:szCs w:val="18"/>
          <w:color w:val="auto"/>
        </w:rPr>
      </w:pPr>
    </w:p>
    <w:p>
      <w:pPr>
        <w:ind w:left="500" w:right="760" w:hanging="330"/>
        <w:spacing w:after="0" w:line="275"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117" w:lineRule="exact"/>
        <w:rPr>
          <w:rFonts w:ascii="Arial" w:cs="Arial" w:eastAsia="Arial" w:hAnsi="Arial"/>
          <w:sz w:val="18"/>
          <w:szCs w:val="18"/>
          <w:color w:val="auto"/>
        </w:rPr>
      </w:pPr>
    </w:p>
    <w:p>
      <w:pPr>
        <w:ind w:left="500" w:hanging="330"/>
        <w:spacing w:after="0" w:line="275"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65" w:lineRule="exact"/>
        <w:rPr>
          <w:rFonts w:ascii="Arial" w:cs="Arial" w:eastAsia="Arial" w:hAnsi="Arial"/>
          <w:sz w:val="18"/>
          <w:szCs w:val="18"/>
          <w:color w:val="auto"/>
        </w:rPr>
      </w:pPr>
    </w:p>
    <w:p>
      <w:pPr>
        <w:ind w:left="500" w:right="740" w:hanging="330"/>
        <w:spacing w:after="0" w:line="275"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U.K., including the U.K. Bribery Act 2010, and elsewhere and escalation of investigations and prosecutions pursuant to such laws;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imposition of tariffs or embargoes and other trade restrictions.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93" w:name="page94"/>
    <w:bookmarkEnd w:id="9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our international operations are subject to regulation under U.S. law. For example,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w:t>
      </w:r>
    </w:p>
    <w:p>
      <w:pPr>
        <w:ind w:right="140"/>
        <w:spacing w:after="0" w:line="226" w:lineRule="auto"/>
        <w:rPr>
          <w:sz w:val="20"/>
          <w:szCs w:val="20"/>
          <w:color w:val="auto"/>
        </w:rPr>
      </w:pPr>
      <w:r>
        <w:rPr>
          <w:rFonts w:ascii="Arial" w:cs="Arial" w:eastAsia="Arial" w:hAnsi="Arial"/>
          <w:sz w:val="18"/>
          <w:szCs w:val="18"/>
          <w:color w:val="auto"/>
        </w:rPr>
        <w:t>product from the market, disruption in the supply or availability of our products or suspension of export or import privileges, the imposition of civil or criminal sanctions, the prosecution of executives overseeing our international operations and damage to our reputation. Any</w:t>
      </w:r>
    </w:p>
    <w:p>
      <w:pPr>
        <w:spacing w:after="0" w:line="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spacing w:after="0" w:line="88"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2573BA"/>
        </w:rPr>
        <w:t>We are building a large-scale biologics manufacturing facility and a gene therapy manufacturing facility, which will result in the incurrence of significant investment with no assurance that such investment will be recouped.</w:t>
      </w:r>
    </w:p>
    <w:p>
      <w:pPr>
        <w:spacing w:after="0" w:line="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order to support our future growth and drug development pipeline, we are expanding our large molecule production capacity by building a large-scale biologics manufacturing facility in Solothurn, Switzerland with no assurance that the additional capacity will be required or this investment will be recouped.</w:t>
      </w:r>
    </w:p>
    <w:p>
      <w:pPr>
        <w:spacing w:after="0" w:line="49"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color w:val="auto"/>
        </w:rPr>
        <w:t>If we are unable to fully utilize our manufacturing facilities, our business may be harmed. Charges resulting from excess capacity may continue to occur and would have a negative effect on our financial condition and results of operations.</w:t>
      </w:r>
    </w:p>
    <w:p>
      <w:pPr>
        <w:spacing w:after="0" w:line="3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Although the Solothurn facility was approved by the FDA for ADUHELM and LEQEMBI, there can be no assurance that the regulatory authorities will approve the Solothurn facility for the manufacturing of other products.</w:t>
      </w:r>
    </w:p>
    <w:p>
      <w:pPr>
        <w:spacing w:after="0" w:line="3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we are building a new gene therapy manufacturing facility in RTP, North Carolina with no assurance that this investment will be fully utilized. If we are unable to fully utilize this gene therapy manufacturing facility, charges from excess capacity may occur and would have a negative effect on our financial condition and results of operations.</w:t>
      </w:r>
    </w:p>
    <w:p>
      <w:pPr>
        <w:spacing w:after="0" w:line="59"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2573BA"/>
        </w:rPr>
        <w:t>The COVID -19 pandemic and other global health outbreaks may, directly or indirectly, adversely affect our business, results of operations and financial condition.</w:t>
      </w:r>
    </w:p>
    <w:p>
      <w:pPr>
        <w:spacing w:after="0" w:line="17"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color w:val="auto"/>
        </w:rPr>
        <w:t>Our business has and could continue to be adversely affected, directly or indirectly, by the COVID-19 pandemic and other global health outbreaks.</w:t>
      </w:r>
    </w:p>
    <w:p>
      <w:pPr>
        <w:spacing w:after="0" w:line="5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Changes in flexible working arrangements could impact employee retention, employees' productivity and morale, strain our technology resources and introduce operational risks. Additionally, the risk of cyber-attacks or other privacy or data security incidents may be heightened as a result of our moving increasingly towards a remote working environment, which may be less secure and more susceptible to hacking attacks.</w:t>
      </w:r>
    </w:p>
    <w:p>
      <w:pPr>
        <w:spacing w:after="0" w:line="55"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color w:val="auto"/>
        </w:rPr>
        <w:t>Delays and disruptions experienced by our collaborators or other third-parties due to the COVID-19 pandemic and other global health outbreaks could adversely impact the ability of such parties to fulfill their obligations, which could affect product sales or the clinical development or regulatory approvals of product candidates under joint control.</w:t>
      </w:r>
    </w:p>
    <w:p>
      <w:pPr>
        <w:spacing w:after="0" w:line="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State and federal healthcare reform measures have been adopted in the past, and may be adopted in the future, any of which could limit the amounts that federal and state governments will pay for healthcare products and services, which could result in reduced demand for our products or additional pricing pressures and have a financial impact on our business that we cannot predict.</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While it is not possible at this time to estimate the entirety of the impact that the COVID-19 pandemic and other global health outbreaks may have on our business, the broad global health outbreaks on our business activities may materially and adversely affect our business, supply chain and distribution systems, results of operations and financial condition.</w:t>
      </w:r>
    </w:p>
    <w:p>
      <w:pPr>
        <w:spacing w:after="0" w:line="66"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2573BA"/>
        </w:rPr>
        <w:t>The illegal distribution and sale by third-parties of counterfeit or unfit versions of our products or stolen products could have a negative impact on our reputation and business.</w:t>
      </w:r>
    </w:p>
    <w:p>
      <w:pPr>
        <w:spacing w:after="0" w:line="31"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Third-parties might illegally distribute and sell counterfeit or unfit versions of our products, which do not meet our rigorous manufacturing, distribution and testing standards. A patient who receives a counterfeit or unfit drug may be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social media platforms and artificial intelligence based software presents new risks and challenges.</w:t>
      </w:r>
    </w:p>
    <w:p>
      <w:pPr>
        <w:spacing w:after="0" w:line="73"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negative publicity or if adverse information concerning us is posted on social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media platforms or similar mediums, which we may not be able to reverse. If any of these events were to occur or we otherwise fail to comply with applicable regulations, we could incur liability, face restrictive regulatory actions or incur other harm to our business. Additionally, the use</w:t>
      </w:r>
    </w:p>
    <w:p>
      <w:pPr>
        <w:spacing w:after="0" w:line="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of artificial intelligence (AI) based software is increasingly being used in the biopharmaceutical industry. Use of AI based software may lead to the release of confidential proprietary information which may impact our ability to realize the benefit of our intellectual property.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11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 xml:space="preserve">Our quarterly revenue, expense and net income (loss)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 that we may take. We have recorded, or may be required to record, charges that include:</w:t>
      </w:r>
    </w:p>
    <w:p>
      <w:pPr>
        <w:spacing w:after="0" w:line="76" w:lineRule="exact"/>
        <w:rPr>
          <w:sz w:val="20"/>
          <w:szCs w:val="20"/>
          <w:color w:val="auto"/>
        </w:rPr>
      </w:pPr>
    </w:p>
    <w:p>
      <w:pPr>
        <w:ind w:left="440" w:hanging="270"/>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117" w:lineRule="exact"/>
        <w:rPr>
          <w:rFonts w:ascii="Arial" w:cs="Arial" w:eastAsia="Arial" w:hAnsi="Arial"/>
          <w:sz w:val="18"/>
          <w:szCs w:val="18"/>
          <w:color w:val="auto"/>
        </w:rPr>
      </w:pPr>
    </w:p>
    <w:p>
      <w:pPr>
        <w:ind w:left="500" w:right="420" w:hanging="330"/>
        <w:spacing w:after="0" w:line="275"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recurring charges for excess or obsolete inventory and charges for inventory write-downs relating to product suspensions, expirations or recalls;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117" w:lineRule="exact"/>
        <w:rPr>
          <w:rFonts w:ascii="Arial" w:cs="Arial" w:eastAsia="Arial" w:hAnsi="Arial"/>
          <w:sz w:val="18"/>
          <w:szCs w:val="18"/>
          <w:color w:val="auto"/>
        </w:rPr>
      </w:pPr>
    </w:p>
    <w:p>
      <w:pPr>
        <w:ind w:left="500" w:right="220" w:hanging="330"/>
        <w:spacing w:after="0" w:line="275"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65" w:lineRule="exact"/>
        <w:rPr>
          <w:rFonts w:ascii="Arial" w:cs="Arial" w:eastAsia="Arial" w:hAnsi="Arial"/>
          <w:sz w:val="18"/>
          <w:szCs w:val="18"/>
          <w:color w:val="auto"/>
        </w:rPr>
      </w:pPr>
    </w:p>
    <w:p>
      <w:pPr>
        <w:ind w:left="440" w:hanging="270"/>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117" w:lineRule="exact"/>
        <w:rPr>
          <w:rFonts w:ascii="Arial" w:cs="Arial" w:eastAsia="Arial" w:hAnsi="Arial"/>
          <w:sz w:val="18"/>
          <w:szCs w:val="18"/>
          <w:color w:val="auto"/>
        </w:rPr>
      </w:pPr>
    </w:p>
    <w:p>
      <w:pPr>
        <w:ind w:left="500" w:right="680" w:hanging="330"/>
        <w:spacing w:after="0" w:line="275"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employees, the global economy and the delivery of healthcare treatments.</w:t>
      </w:r>
    </w:p>
    <w:p>
      <w:pPr>
        <w:spacing w:after="0" w:line="6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during any one period do not necessarily suggest the anticipated results of future periods.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5" w:name="page96"/>
    <w:bookmarkEnd w:id="9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could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There can be no assurance that we will continue to repurchase shares or that we will repurchase shares at favorable prices.</w:t>
      </w:r>
    </w:p>
    <w:p>
      <w:pPr>
        <w:spacing w:after="0" w:line="1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recently enacted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terms that are favorable to us.</w:t>
      </w:r>
    </w:p>
    <w:p>
      <w:pPr>
        <w:spacing w:after="0" w:line="114" w:lineRule="exact"/>
        <w:rPr>
          <w:sz w:val="20"/>
          <w:szCs w:val="20"/>
          <w:color w:val="auto"/>
        </w:rPr>
      </w:pPr>
    </w:p>
    <w:p>
      <w:pPr>
        <w:jc w:val="both"/>
        <w:ind w:right="320"/>
        <w:spacing w:after="0" w:line="268" w:lineRule="auto"/>
        <w:rPr>
          <w:sz w:val="20"/>
          <w:szCs w:val="20"/>
          <w:color w:val="auto"/>
        </w:rPr>
      </w:pPr>
      <w:r>
        <w:rPr>
          <w:rFonts w:ascii="Arial" w:cs="Arial" w:eastAsia="Arial" w:hAnsi="Arial"/>
          <w:sz w:val="17"/>
          <w:szCs w:val="17"/>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w:t>
      </w:r>
    </w:p>
    <w:p>
      <w:pPr>
        <w:spacing w:after="0" w:line="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Changes in credit ratings issued by nationally recognized credit rating agencies could also adversely affect our cost of financing and the market price of our securities.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indebtedness could adversely affect our business and limit our ability to plan for or respond to changes in our business.</w:t>
      </w:r>
    </w:p>
    <w:p>
      <w:pPr>
        <w:spacing w:after="0" w:line="100"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66" w:lineRule="exact"/>
        <w:rPr>
          <w:sz w:val="20"/>
          <w:szCs w:val="20"/>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7" w:lineRule="exact"/>
        <w:rPr>
          <w:rFonts w:ascii="Arial" w:cs="Arial" w:eastAsia="Arial" w:hAnsi="Arial"/>
          <w:sz w:val="18"/>
          <w:szCs w:val="18"/>
          <w:color w:val="auto"/>
        </w:rPr>
      </w:pPr>
    </w:p>
    <w:p>
      <w:pPr>
        <w:ind w:left="500" w:right="320" w:hanging="330"/>
        <w:spacing w:after="0" w:line="263"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75" w:lineRule="exact"/>
        <w:rPr>
          <w:rFonts w:ascii="Arial" w:cs="Arial" w:eastAsia="Arial" w:hAnsi="Arial"/>
          <w:sz w:val="18"/>
          <w:szCs w:val="18"/>
          <w:color w:val="auto"/>
        </w:rPr>
      </w:pPr>
    </w:p>
    <w:p>
      <w:pPr>
        <w:ind w:left="500" w:right="160" w:hanging="330"/>
        <w:spacing w:after="0" w:line="275"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third-party from attempting to acquire us.</w:t>
      </w:r>
    </w:p>
    <w:p>
      <w:pPr>
        <w:spacing w:after="0" w:line="3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global biopharmaceutical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and regulations either prospectively or retrospectively and the effects of the integration of Reata.</w:t>
      </w:r>
    </w:p>
    <w:p>
      <w:pPr>
        <w:spacing w:after="0" w:line="8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enactment of some or all of the recommendations set forth or that may be forthcoming in the OECD’s project on “Base Erosion and Profit Shifting” by tax authorities and economic blocs in the countries in which we operate, could unfavorably impact our effective tax rate. These initiatives focus on common international principles for the entitlement to taxation of global corporate profits and minimum global tax rates. Many countries have or are in the process of enacting legislation intended to implement the OECD GloBE Model Rules effective starting on January 1, 2024. The impact on the Company will depend on the exact nature of each country's GloBE legislation, guidance and regulations thereon and their application by tax authorities.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business involves environmental risks, which include the cost of compliance and the risk of contamination or injury.</w:t>
      </w:r>
    </w:p>
    <w:p>
      <w:pPr>
        <w:spacing w:after="0" w:line="11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are considering new environmental disclosure rules. For example, the SEC has proposed amendments to its disclosure rules regarding climate-related disclosure requirements. These proposed regulations may impact the manner in which we operate.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color w:val="auto"/>
        </w:rPr>
        <w:t>ITEM 2.</w:t>
        <w:tab/>
        <w:t>UNREGISTERED SALES OF EQUITY SECURITIES AND USE OF PROCEEDS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0070C0"/>
        </w:rPr>
        <w:t>ISSUER PURCHASES OF EQUITY SECURITIES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following table summarizes our common stock repurchase activity under our 2020 Share Repurchase Program during the third quarter of 2023:</w:t>
      </w:r>
    </w:p>
    <w:tbl>
      <w:tblPr>
        <w:tblLayout w:type="fixed"/>
        <w:tblInd w:w="0" w:type="dxa"/>
        <w:tblCellMar>
          <w:top w:w="0" w:type="dxa"/>
          <w:left w:w="0" w:type="dxa"/>
          <w:bottom w:w="0" w:type="dxa"/>
          <w:right w:w="0" w:type="dxa"/>
        </w:tblCellMar>
      </w:tblPr>
      <w:tr>
        <w:trPr>
          <w:trHeight w:val="150"/>
        </w:trPr>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jc w:val="center"/>
              <w:ind w:left="148"/>
              <w:spacing w:after="0" w:line="150" w:lineRule="exact"/>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restart"/>
          </w:tcPr>
          <w:p>
            <w:pPr>
              <w:jc w:val="center"/>
              <w:ind w:left="22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Average Price</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ind w:left="148"/>
              <w:spacing w:after="0" w:line="148" w:lineRule="exact"/>
              <w:rPr>
                <w:sz w:val="20"/>
                <w:szCs w:val="20"/>
                <w:color w:val="auto"/>
              </w:rPr>
            </w:pPr>
            <w:r>
              <w:rPr>
                <w:rFonts w:ascii="Arial" w:cs="Arial" w:eastAsia="Arial" w:hAnsi="Arial"/>
                <w:sz w:val="14"/>
                <w:szCs w:val="14"/>
                <w:b w:val="1"/>
                <w:bCs w:val="1"/>
                <w:color w:val="auto"/>
              </w:rPr>
              <w:t>as 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2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740" w:type="dxa"/>
            <w:vAlign w:val="bottom"/>
            <w:gridSpan w:val="2"/>
          </w:tcPr>
          <w:p>
            <w:pPr>
              <w:jc w:val="center"/>
              <w:ind w:left="228"/>
              <w:spacing w:after="0" w:line="135"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rPr>
              <w:t>Paid per Share</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Announced Programs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189"/>
        </w:trPr>
        <w:tc>
          <w:tcPr>
            <w:tcW w:w="254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b w:val="1"/>
                <w:bCs w:val="1"/>
                <w:color w:val="auto"/>
                <w:w w:val="93"/>
              </w:rPr>
              <w:t>(#)</w:t>
            </w: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8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4"/>
        </w:trPr>
        <w:tc>
          <w:tcPr>
            <w:tcW w:w="2640" w:type="dxa"/>
            <w:vAlign w:val="bottom"/>
            <w:gridSpan w:val="3"/>
          </w:tcPr>
          <w:p>
            <w:pPr>
              <w:ind w:left="20"/>
              <w:spacing w:after="0"/>
              <w:rPr>
                <w:sz w:val="20"/>
                <w:szCs w:val="20"/>
                <w:color w:val="auto"/>
              </w:rPr>
            </w:pPr>
            <w:r>
              <w:rPr>
                <w:rFonts w:ascii="Arial" w:cs="Arial" w:eastAsia="Arial" w:hAnsi="Arial"/>
                <w:sz w:val="14"/>
                <w:szCs w:val="14"/>
                <w:color w:val="auto"/>
              </w:rPr>
              <w:t>July 2023</w:t>
            </w:r>
          </w:p>
        </w:tc>
        <w:tc>
          <w:tcPr>
            <w:tcW w:w="120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280" w:type="dxa"/>
            <w:vAlign w:val="bottom"/>
            <w:shd w:val="clear" w:color="auto" w:fill="DBDBDB"/>
          </w:tcPr>
          <w:p>
            <w:pPr>
              <w:ind w:left="80"/>
              <w:spacing w:after="0"/>
              <w:rPr>
                <w:sz w:val="20"/>
                <w:szCs w:val="20"/>
                <w:color w:val="auto"/>
              </w:rPr>
            </w:pPr>
            <w:r>
              <w:rPr>
                <w:rFonts w:ascii="Arial" w:cs="Arial" w:eastAsia="Arial" w:hAnsi="Arial"/>
                <w:sz w:val="14"/>
                <w:szCs w:val="14"/>
                <w:color w:val="026DCE"/>
              </w:rPr>
              <w:t>—</w:t>
            </w:r>
          </w:p>
        </w:tc>
        <w:tc>
          <w:tcPr>
            <w:tcW w:w="1800" w:type="dxa"/>
            <w:vAlign w:val="bottom"/>
            <w:gridSpan w:val="3"/>
            <w:shd w:val="clear" w:color="auto" w:fill="DBDBDB"/>
          </w:tcPr>
          <w:p>
            <w:pPr>
              <w:jc w:val="right"/>
              <w:ind w:right="1508"/>
              <w:spacing w:after="0"/>
              <w:rPr>
                <w:sz w:val="20"/>
                <w:szCs w:val="20"/>
                <w:color w:val="auto"/>
              </w:rPr>
            </w:pPr>
            <w:r>
              <w:rPr>
                <w:rFonts w:ascii="Arial" w:cs="Arial" w:eastAsia="Arial" w:hAnsi="Arial"/>
                <w:sz w:val="14"/>
                <w:szCs w:val="14"/>
                <w:color w:val="026DCE"/>
              </w:rPr>
              <w:t>$</w:t>
            </w:r>
          </w:p>
        </w:tc>
        <w:tc>
          <w:tcPr>
            <w:tcW w:w="228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026DCE"/>
              </w:rPr>
              <w:t>—</w:t>
            </w: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03"/>
        </w:trPr>
        <w:tc>
          <w:tcPr>
            <w:tcW w:w="2640" w:type="dxa"/>
            <w:vAlign w:val="bottom"/>
            <w:gridSpan w:val="3"/>
          </w:tcPr>
          <w:p>
            <w:pPr>
              <w:ind w:left="20"/>
              <w:spacing w:after="0"/>
              <w:rPr>
                <w:sz w:val="20"/>
                <w:szCs w:val="20"/>
                <w:color w:val="auto"/>
              </w:rPr>
            </w:pPr>
            <w:r>
              <w:rPr>
                <w:rFonts w:ascii="Arial" w:cs="Arial" w:eastAsia="Arial" w:hAnsi="Arial"/>
                <w:sz w:val="14"/>
                <w:szCs w:val="14"/>
                <w:color w:val="auto"/>
              </w:rPr>
              <w:t>August 2023</w:t>
            </w:r>
          </w:p>
        </w:tc>
        <w:tc>
          <w:tcPr>
            <w:tcW w:w="12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80" w:type="dxa"/>
            <w:vAlign w:val="bottom"/>
            <w:shd w:val="clear" w:color="auto" w:fill="DBDBDB"/>
          </w:tcPr>
          <w:p>
            <w:pPr>
              <w:ind w:left="8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780" w:type="dxa"/>
            <w:vAlign w:val="bottom"/>
            <w:gridSpan w:val="2"/>
            <w:shd w:val="clear" w:color="auto" w:fill="DBDBDB"/>
          </w:tcPr>
          <w:p>
            <w:pPr>
              <w:jc w:val="right"/>
              <w:ind w:right="1508"/>
              <w:spacing w:after="0"/>
              <w:rPr>
                <w:sz w:val="20"/>
                <w:szCs w:val="20"/>
                <w:color w:val="auto"/>
              </w:rPr>
            </w:pPr>
            <w:r>
              <w:rPr>
                <w:rFonts w:ascii="Arial" w:cs="Arial" w:eastAsia="Arial" w:hAnsi="Arial"/>
                <w:sz w:val="14"/>
                <w:szCs w:val="14"/>
                <w:color w:val="026DCE"/>
              </w:rPr>
              <w:t>$</w:t>
            </w:r>
          </w:p>
        </w:tc>
        <w:tc>
          <w:tcPr>
            <w:tcW w:w="228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026DCE"/>
              </w:rPr>
              <w:t>—</w:t>
            </w:r>
          </w:p>
        </w:tc>
        <w:tc>
          <w:tcPr>
            <w:tcW w:w="340" w:type="dxa"/>
            <w:vAlign w:val="bottom"/>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09"/>
        </w:trPr>
        <w:tc>
          <w:tcPr>
            <w:tcW w:w="2640" w:type="dxa"/>
            <w:vAlign w:val="bottom"/>
            <w:gridSpan w:val="3"/>
          </w:tcPr>
          <w:p>
            <w:pPr>
              <w:ind w:left="20"/>
              <w:spacing w:after="0"/>
              <w:rPr>
                <w:sz w:val="20"/>
                <w:szCs w:val="20"/>
                <w:color w:val="auto"/>
              </w:rPr>
            </w:pPr>
            <w:r>
              <w:rPr>
                <w:rFonts w:ascii="Arial" w:cs="Arial" w:eastAsia="Arial" w:hAnsi="Arial"/>
                <w:sz w:val="14"/>
                <w:szCs w:val="14"/>
                <w:color w:val="auto"/>
              </w:rPr>
              <w:t>September 2023</w:t>
            </w:r>
          </w:p>
        </w:tc>
        <w:tc>
          <w:tcPr>
            <w:tcW w:w="1200" w:type="dxa"/>
            <w:vAlign w:val="bottom"/>
            <w:tcBorders>
              <w:bottom w:val="single" w:sz="8" w:color="auto"/>
            </w:tcBorders>
            <w:shd w:val="clear" w:color="auto" w:fill="DBDBDB"/>
          </w:tcPr>
          <w:p>
            <w:pPr>
              <w:spacing w:after="0"/>
              <w:rPr>
                <w:sz w:val="18"/>
                <w:szCs w:val="18"/>
                <w:color w:val="auto"/>
              </w:rPr>
            </w:pPr>
          </w:p>
        </w:tc>
        <w:tc>
          <w:tcPr>
            <w:tcW w:w="540" w:type="dxa"/>
            <w:vAlign w:val="bottom"/>
            <w:tcBorders>
              <w:bottom w:val="single" w:sz="8" w:color="auto"/>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4"/>
                <w:szCs w:val="14"/>
                <w:color w:val="026DCE"/>
              </w:rPr>
              <w:t>—</w:t>
            </w:r>
          </w:p>
        </w:tc>
        <w:tc>
          <w:tcPr>
            <w:tcW w:w="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80" w:type="dxa"/>
            <w:vAlign w:val="bottom"/>
            <w:tcBorders>
              <w:bottom w:val="single" w:sz="8" w:color="auto"/>
            </w:tcBorders>
            <w:shd w:val="clear" w:color="auto" w:fill="DBDBDB"/>
          </w:tcPr>
          <w:p>
            <w:pPr>
              <w:jc w:val="right"/>
              <w:ind w:right="1508"/>
              <w:spacing w:after="0"/>
              <w:rPr>
                <w:sz w:val="20"/>
                <w:szCs w:val="20"/>
                <w:color w:val="auto"/>
              </w:rPr>
            </w:pPr>
            <w:r>
              <w:rPr>
                <w:rFonts w:ascii="Arial" w:cs="Arial" w:eastAsia="Arial" w:hAnsi="Arial"/>
                <w:sz w:val="14"/>
                <w:szCs w:val="14"/>
                <w:color w:val="026DCE"/>
              </w:rPr>
              <w:t>$</w:t>
            </w:r>
          </w:p>
        </w:tc>
        <w:tc>
          <w:tcPr>
            <w:tcW w:w="360" w:type="dxa"/>
            <w:vAlign w:val="bottom"/>
            <w:tcBorders>
              <w:bottom w:val="single" w:sz="8" w:color="auto"/>
            </w:tcBorders>
            <w:shd w:val="clear" w:color="auto" w:fill="DBDBDB"/>
          </w:tcPr>
          <w:p>
            <w:pPr>
              <w:ind w:left="160"/>
              <w:spacing w:after="0"/>
              <w:rPr>
                <w:sz w:val="20"/>
                <w:szCs w:val="20"/>
                <w:color w:val="auto"/>
              </w:rPr>
            </w:pPr>
            <w:r>
              <w:rPr>
                <w:rFonts w:ascii="Arial" w:cs="Arial" w:eastAsia="Arial" w:hAnsi="Arial"/>
                <w:sz w:val="14"/>
                <w:szCs w:val="14"/>
                <w:color w:val="026DCE"/>
              </w:rPr>
              <w:t>—</w:t>
            </w:r>
          </w:p>
        </w:tc>
        <w:tc>
          <w:tcPr>
            <w:tcW w:w="1920" w:type="dxa"/>
            <w:vAlign w:val="bottom"/>
            <w:tcBorders>
              <w:bottom w:val="single" w:sz="8" w:color="DBDBDB"/>
            </w:tcBorders>
            <w:gridSpan w:val="2"/>
            <w:shd w:val="clear" w:color="auto" w:fill="DBDBDB"/>
          </w:tcPr>
          <w:p>
            <w:pPr>
              <w:spacing w:after="0"/>
              <w:rPr>
                <w:sz w:val="18"/>
                <w:szCs w:val="18"/>
                <w:color w:val="auto"/>
              </w:rPr>
            </w:pPr>
          </w:p>
        </w:tc>
        <w:tc>
          <w:tcPr>
            <w:tcW w:w="34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740" w:type="dxa"/>
            <w:vAlign w:val="bottom"/>
            <w:tcBorders>
              <w:bottom w:val="single" w:sz="8" w:color="DBDBDB"/>
            </w:tcBorders>
            <w:shd w:val="clear" w:color="auto" w:fill="DBDBDB"/>
          </w:tcPr>
          <w:p>
            <w:pPr>
              <w:jc w:val="right"/>
              <w:ind w:right="568"/>
              <w:spacing w:after="0"/>
              <w:rPr>
                <w:sz w:val="20"/>
                <w:szCs w:val="20"/>
                <w:color w:val="auto"/>
              </w:rPr>
            </w:pPr>
            <w:r>
              <w:rPr>
                <w:rFonts w:ascii="Arial" w:cs="Arial" w:eastAsia="Arial" w:hAnsi="Arial"/>
                <w:sz w:val="14"/>
                <w:szCs w:val="14"/>
                <w:color w:val="026DCE"/>
              </w:rPr>
              <w:t>$</w:t>
            </w:r>
          </w:p>
        </w:tc>
        <w:tc>
          <w:tcPr>
            <w:tcW w:w="13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026DCE"/>
              </w:rPr>
              <w:t>2,050.0</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600" w:type="dxa"/>
            <w:vAlign w:val="bottom"/>
            <w:gridSpan w:val="2"/>
          </w:tcPr>
          <w:p>
            <w:pPr>
              <w:ind w:left="10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(1)</w:t>
            </w:r>
          </w:p>
        </w:tc>
        <w:tc>
          <w:tcPr>
            <w:tcW w:w="120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280" w:type="dxa"/>
            <w:vAlign w:val="bottom"/>
            <w:shd w:val="clear" w:color="auto" w:fill="DBDBDB"/>
          </w:tcPr>
          <w:p>
            <w:pPr>
              <w:ind w:left="8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80" w:type="dxa"/>
            <w:vAlign w:val="bottom"/>
            <w:shd w:val="clear" w:color="auto" w:fill="DBDBDB"/>
          </w:tcPr>
          <w:p>
            <w:pPr>
              <w:jc w:val="right"/>
              <w:ind w:right="1508"/>
              <w:spacing w:after="0"/>
              <w:rPr>
                <w:sz w:val="20"/>
                <w:szCs w:val="20"/>
                <w:color w:val="auto"/>
              </w:rPr>
            </w:pPr>
            <w:r>
              <w:rPr>
                <w:rFonts w:ascii="Arial" w:cs="Arial" w:eastAsia="Arial" w:hAnsi="Arial"/>
                <w:sz w:val="14"/>
                <w:szCs w:val="14"/>
                <w:color w:val="026DCE"/>
              </w:rPr>
              <w:t>$</w:t>
            </w:r>
          </w:p>
        </w:tc>
        <w:tc>
          <w:tcPr>
            <w:tcW w:w="2280" w:type="dxa"/>
            <w:vAlign w:val="bottom"/>
            <w:gridSpan w:val="3"/>
            <w:shd w:val="clear" w:color="auto" w:fill="DBDBDB"/>
          </w:tcPr>
          <w:p>
            <w:pPr>
              <w:ind w:left="160"/>
              <w:spacing w:after="0"/>
              <w:rPr>
                <w:sz w:val="20"/>
                <w:szCs w:val="20"/>
                <w:color w:val="auto"/>
              </w:rPr>
            </w:pPr>
            <w:r>
              <w:rPr>
                <w:rFonts w:ascii="Arial" w:cs="Arial" w:eastAsia="Arial" w:hAnsi="Arial"/>
                <w:sz w:val="14"/>
                <w:szCs w:val="14"/>
                <w:color w:val="026DCE"/>
              </w:rPr>
              <w:t>—</w:t>
            </w:r>
          </w:p>
        </w:tc>
        <w:tc>
          <w:tcPr>
            <w:tcW w:w="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 w:type="dxa"/>
            <w:vAlign w:val="bottom"/>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40" w:hanging="132"/>
        <w:spacing w:after="0"/>
        <w:tabs>
          <w:tab w:leader="none" w:pos="140" w:val="left"/>
        </w:tabs>
        <w:numPr>
          <w:ilvl w:val="0"/>
          <w:numId w:val="53"/>
        </w:numPr>
        <w:rPr>
          <w:rFonts w:ascii="Arial" w:cs="Arial" w:eastAsia="Arial" w:hAnsi="Arial"/>
          <w:sz w:val="16"/>
          <w:szCs w:val="16"/>
          <w:color w:val="auto"/>
          <w:vertAlign w:val="superscript"/>
        </w:rPr>
      </w:pPr>
      <w:r>
        <w:rPr>
          <w:rFonts w:ascii="Arial" w:cs="Arial" w:eastAsia="Arial" w:hAnsi="Arial"/>
          <w:sz w:val="12"/>
          <w:szCs w:val="12"/>
          <w:color w:val="auto"/>
        </w:rPr>
        <w:t>There were no share repurchases during the third quarter of 2023.</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1.2 million and 3.6 million shares of our common stock at a cost of approximately $250.0 million and $750.0 million during the three and nine months ended September 30, 2022, respectively. There were no share repurchases of our common stock during the three and nine months ended September 30, 2023. Approximately $2.1 billion remained available under our 2020 Share Repurchase Program as of September 30, 2023.</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5.</w:t>
        <w:tab/>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0070C0"/>
        </w:rPr>
        <w:t>TRADING ARRANGEMENTS</w:t>
      </w:r>
    </w:p>
    <w:p>
      <w:pPr>
        <w:spacing w:after="0" w:line="121"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There were no trading arrangements for the purchase or sale of our securities entered into or terminated by our Directors or Officers during the third quarter of 2023.</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354"/>
        </w:trPr>
        <w:tc>
          <w:tcPr>
            <w:tcW w:w="1020" w:type="dxa"/>
            <w:vAlign w:val="bottom"/>
            <w:gridSpan w:val="3"/>
          </w:tcPr>
          <w:p>
            <w:pPr>
              <w:spacing w:after="0"/>
              <w:rPr>
                <w:sz w:val="20"/>
                <w:szCs w:val="20"/>
                <w:color w:val="auto"/>
              </w:rPr>
            </w:pPr>
            <w:r>
              <w:rPr>
                <w:rFonts w:ascii="Arial" w:cs="Arial" w:eastAsia="Arial" w:hAnsi="Arial"/>
                <w:sz w:val="25"/>
                <w:szCs w:val="25"/>
                <w:b w:val="1"/>
                <w:bCs w:val="1"/>
                <w:color w:val="auto"/>
              </w:rPr>
              <w:t>ITEM 6.</w:t>
            </w:r>
          </w:p>
        </w:tc>
        <w:tc>
          <w:tcPr>
            <w:tcW w:w="10160" w:type="dxa"/>
            <w:vAlign w:val="bottom"/>
            <w:gridSpan w:val="6"/>
          </w:tcPr>
          <w:p>
            <w:pPr>
              <w:ind w:left="140"/>
              <w:spacing w:after="0"/>
              <w:rPr>
                <w:sz w:val="20"/>
                <w:szCs w:val="20"/>
                <w:color w:val="auto"/>
              </w:rPr>
            </w:pPr>
            <w:r>
              <w:rPr>
                <w:rFonts w:ascii="Arial" w:cs="Arial" w:eastAsia="Arial" w:hAnsi="Arial"/>
                <w:sz w:val="25"/>
                <w:szCs w:val="25"/>
                <w:b w:val="1"/>
                <w:bCs w:val="1"/>
                <w:color w:val="auto"/>
              </w:rPr>
              <w:t>EXHIBITS</w:t>
            </w:r>
          </w:p>
        </w:tc>
        <w:tc>
          <w:tcPr>
            <w:tcW w:w="0" w:type="dxa"/>
            <w:vAlign w:val="bottom"/>
          </w:tcPr>
          <w:p>
            <w:pPr>
              <w:spacing w:after="0"/>
              <w:rPr>
                <w:sz w:val="1"/>
                <w:szCs w:val="1"/>
                <w:color w:val="auto"/>
              </w:rPr>
            </w:pPr>
          </w:p>
        </w:tc>
      </w:tr>
      <w:tr>
        <w:trPr>
          <w:trHeight w:val="284"/>
        </w:trPr>
        <w:tc>
          <w:tcPr>
            <w:tcW w:w="11180" w:type="dxa"/>
            <w:vAlign w:val="bottom"/>
            <w:gridSpan w:val="9"/>
          </w:tcPr>
          <w:p>
            <w:pPr>
              <w:spacing w:after="0"/>
              <w:rPr>
                <w:sz w:val="20"/>
                <w:szCs w:val="20"/>
                <w:color w:val="auto"/>
              </w:rPr>
            </w:pPr>
            <w:r>
              <w:rPr>
                <w:rFonts w:ascii="Arial" w:cs="Arial" w:eastAsia="Arial" w:hAnsi="Arial"/>
                <w:sz w:val="18"/>
                <w:szCs w:val="18"/>
                <w:color w:val="auto"/>
              </w:rPr>
              <w:t>The exhibits listed below are filed or furnished as part of this Quarterly Report on Form 10-Q.</w:t>
            </w:r>
          </w:p>
        </w:tc>
        <w:tc>
          <w:tcPr>
            <w:tcW w:w="0" w:type="dxa"/>
            <w:vAlign w:val="bottom"/>
          </w:tcPr>
          <w:p>
            <w:pPr>
              <w:spacing w:after="0"/>
              <w:rPr>
                <w:sz w:val="1"/>
                <w:szCs w:val="1"/>
                <w:color w:val="auto"/>
              </w:rPr>
            </w:pPr>
          </w:p>
        </w:tc>
      </w:tr>
      <w:tr>
        <w:trPr>
          <w:trHeight w:val="548"/>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40" w:type="dxa"/>
            <w:vAlign w:val="bottom"/>
            <w:gridSpan w:val="4"/>
          </w:tcPr>
          <w:p>
            <w:pPr>
              <w:ind w:left="540"/>
              <w:spacing w:after="0"/>
              <w:rPr>
                <w:sz w:val="20"/>
                <w:szCs w:val="20"/>
                <w:color w:val="auto"/>
              </w:rPr>
            </w:pPr>
            <w:r>
              <w:rPr>
                <w:rFonts w:ascii="Arial" w:cs="Arial" w:eastAsia="Arial" w:hAnsi="Arial"/>
                <w:sz w:val="25"/>
                <w:szCs w:val="25"/>
                <w:color w:val="0070C0"/>
              </w:rPr>
              <w:t>EXHIBIT INDEX</w:t>
            </w:r>
          </w:p>
        </w:tc>
        <w:tc>
          <w:tcPr>
            <w:tcW w:w="0" w:type="dxa"/>
            <w:vAlign w:val="bottom"/>
          </w:tcPr>
          <w:p>
            <w:pPr>
              <w:spacing w:after="0"/>
              <w:rPr>
                <w:sz w:val="1"/>
                <w:szCs w:val="1"/>
                <w:color w:val="auto"/>
              </w:rPr>
            </w:pPr>
          </w:p>
        </w:tc>
      </w:tr>
      <w:tr>
        <w:trPr>
          <w:trHeight w:val="532"/>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440" w:type="dxa"/>
            <w:vAlign w:val="bottom"/>
          </w:tcPr>
          <w:p>
            <w:pPr>
              <w:spacing w:after="0"/>
              <w:rPr>
                <w:sz w:val="24"/>
                <w:szCs w:val="24"/>
                <w:color w:val="auto"/>
              </w:rPr>
            </w:pPr>
          </w:p>
        </w:tc>
        <w:tc>
          <w:tcPr>
            <w:tcW w:w="872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20" w:type="dxa"/>
            <w:vAlign w:val="bottom"/>
          </w:tcPr>
          <w:p>
            <w:pPr>
              <w:spacing w:after="0" w:line="175" w:lineRule="exact"/>
              <w:rPr>
                <w:sz w:val="20"/>
                <w:szCs w:val="20"/>
                <w:color w:val="auto"/>
              </w:rPr>
            </w:pPr>
            <w:r>
              <w:rPr>
                <w:rFonts w:ascii="Arial" w:cs="Arial" w:eastAsia="Arial" w:hAnsi="Arial"/>
                <w:sz w:val="16"/>
                <w:szCs w:val="16"/>
                <w:b w:val="1"/>
                <w:bCs w:val="1"/>
                <w:color w:val="auto"/>
                <w:w w:val="99"/>
              </w:rPr>
              <w:t>Number</w:t>
            </w: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gridSpan w:val="2"/>
          </w:tcPr>
          <w:p>
            <w:pPr>
              <w:ind w:left="40"/>
              <w:spacing w:after="0" w:line="197" w:lineRule="exact"/>
              <w:rPr>
                <w:sz w:val="20"/>
                <w:szCs w:val="20"/>
                <w:color w:val="auto"/>
              </w:rPr>
            </w:pPr>
            <w:r>
              <w:rPr>
                <w:rFonts w:ascii="Arial" w:cs="Arial" w:eastAsia="Arial" w:hAnsi="Arial"/>
                <w:sz w:val="18"/>
                <w:szCs w:val="18"/>
                <w:color w:val="auto"/>
              </w:rPr>
              <w:t>2.1*</w:t>
            </w:r>
          </w:p>
        </w:tc>
        <w:tc>
          <w:tcPr>
            <w:tcW w:w="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720" w:type="dxa"/>
            <w:vAlign w:val="bottom"/>
            <w:gridSpan w:val="5"/>
          </w:tcPr>
          <w:p>
            <w:pPr>
              <w:spacing w:after="0" w:line="197" w:lineRule="exact"/>
              <w:rPr>
                <w:sz w:val="20"/>
                <w:szCs w:val="20"/>
                <w:color w:val="auto"/>
              </w:rPr>
            </w:pPr>
            <w:r>
              <w:rPr>
                <w:rFonts w:ascii="Arial" w:cs="Arial" w:eastAsia="Arial" w:hAnsi="Arial"/>
                <w:sz w:val="18"/>
                <w:szCs w:val="18"/>
                <w:color w:val="auto"/>
              </w:rPr>
              <w:t>Agreement and Plan of Merger, dated as of July 28, 2023, by and among Biogen Inc., River Acquisition, Inc.</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and Reata Pharmaceuticals, Inc. filed as Exhibit 2.1 to our Current Report on Form 8-K on July 31, 2023.</w:t>
            </w:r>
          </w:p>
        </w:tc>
        <w:tc>
          <w:tcPr>
            <w:tcW w:w="0" w:type="dxa"/>
            <w:vAlign w:val="bottom"/>
          </w:tcPr>
          <w:p>
            <w:pPr>
              <w:spacing w:after="0"/>
              <w:rPr>
                <w:sz w:val="1"/>
                <w:szCs w:val="1"/>
                <w:color w:val="auto"/>
              </w:rPr>
            </w:pPr>
          </w:p>
        </w:tc>
      </w:tr>
      <w:tr>
        <w:trPr>
          <w:trHeight w:val="244"/>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Fourth Amended and Restated Bylaws of Biogen Inc. as filed as Exhibit 3.1 to our Current Report on Form 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K on July 31, 2023.</w:t>
            </w:r>
          </w:p>
        </w:tc>
        <w:tc>
          <w:tcPr>
            <w:tcW w:w="0" w:type="dxa"/>
            <w:vAlign w:val="bottom"/>
          </w:tcPr>
          <w:p>
            <w:pPr>
              <w:spacing w:after="0"/>
              <w:rPr>
                <w:sz w:val="1"/>
                <w:szCs w:val="1"/>
                <w:color w:val="auto"/>
              </w:rPr>
            </w:pPr>
          </w:p>
        </w:tc>
      </w:tr>
      <w:tr>
        <w:trPr>
          <w:trHeight w:val="244"/>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Credit Agreement, dated as of August 28, 2023 among Biogen Inc., JPMorgan Chase Bank N.A., as</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720" w:type="dxa"/>
            <w:vAlign w:val="bottom"/>
            <w:gridSpan w:val="5"/>
          </w:tcPr>
          <w:p>
            <w:pPr>
              <w:spacing w:after="0" w:line="189" w:lineRule="exact"/>
              <w:rPr>
                <w:sz w:val="20"/>
                <w:szCs w:val="20"/>
                <w:color w:val="auto"/>
              </w:rPr>
            </w:pPr>
            <w:r>
              <w:rPr>
                <w:rFonts w:ascii="Arial" w:cs="Arial" w:eastAsia="Arial" w:hAnsi="Arial"/>
                <w:sz w:val="18"/>
                <w:szCs w:val="18"/>
                <w:color w:val="auto"/>
                <w:w w:val="99"/>
              </w:rPr>
              <w:t>administrative agent and the other lenders party thereto filed as Exhibit 10.1 to our Current Report on Form 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K on September 1, 2023.</w:t>
            </w:r>
          </w:p>
        </w:tc>
        <w:tc>
          <w:tcPr>
            <w:tcW w:w="0" w:type="dxa"/>
            <w:vAlign w:val="bottom"/>
          </w:tcPr>
          <w:p>
            <w:pPr>
              <w:spacing w:after="0"/>
              <w:rPr>
                <w:sz w:val="1"/>
                <w:szCs w:val="1"/>
                <w:color w:val="auto"/>
              </w:rPr>
            </w:pPr>
          </w:p>
        </w:tc>
      </w:tr>
      <w:tr>
        <w:trPr>
          <w:trHeight w:val="243"/>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the Chief Executive Officer Pursuant to Section 302 of the Sarbanes-Oxley Act of 2002.</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1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Certification of the Chief Financial Officer Pursuant to Section 302 of the Sarbanes-Oxley Act of 2002.</w:t>
            </w:r>
          </w:p>
        </w:tc>
        <w:tc>
          <w:tcPr>
            <w:tcW w:w="6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0000FF"/>
              </w:rPr>
              <w:t>Certification Pursuant to Section 906 of the Sarbanes-Oxley Act of 2002.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The following materials from Biogen Inc.’s Quarterly Report on Form 10-Q for the quarter ended September</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720" w:type="dxa"/>
            <w:vAlign w:val="bottom"/>
            <w:gridSpan w:val="5"/>
          </w:tcPr>
          <w:p>
            <w:pPr>
              <w:spacing w:after="0" w:line="189" w:lineRule="exact"/>
              <w:rPr>
                <w:sz w:val="20"/>
                <w:szCs w:val="20"/>
                <w:color w:val="auto"/>
              </w:rPr>
            </w:pPr>
            <w:r>
              <w:rPr>
                <w:rFonts w:ascii="Arial" w:cs="Arial" w:eastAsia="Arial" w:hAnsi="Arial"/>
                <w:sz w:val="18"/>
                <w:szCs w:val="18"/>
                <w:color w:val="auto"/>
              </w:rPr>
              <w:t>30, 2023, formatted in iXBRL (Inline Extensible Business Reporting Language): (i) the Condensed</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20" w:type="dxa"/>
            <w:vAlign w:val="bottom"/>
            <w:gridSpan w:val="5"/>
          </w:tcPr>
          <w:p>
            <w:pPr>
              <w:spacing w:after="0" w:line="176" w:lineRule="exact"/>
              <w:rPr>
                <w:sz w:val="20"/>
                <w:szCs w:val="20"/>
                <w:color w:val="auto"/>
              </w:rPr>
            </w:pPr>
            <w:r>
              <w:rPr>
                <w:rFonts w:ascii="Arial" w:cs="Arial" w:eastAsia="Arial" w:hAnsi="Arial"/>
                <w:sz w:val="18"/>
                <w:szCs w:val="18"/>
                <w:color w:val="auto"/>
              </w:rPr>
              <w:t>Consolidated Statements of Income, (ii) the Condensed Consolidated Statements of Comprehensive Income,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720" w:type="dxa"/>
            <w:vAlign w:val="bottom"/>
            <w:gridSpan w:val="5"/>
          </w:tcPr>
          <w:p>
            <w:pPr>
              <w:spacing w:after="0" w:line="176" w:lineRule="exact"/>
              <w:rPr>
                <w:sz w:val="20"/>
                <w:szCs w:val="20"/>
                <w:color w:val="auto"/>
              </w:rPr>
            </w:pPr>
            <w:r>
              <w:rPr>
                <w:rFonts w:ascii="Arial" w:cs="Arial" w:eastAsia="Arial" w:hAnsi="Arial"/>
                <w:sz w:val="18"/>
                <w:szCs w:val="18"/>
                <w:color w:val="auto"/>
              </w:rPr>
              <w:t>(iii) the Condensed Consolidated Balance Sheets, (iv) the Condensed Consolidated Statements of Cash</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720" w:type="dxa"/>
            <w:vAlign w:val="bottom"/>
            <w:gridSpan w:val="5"/>
          </w:tcPr>
          <w:p>
            <w:pPr>
              <w:spacing w:after="0" w:line="189" w:lineRule="exact"/>
              <w:rPr>
                <w:sz w:val="20"/>
                <w:szCs w:val="20"/>
                <w:color w:val="auto"/>
              </w:rPr>
            </w:pPr>
            <w:r>
              <w:rPr>
                <w:rFonts w:ascii="Arial" w:cs="Arial" w:eastAsia="Arial" w:hAnsi="Arial"/>
                <w:sz w:val="18"/>
                <w:szCs w:val="18"/>
                <w:color w:val="auto"/>
              </w:rPr>
              <w:t>Flow, (v) the Condensed Consolidated Statements of Equity and (vi) Notes to Condensed Consolidated</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30"/>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The cover page from this Quarterly Report on Form 10-Q for the quarter ended September 30, 2023,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720" w:type="dxa"/>
            <w:vAlign w:val="bottom"/>
            <w:gridSpan w:val="5"/>
          </w:tcPr>
          <w:p>
            <w:pPr>
              <w:spacing w:after="0"/>
              <w:rPr>
                <w:sz w:val="20"/>
                <w:szCs w:val="20"/>
                <w:color w:val="auto"/>
              </w:rPr>
            </w:pPr>
            <w:r>
              <w:rPr>
                <w:rFonts w:ascii="Arial" w:cs="Arial" w:eastAsia="Arial" w:hAnsi="Arial"/>
                <w:sz w:val="18"/>
                <w:szCs w:val="18"/>
                <w:color w:val="auto"/>
              </w:rPr>
              <w:t>formatted in Inline XBRL.</w:t>
            </w: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660" w:right="140" w:hanging="652"/>
        <w:spacing w:after="0" w:line="260" w:lineRule="auto"/>
        <w:tabs>
          <w:tab w:leader="none" w:pos="2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schedules and exhibits have been omitted pursuant to Item 601(a)(5) of Regulation S-K. Biogen agrees to furnish supplementally a copy of such schedules and exhibits, or any section thereof, to the SEC upon request.</w:t>
      </w:r>
    </w:p>
    <w:p>
      <w:pPr>
        <w:spacing w:after="0" w:line="213"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420" w:hanging="412"/>
        <w:spacing w:after="0"/>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5" w:right="39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1C5A7D"/>
        </w:rPr>
        <w:t>SIGNATURES</w:t>
      </w:r>
    </w:p>
    <w:p>
      <w:pPr>
        <w:spacing w:after="0" w:line="172" w:lineRule="exact"/>
        <w:rPr>
          <w:sz w:val="20"/>
          <w:szCs w:val="20"/>
          <w:color w:val="auto"/>
        </w:rPr>
      </w:pPr>
    </w:p>
    <w:p>
      <w:pPr>
        <w:ind w:firstLine="445"/>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BIOGEN INC.</w:t>
      </w:r>
    </w:p>
    <w:p>
      <w:pPr>
        <w:spacing w:after="0" w:line="293" w:lineRule="exact"/>
        <w:rPr>
          <w:sz w:val="20"/>
          <w:szCs w:val="20"/>
          <w:color w:val="auto"/>
        </w:rPr>
      </w:pPr>
    </w:p>
    <w:p>
      <w:pPr>
        <w:ind w:left="5120"/>
        <w:spacing w:after="0"/>
        <w:tabs>
          <w:tab w:leader="none" w:pos="5500" w:val="left"/>
        </w:tabs>
        <w:rPr>
          <w:sz w:val="20"/>
          <w:szCs w:val="20"/>
          <w:color w:val="auto"/>
        </w:rPr>
      </w:pPr>
      <w:r>
        <w:rPr>
          <w:rFonts w:ascii="Arial" w:cs="Arial" w:eastAsia="Arial" w:hAnsi="Arial"/>
          <w:sz w:val="18"/>
          <w:szCs w:val="18"/>
          <w:color w:val="auto"/>
        </w:rPr>
        <w:t>/s/</w:t>
        <w:tab/>
        <w:t>Michael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13970</wp:posOffset>
            </wp:positionV>
            <wp:extent cx="16630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Michael R. McDonnell</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(principal financial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November 8, 2023</w:t>
      </w:r>
    </w:p>
    <w:p>
      <w:pPr>
        <w:spacing w:after="0" w:line="200" w:lineRule="exact"/>
        <w:rPr>
          <w:sz w:val="20"/>
          <w:szCs w:val="20"/>
          <w:color w:val="auto"/>
        </w:rPr>
      </w:pP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780"/>
          </w:cols>
          <w:pgMar w:left="320" w:top="126" w:right="79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Viehbacher,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252" w:lineRule="exact"/>
        <w:rPr>
          <w:rFonts w:ascii="Arial" w:cs="Arial" w:eastAsia="Arial" w:hAnsi="Arial"/>
          <w:sz w:val="18"/>
          <w:szCs w:val="18"/>
          <w:color w:val="auto"/>
        </w:rPr>
      </w:pPr>
    </w:p>
    <w:p>
      <w:pPr>
        <w:ind w:left="660" w:right="80" w:hanging="652"/>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right="240" w:hanging="652"/>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00" w:hanging="644"/>
        <w:spacing w:after="0" w:line="263" w:lineRule="auto"/>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540" w:hanging="644"/>
        <w:spacing w:after="0" w:line="285" w:lineRule="auto"/>
        <w:tabs>
          <w:tab w:leader="none" w:pos="1304"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7"/>
          <w:szCs w:val="17"/>
          <w:color w:val="auto"/>
        </w:rPr>
      </w:pPr>
    </w:p>
    <w:p>
      <w:pPr>
        <w:ind w:left="1300" w:right="300" w:hanging="644"/>
        <w:spacing w:after="0" w:line="263" w:lineRule="auto"/>
        <w:tabs>
          <w:tab w:leader="none" w:pos="1307"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00" w:right="60" w:hanging="644"/>
        <w:spacing w:after="0" w:line="263" w:lineRule="auto"/>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300" w:right="440" w:hanging="644"/>
        <w:spacing w:after="0" w:line="263" w:lineRule="auto"/>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00" w:right="780" w:hanging="644"/>
        <w:spacing w:after="0" w:line="275" w:lineRule="auto"/>
        <w:tabs>
          <w:tab w:leader="none" w:pos="1304"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Date: November 8, 2023</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Viehbacher</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0"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 Michael R. McDonnell, certify that:</w:t>
      </w:r>
    </w:p>
    <w:p>
      <w:pPr>
        <w:spacing w:after="0" w:line="252"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252" w:lineRule="exact"/>
        <w:rPr>
          <w:rFonts w:ascii="Arial" w:cs="Arial" w:eastAsia="Arial" w:hAnsi="Arial"/>
          <w:sz w:val="18"/>
          <w:szCs w:val="18"/>
          <w:color w:val="auto"/>
        </w:rPr>
      </w:pPr>
    </w:p>
    <w:p>
      <w:pPr>
        <w:ind w:left="660" w:right="80" w:hanging="652"/>
        <w:spacing w:after="0" w:line="263"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right="240" w:hanging="652"/>
        <w:spacing w:after="0" w:line="263"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00" w:hanging="644"/>
        <w:spacing w:after="0" w:line="263" w:lineRule="auto"/>
        <w:tabs>
          <w:tab w:leader="none" w:pos="13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540" w:hanging="644"/>
        <w:spacing w:after="0" w:line="285" w:lineRule="auto"/>
        <w:tabs>
          <w:tab w:leader="none" w:pos="1304"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7"/>
          <w:szCs w:val="17"/>
          <w:color w:val="auto"/>
        </w:rPr>
      </w:pPr>
    </w:p>
    <w:p>
      <w:pPr>
        <w:ind w:left="1300" w:right="300" w:hanging="644"/>
        <w:spacing w:after="0" w:line="263" w:lineRule="auto"/>
        <w:tabs>
          <w:tab w:leader="none" w:pos="13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00" w:right="60" w:hanging="644"/>
        <w:spacing w:after="0" w:line="263" w:lineRule="auto"/>
        <w:tabs>
          <w:tab w:leader="none" w:pos="13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40" w:hanging="652"/>
        <w:spacing w:after="0" w:line="263" w:lineRule="auto"/>
        <w:tabs>
          <w:tab w:leader="none" w:pos="6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300" w:right="440" w:hanging="644"/>
        <w:spacing w:after="0" w:line="263" w:lineRule="auto"/>
        <w:tabs>
          <w:tab w:leader="none" w:pos="13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00" w:right="780" w:hanging="644"/>
        <w:spacing w:after="0" w:line="275" w:lineRule="auto"/>
        <w:tabs>
          <w:tab w:leader="none" w:pos="13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Date: November 8, 2023</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0"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9"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30" w:lineRule="exact"/>
        <w:rPr>
          <w:sz w:val="20"/>
          <w:szCs w:val="20"/>
          <w:color w:val="auto"/>
        </w:rPr>
      </w:pPr>
    </w:p>
    <w:p>
      <w:pPr>
        <w:ind w:right="240" w:firstLine="445"/>
        <w:spacing w:after="0" w:line="263" w:lineRule="auto"/>
        <w:rPr>
          <w:sz w:val="20"/>
          <w:szCs w:val="20"/>
          <w:color w:val="auto"/>
        </w:rPr>
      </w:pPr>
      <w:r>
        <w:rPr>
          <w:rFonts w:ascii="Arial" w:cs="Arial" w:eastAsia="Arial" w:hAnsi="Arial"/>
          <w:sz w:val="18"/>
          <w:szCs w:val="18"/>
          <w:color w:val="auto"/>
        </w:rPr>
        <w:t>The Quarterly Report on Form 10-Q for the quarter ended September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Date: November 8, 2023</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Viehbacher</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621"/>
        </w:trPr>
        <w:tc>
          <w:tcPr>
            <w:tcW w:w="6200" w:type="dxa"/>
            <w:vAlign w:val="bottom"/>
          </w:tcPr>
          <w:p>
            <w:pPr>
              <w:spacing w:after="0"/>
              <w:rPr>
                <w:sz w:val="20"/>
                <w:szCs w:val="20"/>
                <w:color w:val="auto"/>
              </w:rPr>
            </w:pPr>
            <w:r>
              <w:rPr>
                <w:rFonts w:ascii="Arial" w:cs="Arial" w:eastAsia="Arial" w:hAnsi="Arial"/>
                <w:sz w:val="18"/>
                <w:szCs w:val="18"/>
                <w:color w:val="auto"/>
              </w:rPr>
              <w:t>Date: November 8, 2023</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52" w:lineRule="exact"/>
        <w:rPr>
          <w:sz w:val="20"/>
          <w:szCs w:val="20"/>
          <w:color w:val="auto"/>
        </w:rPr>
      </w:pPr>
    </w:p>
    <w:p>
      <w:pPr>
        <w:ind w:right="560" w:firstLine="445"/>
        <w:spacing w:after="0" w:line="27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lowerLetter"/>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2023-11-08T15:54:16Z</dcterms:created>
  <dcterms:modified xsi:type="dcterms:W3CDTF">2023-11-08T15:54:16Z</dcterms:modified>
</cp:coreProperties>
</file>