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2"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3000" w:type="dxa"/>
            <w:vAlign w:val="bottom"/>
          </w:tcPr>
          <w:p>
            <w:pPr>
              <w:ind w:left="980"/>
              <w:spacing w:after="0"/>
              <w:rPr>
                <w:sz w:val="20"/>
                <w:szCs w:val="20"/>
                <w:color w:val="auto"/>
              </w:rPr>
            </w:pPr>
            <w:r>
              <w:rPr>
                <w:rFonts w:ascii="Arial" w:cs="Arial" w:eastAsia="Arial" w:hAnsi="Arial"/>
                <w:sz w:val="13"/>
                <w:szCs w:val="13"/>
                <w:b w:val="1"/>
                <w:bCs w:val="1"/>
                <w:color w:val="auto"/>
              </w:rPr>
              <w:t>For the transition period from</w:t>
            </w:r>
          </w:p>
        </w:tc>
        <w:tc>
          <w:tcPr>
            <w:tcW w:w="3700" w:type="dxa"/>
            <w:vAlign w:val="bottom"/>
          </w:tcPr>
          <w:p>
            <w:pPr>
              <w:spacing w:after="0"/>
              <w:rPr>
                <w:sz w:val="20"/>
                <w:szCs w:val="20"/>
                <w:color w:val="auto"/>
              </w:rPr>
            </w:pPr>
            <w:r>
              <w:rPr>
                <w:rFonts w:ascii="Arial" w:cs="Arial" w:eastAsia="Arial" w:hAnsi="Arial"/>
                <w:sz w:val="13"/>
                <w:szCs w:val="13"/>
                <w:b w:val="1"/>
                <w:bCs w:val="1"/>
                <w:color w:val="auto"/>
              </w:rPr>
              <w:t>to</w:t>
            </w:r>
          </w:p>
        </w:tc>
        <w:tc>
          <w:tcPr>
            <w:tcW w:w="3140" w:type="dxa"/>
            <w:vAlign w:val="bottom"/>
          </w:tcPr>
          <w:p>
            <w:pPr>
              <w:spacing w:after="0"/>
              <w:rPr>
                <w:sz w:val="14"/>
                <w:szCs w:val="14"/>
                <w:color w:val="auto"/>
              </w:rPr>
            </w:pPr>
          </w:p>
        </w:tc>
      </w:tr>
      <w:tr>
        <w:trPr>
          <w:trHeight w:val="182"/>
        </w:trPr>
        <w:tc>
          <w:tcPr>
            <w:tcW w:w="3000" w:type="dxa"/>
            <w:vAlign w:val="bottom"/>
          </w:tcPr>
          <w:p>
            <w:pPr>
              <w:spacing w:after="0"/>
              <w:rPr>
                <w:sz w:val="15"/>
                <w:szCs w:val="15"/>
                <w:color w:val="auto"/>
              </w:rPr>
            </w:pPr>
          </w:p>
        </w:tc>
        <w:tc>
          <w:tcPr>
            <w:tcW w:w="3700" w:type="dxa"/>
            <w:vAlign w:val="bottom"/>
          </w:tcPr>
          <w:p>
            <w:pPr>
              <w:jc w:val="center"/>
              <w:ind w:left="389"/>
              <w:spacing w:after="0"/>
              <w:rPr>
                <w:sz w:val="20"/>
                <w:szCs w:val="20"/>
                <w:color w:val="auto"/>
              </w:rPr>
            </w:pPr>
            <w:r>
              <w:rPr>
                <w:rFonts w:ascii="Arial" w:cs="Arial" w:eastAsia="Arial" w:hAnsi="Arial"/>
                <w:sz w:val="13"/>
                <w:szCs w:val="13"/>
                <w:b w:val="1"/>
                <w:bCs w:val="1"/>
                <w:color w:val="auto"/>
                <w:w w:val="90"/>
              </w:rPr>
              <w:t>Commission file number: 0-19311</w:t>
            </w:r>
          </w:p>
        </w:tc>
        <w:tc>
          <w:tcPr>
            <w:tcW w:w="3140" w:type="dxa"/>
            <w:vAlign w:val="bottom"/>
          </w:tcPr>
          <w:p>
            <w:pPr>
              <w:spacing w:after="0"/>
              <w:rPr>
                <w:sz w:val="15"/>
                <w:szCs w:val="15"/>
                <w:color w:val="auto"/>
              </w:rPr>
            </w:pPr>
          </w:p>
        </w:tc>
      </w:tr>
      <w:tr>
        <w:trPr>
          <w:trHeight w:val="382"/>
        </w:trPr>
        <w:tc>
          <w:tcPr>
            <w:tcW w:w="3000" w:type="dxa"/>
            <w:vAlign w:val="bottom"/>
          </w:tcPr>
          <w:p>
            <w:pPr>
              <w:spacing w:after="0"/>
              <w:rPr>
                <w:sz w:val="24"/>
                <w:szCs w:val="24"/>
                <w:color w:val="auto"/>
              </w:rPr>
            </w:pPr>
          </w:p>
        </w:tc>
        <w:tc>
          <w:tcPr>
            <w:tcW w:w="3700" w:type="dxa"/>
            <w:vAlign w:val="bottom"/>
          </w:tcPr>
          <w:p>
            <w:pPr>
              <w:jc w:val="center"/>
              <w:ind w:left="369"/>
              <w:spacing w:after="0"/>
              <w:rPr>
                <w:sz w:val="20"/>
                <w:szCs w:val="20"/>
                <w:color w:val="auto"/>
              </w:rPr>
            </w:pPr>
            <w:r>
              <w:rPr>
                <w:rFonts w:ascii="Arial" w:cs="Arial" w:eastAsia="Arial" w:hAnsi="Arial"/>
                <w:sz w:val="31"/>
                <w:szCs w:val="31"/>
                <w:b w:val="1"/>
                <w:bCs w:val="1"/>
                <w:color w:val="auto"/>
                <w:w w:val="91"/>
              </w:rPr>
              <w:t>Biogen Idec Inc.</w:t>
            </w:r>
          </w:p>
        </w:tc>
        <w:tc>
          <w:tcPr>
            <w:tcW w:w="3140" w:type="dxa"/>
            <w:vAlign w:val="bottom"/>
          </w:tcPr>
          <w:p>
            <w:pPr>
              <w:spacing w:after="0"/>
              <w:rPr>
                <w:sz w:val="24"/>
                <w:szCs w:val="24"/>
                <w:color w:val="auto"/>
              </w:rPr>
            </w:pPr>
          </w:p>
        </w:tc>
      </w:tr>
      <w:tr>
        <w:trPr>
          <w:trHeight w:val="131"/>
        </w:trPr>
        <w:tc>
          <w:tcPr>
            <w:tcW w:w="3000" w:type="dxa"/>
            <w:vAlign w:val="bottom"/>
          </w:tcPr>
          <w:p>
            <w:pPr>
              <w:spacing w:after="0"/>
              <w:rPr>
                <w:sz w:val="11"/>
                <w:szCs w:val="11"/>
                <w:color w:val="auto"/>
              </w:rPr>
            </w:pPr>
          </w:p>
        </w:tc>
        <w:tc>
          <w:tcPr>
            <w:tcW w:w="3700" w:type="dxa"/>
            <w:vAlign w:val="bottom"/>
          </w:tcPr>
          <w:p>
            <w:pPr>
              <w:jc w:val="center"/>
              <w:ind w:left="369"/>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140" w:type="dxa"/>
            <w:vAlign w:val="bottom"/>
          </w:tcPr>
          <w:p>
            <w:pPr>
              <w:spacing w:after="0"/>
              <w:rPr>
                <w:sz w:val="11"/>
                <w:szCs w:val="11"/>
                <w:color w:val="auto"/>
              </w:rPr>
            </w:pPr>
          </w:p>
        </w:tc>
      </w:tr>
      <w:tr>
        <w:trPr>
          <w:trHeight w:val="193"/>
        </w:trPr>
        <w:tc>
          <w:tcPr>
            <w:tcW w:w="3000" w:type="dxa"/>
            <w:vAlign w:val="bottom"/>
          </w:tcPr>
          <w:p>
            <w:pPr>
              <w:jc w:val="center"/>
              <w:ind w:left="1719"/>
              <w:spacing w:after="0"/>
              <w:rPr>
                <w:sz w:val="20"/>
                <w:szCs w:val="20"/>
                <w:color w:val="auto"/>
              </w:rPr>
            </w:pPr>
            <w:r>
              <w:rPr>
                <w:rFonts w:ascii="Arial" w:cs="Arial" w:eastAsia="Arial" w:hAnsi="Arial"/>
                <w:sz w:val="13"/>
                <w:szCs w:val="13"/>
                <w:b w:val="1"/>
                <w:bCs w:val="1"/>
                <w:color w:val="auto"/>
                <w:w w:val="94"/>
              </w:rPr>
              <w:t>Delaware</w:t>
            </w:r>
          </w:p>
        </w:tc>
        <w:tc>
          <w:tcPr>
            <w:tcW w:w="3700" w:type="dxa"/>
            <w:vAlign w:val="bottom"/>
          </w:tcPr>
          <w:p>
            <w:pPr>
              <w:spacing w:after="0"/>
              <w:rPr>
                <w:sz w:val="16"/>
                <w:szCs w:val="16"/>
                <w:color w:val="auto"/>
              </w:rPr>
            </w:pPr>
          </w:p>
        </w:tc>
        <w:tc>
          <w:tcPr>
            <w:tcW w:w="3140" w:type="dxa"/>
            <w:vAlign w:val="bottom"/>
          </w:tcPr>
          <w:p>
            <w:pPr>
              <w:jc w:val="right"/>
              <w:ind w:right="1641"/>
              <w:spacing w:after="0"/>
              <w:rPr>
                <w:sz w:val="20"/>
                <w:szCs w:val="20"/>
                <w:color w:val="auto"/>
              </w:rPr>
            </w:pPr>
            <w:r>
              <w:rPr>
                <w:rFonts w:ascii="Arial" w:cs="Arial" w:eastAsia="Arial" w:hAnsi="Arial"/>
                <w:sz w:val="13"/>
                <w:szCs w:val="13"/>
                <w:b w:val="1"/>
                <w:bCs w:val="1"/>
                <w:color w:val="auto"/>
              </w:rPr>
              <w:t>33-0112644</w:t>
            </w:r>
          </w:p>
        </w:tc>
      </w:tr>
      <w:tr>
        <w:trPr>
          <w:trHeight w:val="131"/>
        </w:trPr>
        <w:tc>
          <w:tcPr>
            <w:tcW w:w="3000" w:type="dxa"/>
            <w:vAlign w:val="bottom"/>
          </w:tcPr>
          <w:p>
            <w:pPr>
              <w:jc w:val="center"/>
              <w:ind w:left="1719"/>
              <w:spacing w:after="0"/>
              <w:rPr>
                <w:sz w:val="20"/>
                <w:szCs w:val="20"/>
                <w:color w:val="auto"/>
              </w:rPr>
            </w:pPr>
            <w:r>
              <w:rPr>
                <w:rFonts w:ascii="Arial" w:cs="Arial" w:eastAsia="Arial" w:hAnsi="Arial"/>
                <w:sz w:val="10"/>
                <w:szCs w:val="10"/>
                <w:i w:val="1"/>
                <w:iCs w:val="1"/>
                <w:color w:val="auto"/>
                <w:w w:val="97"/>
              </w:rPr>
              <w:t>(State or other jurisdiction of</w:t>
            </w:r>
          </w:p>
        </w:tc>
        <w:tc>
          <w:tcPr>
            <w:tcW w:w="3700" w:type="dxa"/>
            <w:vAlign w:val="bottom"/>
          </w:tcPr>
          <w:p>
            <w:pPr>
              <w:spacing w:after="0"/>
              <w:rPr>
                <w:sz w:val="11"/>
                <w:szCs w:val="11"/>
                <w:color w:val="auto"/>
              </w:rPr>
            </w:pPr>
          </w:p>
        </w:tc>
        <w:tc>
          <w:tcPr>
            <w:tcW w:w="3140" w:type="dxa"/>
            <w:vAlign w:val="bottom"/>
          </w:tcPr>
          <w:p>
            <w:pPr>
              <w:jc w:val="center"/>
              <w:ind w:right="821"/>
              <w:spacing w:after="0"/>
              <w:rPr>
                <w:sz w:val="20"/>
                <w:szCs w:val="20"/>
                <w:color w:val="auto"/>
              </w:rPr>
            </w:pPr>
            <w:r>
              <w:rPr>
                <w:rFonts w:ascii="Arial" w:cs="Arial" w:eastAsia="Arial" w:hAnsi="Arial"/>
                <w:sz w:val="10"/>
                <w:szCs w:val="10"/>
                <w:i w:val="1"/>
                <w:iCs w:val="1"/>
                <w:color w:val="auto"/>
                <w:w w:val="95"/>
              </w:rPr>
              <w:t>(I.R.S. Employer</w:t>
            </w:r>
          </w:p>
        </w:tc>
      </w:tr>
      <w:tr>
        <w:trPr>
          <w:trHeight w:val="157"/>
        </w:trPr>
        <w:tc>
          <w:tcPr>
            <w:tcW w:w="6700" w:type="dxa"/>
            <w:vAlign w:val="bottom"/>
            <w:gridSpan w:val="2"/>
          </w:tcPr>
          <w:p>
            <w:pPr>
              <w:jc w:val="center"/>
              <w:ind w:right="1849"/>
              <w:spacing w:after="0"/>
              <w:rPr>
                <w:sz w:val="20"/>
                <w:szCs w:val="20"/>
                <w:color w:val="auto"/>
              </w:rPr>
            </w:pPr>
            <w:r>
              <w:rPr>
                <w:rFonts w:ascii="Arial" w:cs="Arial" w:eastAsia="Arial" w:hAnsi="Arial"/>
                <w:sz w:val="10"/>
                <w:szCs w:val="10"/>
                <w:i w:val="1"/>
                <w:iCs w:val="1"/>
                <w:color w:val="auto"/>
                <w:w w:val="99"/>
              </w:rPr>
              <w:t>incorporation or organization)</w:t>
            </w:r>
          </w:p>
        </w:tc>
        <w:tc>
          <w:tcPr>
            <w:tcW w:w="3140" w:type="dxa"/>
            <w:vAlign w:val="bottom"/>
          </w:tcPr>
          <w:p>
            <w:pPr>
              <w:jc w:val="center"/>
              <w:ind w:right="841"/>
              <w:spacing w:after="0"/>
              <w:rPr>
                <w:sz w:val="20"/>
                <w:szCs w:val="20"/>
                <w:color w:val="auto"/>
              </w:rPr>
            </w:pPr>
            <w:r>
              <w:rPr>
                <w:rFonts w:ascii="Arial" w:cs="Arial" w:eastAsia="Arial" w:hAnsi="Arial"/>
                <w:sz w:val="10"/>
                <w:szCs w:val="10"/>
                <w:i w:val="1"/>
                <w:iCs w:val="1"/>
                <w:color w:val="auto"/>
                <w:w w:val="97"/>
              </w:rPr>
              <w:t>Identification No.)</w:t>
            </w:r>
          </w:p>
        </w:tc>
      </w:tr>
      <w:tr>
        <w:trPr>
          <w:trHeight w:val="183"/>
        </w:trPr>
        <w:tc>
          <w:tcPr>
            <w:tcW w:w="3000" w:type="dxa"/>
            <w:vAlign w:val="bottom"/>
          </w:tcPr>
          <w:p>
            <w:pPr>
              <w:jc w:val="center"/>
              <w:ind w:left="1699"/>
              <w:spacing w:after="0"/>
              <w:rPr>
                <w:sz w:val="20"/>
                <w:szCs w:val="20"/>
                <w:color w:val="auto"/>
              </w:rPr>
            </w:pPr>
            <w:r>
              <w:rPr>
                <w:rFonts w:ascii="Arial" w:cs="Arial" w:eastAsia="Arial" w:hAnsi="Arial"/>
                <w:sz w:val="13"/>
                <w:szCs w:val="13"/>
                <w:b w:val="1"/>
                <w:bCs w:val="1"/>
                <w:color w:val="auto"/>
                <w:w w:val="92"/>
              </w:rPr>
              <w:t>14 Cambridge Center,</w:t>
            </w:r>
          </w:p>
        </w:tc>
        <w:tc>
          <w:tcPr>
            <w:tcW w:w="3700" w:type="dxa"/>
            <w:vAlign w:val="bottom"/>
          </w:tcPr>
          <w:p>
            <w:pPr>
              <w:spacing w:after="0"/>
              <w:rPr>
                <w:sz w:val="15"/>
                <w:szCs w:val="15"/>
                <w:color w:val="auto"/>
              </w:rPr>
            </w:pPr>
          </w:p>
        </w:tc>
        <w:tc>
          <w:tcPr>
            <w:tcW w:w="3140" w:type="dxa"/>
            <w:vAlign w:val="bottom"/>
          </w:tcPr>
          <w:p>
            <w:pPr>
              <w:jc w:val="right"/>
              <w:ind w:right="1801"/>
              <w:spacing w:after="0"/>
              <w:rPr>
                <w:sz w:val="20"/>
                <w:szCs w:val="20"/>
                <w:color w:val="auto"/>
              </w:rPr>
            </w:pPr>
            <w:r>
              <w:rPr>
                <w:rFonts w:ascii="Arial" w:cs="Arial" w:eastAsia="Arial" w:hAnsi="Arial"/>
                <w:sz w:val="13"/>
                <w:szCs w:val="13"/>
                <w:b w:val="1"/>
                <w:bCs w:val="1"/>
                <w:color w:val="auto"/>
              </w:rPr>
              <w:t>02142</w:t>
            </w:r>
          </w:p>
        </w:tc>
      </w:tr>
      <w:tr>
        <w:trPr>
          <w:trHeight w:val="157"/>
        </w:trPr>
        <w:tc>
          <w:tcPr>
            <w:tcW w:w="6700" w:type="dxa"/>
            <w:vAlign w:val="bottom"/>
            <w:gridSpan w:val="2"/>
          </w:tcPr>
          <w:p>
            <w:pPr>
              <w:jc w:val="center"/>
              <w:ind w:right="1849"/>
              <w:spacing w:after="0"/>
              <w:rPr>
                <w:sz w:val="20"/>
                <w:szCs w:val="20"/>
                <w:color w:val="auto"/>
              </w:rPr>
            </w:pPr>
            <w:r>
              <w:rPr>
                <w:rFonts w:ascii="Arial" w:cs="Arial" w:eastAsia="Arial" w:hAnsi="Arial"/>
                <w:sz w:val="13"/>
                <w:szCs w:val="13"/>
                <w:b w:val="1"/>
                <w:bCs w:val="1"/>
                <w:color w:val="auto"/>
                <w:w w:val="89"/>
              </w:rPr>
              <w:t>Cambridge, Massachusetts</w:t>
            </w:r>
          </w:p>
        </w:tc>
        <w:tc>
          <w:tcPr>
            <w:tcW w:w="3140" w:type="dxa"/>
            <w:vAlign w:val="bottom"/>
          </w:tcPr>
          <w:p>
            <w:pPr>
              <w:jc w:val="center"/>
              <w:ind w:right="841"/>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6700" w:type="dxa"/>
            <w:vAlign w:val="bottom"/>
            <w:gridSpan w:val="2"/>
          </w:tcPr>
          <w:p>
            <w:pPr>
              <w:jc w:val="center"/>
              <w:ind w:right="1869"/>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40" w:type="dxa"/>
            <w:vAlign w:val="bottom"/>
          </w:tcPr>
          <w:p>
            <w:pPr>
              <w:spacing w:after="0"/>
              <w:rPr>
                <w:sz w:val="11"/>
                <w:szCs w:val="11"/>
                <w:color w:val="auto"/>
              </w:rPr>
            </w:pPr>
          </w:p>
        </w:tc>
      </w:tr>
      <w:tr>
        <w:trPr>
          <w:trHeight w:val="272"/>
        </w:trPr>
        <w:tc>
          <w:tcPr>
            <w:tcW w:w="3000" w:type="dxa"/>
            <w:vAlign w:val="bottom"/>
          </w:tcPr>
          <w:p>
            <w:pPr>
              <w:spacing w:after="0"/>
              <w:rPr>
                <w:sz w:val="23"/>
                <w:szCs w:val="23"/>
                <w:color w:val="auto"/>
              </w:rPr>
            </w:pPr>
          </w:p>
        </w:tc>
        <w:tc>
          <w:tcPr>
            <w:tcW w:w="3700" w:type="dxa"/>
            <w:vAlign w:val="bottom"/>
          </w:tcPr>
          <w:p>
            <w:pPr>
              <w:jc w:val="center"/>
              <w:ind w:left="369"/>
              <w:spacing w:after="0"/>
              <w:rPr>
                <w:sz w:val="20"/>
                <w:szCs w:val="20"/>
                <w:color w:val="auto"/>
              </w:rPr>
            </w:pPr>
            <w:r>
              <w:rPr>
                <w:rFonts w:ascii="Arial" w:cs="Arial" w:eastAsia="Arial" w:hAnsi="Arial"/>
                <w:sz w:val="13"/>
                <w:szCs w:val="13"/>
                <w:b w:val="1"/>
                <w:bCs w:val="1"/>
                <w:color w:val="auto"/>
                <w:w w:val="92"/>
              </w:rPr>
              <w:t>(617) 679-2000</w:t>
            </w:r>
          </w:p>
        </w:tc>
        <w:tc>
          <w:tcPr>
            <w:tcW w:w="3140" w:type="dxa"/>
            <w:vAlign w:val="bottom"/>
          </w:tcPr>
          <w:p>
            <w:pPr>
              <w:spacing w:after="0"/>
              <w:rPr>
                <w:sz w:val="23"/>
                <w:szCs w:val="23"/>
                <w:color w:val="auto"/>
              </w:rPr>
            </w:pPr>
          </w:p>
        </w:tc>
      </w:tr>
      <w:tr>
        <w:trPr>
          <w:trHeight w:val="104"/>
        </w:trPr>
        <w:tc>
          <w:tcPr>
            <w:tcW w:w="3000" w:type="dxa"/>
            <w:vAlign w:val="bottom"/>
          </w:tcPr>
          <w:p>
            <w:pPr>
              <w:spacing w:after="0"/>
              <w:rPr>
                <w:sz w:val="9"/>
                <w:szCs w:val="9"/>
                <w:color w:val="auto"/>
              </w:rPr>
            </w:pPr>
          </w:p>
        </w:tc>
        <w:tc>
          <w:tcPr>
            <w:tcW w:w="3700" w:type="dxa"/>
            <w:vAlign w:val="bottom"/>
          </w:tcPr>
          <w:p>
            <w:pPr>
              <w:jc w:val="center"/>
              <w:ind w:left="369"/>
              <w:spacing w:after="0" w:line="104" w:lineRule="exact"/>
              <w:rPr>
                <w:sz w:val="20"/>
                <w:szCs w:val="20"/>
                <w:color w:val="auto"/>
              </w:rPr>
            </w:pPr>
            <w:r>
              <w:rPr>
                <w:rFonts w:ascii="Arial" w:cs="Arial" w:eastAsia="Arial" w:hAnsi="Arial"/>
                <w:sz w:val="10"/>
                <w:szCs w:val="10"/>
                <w:i w:val="1"/>
                <w:iCs w:val="1"/>
                <w:color w:val="auto"/>
                <w:w w:val="94"/>
              </w:rPr>
              <w:t>(Registrant’s telephone number, including area code)</w:t>
            </w:r>
          </w:p>
        </w:tc>
        <w:tc>
          <w:tcPr>
            <w:tcW w:w="3140" w:type="dxa"/>
            <w:vAlign w:val="bottom"/>
          </w:tcPr>
          <w:p>
            <w:pPr>
              <w:spacing w:after="0"/>
              <w:rPr>
                <w:sz w:val="9"/>
                <w:szCs w:val="9"/>
                <w:color w:val="auto"/>
              </w:rPr>
            </w:pPr>
          </w:p>
        </w:tc>
      </w:tr>
      <w:tr>
        <w:trPr>
          <w:trHeight w:val="135"/>
        </w:trPr>
        <w:tc>
          <w:tcPr>
            <w:tcW w:w="3000" w:type="dxa"/>
            <w:vAlign w:val="bottom"/>
          </w:tcPr>
          <w:p>
            <w:pPr>
              <w:spacing w:after="0"/>
              <w:rPr>
                <w:sz w:val="11"/>
                <w:szCs w:val="11"/>
                <w:color w:val="auto"/>
              </w:rPr>
            </w:pPr>
          </w:p>
        </w:tc>
        <w:tc>
          <w:tcPr>
            <w:tcW w:w="3700" w:type="dxa"/>
            <w:vAlign w:val="bottom"/>
          </w:tcPr>
          <w:p>
            <w:pPr>
              <w:jc w:val="center"/>
              <w:ind w:left="389"/>
              <w:spacing w:after="0"/>
              <w:rPr>
                <w:sz w:val="20"/>
                <w:szCs w:val="20"/>
                <w:color w:val="auto"/>
              </w:rPr>
            </w:pPr>
            <w:r>
              <w:rPr>
                <w:rFonts w:ascii="Arial" w:cs="Arial" w:eastAsia="Arial" w:hAnsi="Arial"/>
                <w:sz w:val="10"/>
                <w:szCs w:val="10"/>
                <w:b w:val="1"/>
                <w:bCs w:val="1"/>
                <w:color w:val="auto"/>
                <w:w w:val="93"/>
              </w:rPr>
              <w:t>Securities registered pursuant to Section 12(b) of the Act:</w:t>
            </w:r>
          </w:p>
        </w:tc>
        <w:tc>
          <w:tcPr>
            <w:tcW w:w="3140" w:type="dxa"/>
            <w:vAlign w:val="bottom"/>
          </w:tcPr>
          <w:p>
            <w:pPr>
              <w:spacing w:after="0"/>
              <w:rPr>
                <w:sz w:val="11"/>
                <w:szCs w:val="11"/>
                <w:color w:val="auto"/>
              </w:rPr>
            </w:pPr>
          </w:p>
        </w:tc>
      </w:tr>
      <w:tr>
        <w:trPr>
          <w:trHeight w:val="206"/>
        </w:trPr>
        <w:tc>
          <w:tcPr>
            <w:tcW w:w="6700" w:type="dxa"/>
            <w:vAlign w:val="bottom"/>
            <w:gridSpan w:val="2"/>
          </w:tcPr>
          <w:p>
            <w:pPr>
              <w:ind w:left="23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40" w:type="dxa"/>
            <w:vAlign w:val="bottom"/>
          </w:tcPr>
          <w:p>
            <w:pPr>
              <w:ind w:left="11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700" w:type="dxa"/>
            <w:vAlign w:val="bottom"/>
            <w:gridSpan w:val="2"/>
          </w:tcPr>
          <w:p>
            <w:pPr>
              <w:ind w:left="1380"/>
              <w:spacing w:after="0"/>
              <w:rPr>
                <w:sz w:val="20"/>
                <w:szCs w:val="20"/>
                <w:color w:val="auto"/>
              </w:rPr>
            </w:pPr>
            <w:r>
              <w:rPr>
                <w:rFonts w:ascii="Arial" w:cs="Arial" w:eastAsia="Arial" w:hAnsi="Arial"/>
                <w:sz w:val="13"/>
                <w:szCs w:val="13"/>
                <w:b w:val="1"/>
                <w:bCs w:val="1"/>
                <w:color w:val="auto"/>
              </w:rPr>
              <w:t>Common Stock, $0.0005 par value</w:t>
            </w:r>
          </w:p>
        </w:tc>
        <w:tc>
          <w:tcPr>
            <w:tcW w:w="3140" w:type="dxa"/>
            <w:vAlign w:val="bottom"/>
          </w:tcPr>
          <w:p>
            <w:pPr>
              <w:jc w:val="center"/>
              <w:ind w:right="821"/>
              <w:spacing w:after="0"/>
              <w:rPr>
                <w:sz w:val="20"/>
                <w:szCs w:val="20"/>
                <w:color w:val="auto"/>
              </w:rPr>
            </w:pPr>
            <w:r>
              <w:rPr>
                <w:rFonts w:ascii="Arial" w:cs="Arial" w:eastAsia="Arial" w:hAnsi="Arial"/>
                <w:sz w:val="13"/>
                <w:szCs w:val="13"/>
                <w:b w:val="1"/>
                <w:bCs w:val="1"/>
                <w:color w:val="auto"/>
                <w:w w:val="92"/>
              </w:rPr>
              <w:t>The Nasdaq Global Select Market</w:t>
            </w:r>
          </w:p>
        </w:tc>
      </w:tr>
      <w:tr>
        <w:trPr>
          <w:trHeight w:val="195"/>
        </w:trPr>
        <w:tc>
          <w:tcPr>
            <w:tcW w:w="3000" w:type="dxa"/>
            <w:vAlign w:val="bottom"/>
          </w:tcPr>
          <w:p>
            <w:pPr>
              <w:spacing w:after="0"/>
              <w:rPr>
                <w:sz w:val="16"/>
                <w:szCs w:val="16"/>
                <w:color w:val="auto"/>
              </w:rPr>
            </w:pPr>
          </w:p>
        </w:tc>
        <w:tc>
          <w:tcPr>
            <w:tcW w:w="3700" w:type="dxa"/>
            <w:vAlign w:val="bottom"/>
          </w:tcPr>
          <w:p>
            <w:pPr>
              <w:jc w:val="center"/>
              <w:ind w:left="389"/>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140" w:type="dxa"/>
            <w:vAlign w:val="bottom"/>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3700" w:type="dxa"/>
            <w:vAlign w:val="bottom"/>
          </w:tcPr>
          <w:p>
            <w:pPr>
              <w:jc w:val="center"/>
              <w:ind w:left="369"/>
              <w:spacing w:after="0"/>
              <w:rPr>
                <w:sz w:val="20"/>
                <w:szCs w:val="20"/>
                <w:color w:val="auto"/>
              </w:rPr>
            </w:pPr>
            <w:r>
              <w:rPr>
                <w:rFonts w:ascii="Arial" w:cs="Arial" w:eastAsia="Arial" w:hAnsi="Arial"/>
                <w:sz w:val="13"/>
                <w:szCs w:val="13"/>
                <w:b w:val="1"/>
                <w:bCs w:val="1"/>
                <w:color w:val="auto"/>
                <w:w w:val="92"/>
              </w:rPr>
              <w:t>None</w:t>
            </w:r>
          </w:p>
        </w:tc>
        <w:tc>
          <w:tcPr>
            <w:tcW w:w="3140" w:type="dxa"/>
            <w:vAlign w:val="bottom"/>
          </w:tcPr>
          <w:p>
            <w:pPr>
              <w:spacing w:after="0"/>
              <w:rPr>
                <w:sz w:val="14"/>
                <w:szCs w:val="14"/>
                <w:color w:val="auto"/>
              </w:rPr>
            </w:pPr>
          </w:p>
        </w:tc>
      </w:tr>
      <w:tr>
        <w:trPr>
          <w:trHeight w:val="262"/>
        </w:trPr>
        <w:tc>
          <w:tcPr>
            <w:tcW w:w="67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140" w:type="dxa"/>
            <w:vAlign w:val="bottom"/>
          </w:tcPr>
          <w:p>
            <w:pPr>
              <w:ind w:left="20"/>
              <w:spacing w:after="0"/>
              <w:rPr>
                <w:sz w:val="20"/>
                <w:szCs w:val="20"/>
                <w:color w:val="auto"/>
              </w:rPr>
            </w:pPr>
            <w:r>
              <w:rPr>
                <w:rFonts w:ascii="Arial" w:cs="Arial" w:eastAsia="Arial" w:hAnsi="Arial"/>
                <w:sz w:val="13"/>
                <w:szCs w:val="13"/>
                <w:color w:val="auto"/>
              </w:rPr>
              <w:t>No o</w:t>
            </w:r>
          </w:p>
        </w:tc>
      </w:tr>
      <w:tr>
        <w:trPr>
          <w:trHeight w:val="246"/>
        </w:trPr>
        <w:tc>
          <w:tcPr>
            <w:tcW w:w="67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not required to file reports pursuant to Section 13 or 15(d) of the Act. Yes o   No </w:t>
            </w:r>
            <w:r>
              <w:rPr>
                <w:rFonts w:ascii="MS PGothic" w:cs="MS PGothic" w:eastAsia="MS PGothic" w:hAnsi="MS PGothic"/>
                <w:sz w:val="13"/>
                <w:szCs w:val="13"/>
                <w:color w:val="auto"/>
                <w:w w:val="93"/>
              </w:rPr>
              <w:t>☑</w:t>
            </w:r>
          </w:p>
        </w:tc>
        <w:tc>
          <w:tcPr>
            <w:tcW w:w="3140" w:type="dxa"/>
            <w:vAlign w:val="bottom"/>
          </w:tcPr>
          <w:p>
            <w:pPr>
              <w:spacing w:after="0"/>
              <w:rPr>
                <w:sz w:val="21"/>
                <w:szCs w:val="21"/>
                <w:color w:val="auto"/>
              </w:rPr>
            </w:pPr>
          </w:p>
        </w:tc>
      </w:tr>
    </w:tbl>
    <w:p>
      <w:pPr>
        <w:spacing w:after="0" w:line="65"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6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44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 w:lineRule="exact"/>
        <w:rPr>
          <w:sz w:val="20"/>
          <w:szCs w:val="20"/>
          <w:color w:val="auto"/>
        </w:rPr>
      </w:pPr>
    </w:p>
    <w:p>
      <w:pPr>
        <w:ind w:left="3860" w:right="400" w:hanging="4052"/>
        <w:spacing w:after="0" w:line="206" w:lineRule="exact"/>
        <w:tabs>
          <w:tab w:leader="none" w:pos="38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firstLine="324"/>
        <w:spacing w:after="0" w:line="320"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$13,005,469,098.</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5, 2010, the registrant had 269,601,262 shares of common stock, $0.0005 par value, outstanding.</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Portions of the definitive proxy statement for our 2010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48260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gridSpan w:val="16"/>
          </w:tcPr>
          <w:p>
            <w:pPr>
              <w:jc w:val="center"/>
              <w:ind w:right="3900"/>
              <w:spacing w:after="0"/>
              <w:rPr>
                <w:sz w:val="20"/>
                <w:szCs w:val="20"/>
                <w:color w:val="auto"/>
              </w:rPr>
            </w:pPr>
            <w:r>
              <w:rPr>
                <w:rFonts w:ascii="Arial" w:cs="Arial" w:eastAsia="Arial" w:hAnsi="Arial"/>
                <w:sz w:val="13"/>
                <w:szCs w:val="13"/>
                <w:b w:val="1"/>
                <w:bCs w:val="1"/>
                <w:color w:val="auto"/>
              </w:rPr>
              <w:t>BIOGEN IDEC INC.</w:t>
            </w:r>
          </w:p>
        </w:tc>
        <w:tc>
          <w:tcPr>
            <w:tcW w:w="32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20" w:type="dxa"/>
            <w:vAlign w:val="bottom"/>
            <w:gridSpan w:val="18"/>
          </w:tcPr>
          <w:p>
            <w:pPr>
              <w:jc w:val="center"/>
              <w:ind w:right="3420"/>
              <w:spacing w:after="0"/>
              <w:rPr>
                <w:sz w:val="20"/>
                <w:szCs w:val="20"/>
                <w:color w:val="auto"/>
              </w:rPr>
            </w:pPr>
            <w:r>
              <w:rPr>
                <w:rFonts w:ascii="Arial" w:cs="Arial" w:eastAsia="Arial" w:hAnsi="Arial"/>
                <w:sz w:val="13"/>
                <w:szCs w:val="13"/>
                <w:b w:val="1"/>
                <w:bCs w:val="1"/>
                <w:color w:val="auto"/>
              </w:rPr>
              <w:t>ANNUAL REPORT ON FORM 10-K</w:t>
            </w:r>
          </w:p>
        </w:tc>
        <w:tc>
          <w:tcPr>
            <w:tcW w:w="32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20" w:type="dxa"/>
            <w:vAlign w:val="bottom"/>
            <w:gridSpan w:val="18"/>
          </w:tcPr>
          <w:p>
            <w:pPr>
              <w:jc w:val="center"/>
              <w:ind w:right="3400"/>
              <w:spacing w:after="0"/>
              <w:rPr>
                <w:sz w:val="20"/>
                <w:szCs w:val="20"/>
                <w:color w:val="auto"/>
              </w:rPr>
            </w:pPr>
            <w:r>
              <w:rPr>
                <w:rFonts w:ascii="Arial" w:cs="Arial" w:eastAsia="Arial" w:hAnsi="Arial"/>
                <w:sz w:val="13"/>
                <w:szCs w:val="13"/>
                <w:b w:val="1"/>
                <w:bCs w:val="1"/>
                <w:color w:val="auto"/>
                <w:w w:val="91"/>
              </w:rPr>
              <w:t>For the Year Ended December 31, 2009</w:t>
            </w:r>
          </w:p>
        </w:tc>
        <w:tc>
          <w:tcPr>
            <w:tcW w:w="32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gridSpan w:val="16"/>
          </w:tcPr>
          <w:p>
            <w:pPr>
              <w:jc w:val="center"/>
              <w:ind w:right="3900"/>
              <w:spacing w:after="0"/>
              <w:rPr>
                <w:sz w:val="20"/>
                <w:szCs w:val="20"/>
                <w:color w:val="auto"/>
              </w:rPr>
            </w:pPr>
            <w:r>
              <w:rPr>
                <w:rFonts w:ascii="Arial" w:cs="Arial" w:eastAsia="Arial" w:hAnsi="Arial"/>
                <w:sz w:val="13"/>
                <w:szCs w:val="13"/>
                <w:b w:val="1"/>
                <w:bCs w:val="1"/>
                <w:color w:val="auto"/>
                <w:w w:val="99"/>
              </w:rPr>
              <w:t>TABLE OF CONTENTS</w:t>
            </w:r>
          </w:p>
        </w:tc>
        <w:tc>
          <w:tcPr>
            <w:tcW w:w="32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0"/>
          </w:tcPr>
          <w:p>
            <w:pPr>
              <w:jc w:val="center"/>
              <w:ind w:right="4460"/>
              <w:spacing w:after="0"/>
              <w:rPr>
                <w:rFonts w:ascii="Arial" w:cs="Arial" w:eastAsia="Arial" w:hAnsi="Arial"/>
                <w:sz w:val="13"/>
                <w:szCs w:val="13"/>
                <w:b w:val="1"/>
                <w:bCs w:val="1"/>
                <w:color w:val="0000EE"/>
                <w:w w:val="98"/>
              </w:rPr>
            </w:pPr>
            <w:hyperlink w:anchor="page6">
              <w:r>
                <w:rPr>
                  <w:rFonts w:ascii="Arial" w:cs="Arial" w:eastAsia="Arial" w:hAnsi="Arial"/>
                  <w:sz w:val="13"/>
                  <w:szCs w:val="13"/>
                  <w:b w:val="1"/>
                  <w:bCs w:val="1"/>
                  <w:color w:val="0000EE"/>
                  <w:w w:val="98"/>
                </w:rPr>
                <w:t>PART I</w:t>
              </w:r>
            </w:hyperlink>
          </w:p>
        </w:tc>
        <w:tc>
          <w:tcPr>
            <w:tcW w:w="320" w:type="dxa"/>
            <w:vAlign w:val="bottom"/>
          </w:tcPr>
          <w:p>
            <w:pPr>
              <w:spacing w:after="0"/>
              <w:rPr>
                <w:sz w:val="13"/>
                <w:szCs w:val="13"/>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6">
              <w:r>
                <w:rPr>
                  <w:rFonts w:ascii="Arial" w:cs="Arial" w:eastAsia="Arial" w:hAnsi="Arial"/>
                  <w:sz w:val="13"/>
                  <w:szCs w:val="13"/>
                  <w:color w:val="0000EE"/>
                  <w:w w:val="85"/>
                </w:rPr>
                <w:t>Item 1.</w:t>
              </w:r>
            </w:hyperlink>
          </w:p>
        </w:tc>
        <w:tc>
          <w:tcPr>
            <w:tcW w:w="880" w:type="dxa"/>
            <w:vAlign w:val="bottom"/>
            <w:gridSpan w:val="3"/>
          </w:tcPr>
          <w:p>
            <w:pPr>
              <w:spacing w:after="0"/>
              <w:rPr>
                <w:sz w:val="11"/>
                <w:szCs w:val="11"/>
                <w:color w:val="auto"/>
              </w:rPr>
            </w:pPr>
          </w:p>
        </w:tc>
        <w:tc>
          <w:tcPr>
            <w:tcW w:w="480" w:type="dxa"/>
            <w:vAlign w:val="bottom"/>
            <w:tcBorders>
              <w:bottom w:val="single" w:sz="8" w:color="0000EE"/>
            </w:tcBorders>
            <w:gridSpan w:val="2"/>
          </w:tcPr>
          <w:p>
            <w:pPr>
              <w:spacing w:after="0" w:line="138" w:lineRule="exact"/>
              <w:rPr>
                <w:rFonts w:ascii="Arial" w:cs="Arial" w:eastAsia="Arial" w:hAnsi="Arial"/>
                <w:sz w:val="13"/>
                <w:szCs w:val="13"/>
                <w:color w:val="0000EE"/>
                <w:w w:val="87"/>
              </w:rPr>
            </w:pPr>
            <w:hyperlink w:anchor="page6">
              <w:r>
                <w:rPr>
                  <w:rFonts w:ascii="Arial" w:cs="Arial" w:eastAsia="Arial" w:hAnsi="Arial"/>
                  <w:sz w:val="13"/>
                  <w:szCs w:val="13"/>
                  <w:color w:val="0000EE"/>
                  <w:w w:val="87"/>
                </w:rPr>
                <w:t>Business</w:t>
              </w:r>
            </w:hyperlink>
          </w:p>
        </w:tc>
        <w:tc>
          <w:tcPr>
            <w:tcW w:w="3040" w:type="dxa"/>
            <w:vAlign w:val="bottom"/>
            <w:gridSpan w:val="27"/>
          </w:tcPr>
          <w:p>
            <w:pPr>
              <w:spacing w:after="0"/>
              <w:rPr>
                <w:sz w:val="11"/>
                <w:szCs w:val="11"/>
                <w:color w:val="auto"/>
              </w:rPr>
            </w:pPr>
          </w:p>
        </w:tc>
        <w:tc>
          <w:tcPr>
            <w:tcW w:w="420" w:type="dxa"/>
            <w:vAlign w:val="bottom"/>
            <w:tcBorders>
              <w:top w:val="single" w:sz="8" w:color="0000EE"/>
            </w:tcBorders>
            <w:gridSpan w:val="2"/>
          </w:tcPr>
          <w:p>
            <w:pPr>
              <w:spacing w:after="0"/>
              <w:rPr>
                <w:sz w:val="11"/>
                <w:szCs w:val="11"/>
                <w:color w:val="auto"/>
              </w:rPr>
            </w:pPr>
          </w:p>
        </w:tc>
        <w:tc>
          <w:tcPr>
            <w:tcW w:w="4460" w:type="dxa"/>
            <w:vAlign w:val="bottom"/>
            <w:gridSpan w:val="8"/>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20" w:type="dxa"/>
            <w:vAlign w:val="bottom"/>
            <w:gridSpan w:val="38"/>
          </w:tcPr>
          <w:p>
            <w:pPr>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Overview</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20" w:type="dxa"/>
            <w:vAlign w:val="bottom"/>
            <w:gridSpan w:val="38"/>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Marketed Products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20" w:type="dxa"/>
            <w:vAlign w:val="bottom"/>
            <w:gridSpan w:val="38"/>
          </w:tcPr>
          <w:p>
            <w:pPr>
              <w:spacing w:after="0" w:line="138" w:lineRule="exact"/>
              <w:rPr>
                <w:rFonts w:ascii="Arial" w:cs="Arial" w:eastAsia="Arial" w:hAnsi="Arial"/>
                <w:sz w:val="13"/>
                <w:szCs w:val="13"/>
                <w:color w:val="0000EE"/>
              </w:rPr>
            </w:pPr>
            <w:hyperlink w:anchor="page9">
              <w:r>
                <w:rPr>
                  <w:rFonts w:ascii="Arial" w:cs="Arial" w:eastAsia="Arial" w:hAnsi="Arial"/>
                  <w:sz w:val="13"/>
                  <w:szCs w:val="13"/>
                  <w:color w:val="0000EE"/>
                </w:rPr>
                <w:t>Other Sources of Revenue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Borders>
              <w:bottom w:val="single" w:sz="8" w:color="0000EE"/>
            </w:tcBorders>
            <w:gridSpan w:val="16"/>
          </w:tcPr>
          <w:p>
            <w:pPr>
              <w:spacing w:after="0" w:line="138" w:lineRule="exact"/>
              <w:rPr>
                <w:rFonts w:ascii="Arial" w:cs="Arial" w:eastAsia="Arial" w:hAnsi="Arial"/>
                <w:sz w:val="13"/>
                <w:szCs w:val="13"/>
                <w:color w:val="0000EE"/>
                <w:w w:val="89"/>
              </w:rPr>
            </w:pPr>
            <w:hyperlink w:anchor="page10">
              <w:r>
                <w:rPr>
                  <w:rFonts w:ascii="Arial" w:cs="Arial" w:eastAsia="Arial" w:hAnsi="Arial"/>
                  <w:sz w:val="13"/>
                  <w:szCs w:val="13"/>
                  <w:color w:val="0000EE"/>
                  <w:w w:val="89"/>
                </w:rPr>
                <w:t>Registrational Product Candidates</w:t>
              </w:r>
            </w:hyperlink>
          </w:p>
        </w:tc>
        <w:tc>
          <w:tcPr>
            <w:tcW w:w="6440" w:type="dxa"/>
            <w:vAlign w:val="bottom"/>
            <w:gridSpan w:val="22"/>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Borders>
              <w:bottom w:val="single" w:sz="8" w:color="0000EE"/>
            </w:tcBorders>
            <w:gridSpan w:val="20"/>
          </w:tcPr>
          <w:p>
            <w:pPr>
              <w:spacing w:after="0" w:line="138" w:lineRule="exact"/>
              <w:rPr>
                <w:rFonts w:ascii="Arial" w:cs="Arial" w:eastAsia="Arial" w:hAnsi="Arial"/>
                <w:sz w:val="13"/>
                <w:szCs w:val="13"/>
                <w:color w:val="0000EE"/>
                <w:w w:val="88"/>
              </w:rPr>
            </w:pPr>
            <w:hyperlink w:anchor="page12">
              <w:r>
                <w:rPr>
                  <w:rFonts w:ascii="Arial" w:cs="Arial" w:eastAsia="Arial" w:hAnsi="Arial"/>
                  <w:sz w:val="13"/>
                  <w:szCs w:val="13"/>
                  <w:color w:val="0000EE"/>
                  <w:w w:val="88"/>
                </w:rPr>
                <w:t>Other Research and Development Programs</w:t>
              </w:r>
            </w:hyperlink>
          </w:p>
        </w:tc>
        <w:tc>
          <w:tcPr>
            <w:tcW w:w="5920" w:type="dxa"/>
            <w:vAlign w:val="bottom"/>
            <w:gridSpan w:val="18"/>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tcBorders>
              <w:bottom w:val="single" w:sz="8" w:color="0000EE"/>
            </w:tcBorders>
            <w:gridSpan w:val="19"/>
          </w:tcPr>
          <w:p>
            <w:pPr>
              <w:spacing w:after="0" w:line="138" w:lineRule="exact"/>
              <w:rPr>
                <w:rFonts w:ascii="Arial" w:cs="Arial" w:eastAsia="Arial" w:hAnsi="Arial"/>
                <w:sz w:val="13"/>
                <w:szCs w:val="13"/>
                <w:color w:val="0000EE"/>
                <w:w w:val="89"/>
              </w:rPr>
            </w:pPr>
            <w:hyperlink w:anchor="page13">
              <w:r>
                <w:rPr>
                  <w:rFonts w:ascii="Arial" w:cs="Arial" w:eastAsia="Arial" w:hAnsi="Arial"/>
                  <w:sz w:val="13"/>
                  <w:szCs w:val="13"/>
                  <w:color w:val="0000EE"/>
                  <w:w w:val="89"/>
                </w:rPr>
                <w:t>Patents and Other Proprietary Rights</w:t>
              </w:r>
            </w:hyperlink>
          </w:p>
        </w:tc>
        <w:tc>
          <w:tcPr>
            <w:tcW w:w="6280" w:type="dxa"/>
            <w:vAlign w:val="bottom"/>
            <w:gridSpan w:val="19"/>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20" w:type="dxa"/>
            <w:vAlign w:val="bottom"/>
            <w:gridSpan w:val="38"/>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Sales, Marketing and Distribution</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Competition</w:t>
              </w:r>
            </w:hyperlink>
          </w:p>
        </w:tc>
        <w:tc>
          <w:tcPr>
            <w:tcW w:w="6460" w:type="dxa"/>
            <w:vAlign w:val="bottom"/>
            <w:gridSpan w:val="23"/>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89"/>
              </w:rPr>
            </w:pPr>
            <w:hyperlink w:anchor="page17">
              <w:r>
                <w:rPr>
                  <w:rFonts w:ascii="Arial" w:cs="Arial" w:eastAsia="Arial" w:hAnsi="Arial"/>
                  <w:sz w:val="13"/>
                  <w:szCs w:val="13"/>
                  <w:color w:val="0000EE"/>
                  <w:w w:val="89"/>
                </w:rPr>
                <w:t>Regulatory</w:t>
              </w:r>
            </w:hyperlink>
          </w:p>
        </w:tc>
        <w:tc>
          <w:tcPr>
            <w:tcW w:w="60" w:type="dxa"/>
            <w:vAlign w:val="bottom"/>
            <w:tcBorders>
              <w:top w:val="single" w:sz="8" w:color="0000EE"/>
            </w:tcBorders>
          </w:tcPr>
          <w:p>
            <w:pPr>
              <w:spacing w:after="0"/>
              <w:rPr>
                <w:sz w:val="11"/>
                <w:szCs w:val="11"/>
                <w:color w:val="auto"/>
              </w:rPr>
            </w:pPr>
          </w:p>
        </w:tc>
        <w:tc>
          <w:tcPr>
            <w:tcW w:w="7580" w:type="dxa"/>
            <w:vAlign w:val="bottom"/>
            <w:gridSpan w:val="32"/>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tcBorders>
              <w:bottom w:val="single" w:sz="8" w:color="0000EE"/>
            </w:tcBorders>
            <w:gridSpan w:val="17"/>
          </w:tcPr>
          <w:p>
            <w:pPr>
              <w:spacing w:after="0" w:line="138" w:lineRule="exact"/>
              <w:rPr>
                <w:rFonts w:ascii="Arial" w:cs="Arial" w:eastAsia="Arial" w:hAnsi="Arial"/>
                <w:sz w:val="13"/>
                <w:szCs w:val="13"/>
                <w:color w:val="0000EE"/>
                <w:w w:val="91"/>
              </w:rPr>
            </w:pPr>
            <w:hyperlink w:anchor="page21">
              <w:r>
                <w:rPr>
                  <w:rFonts w:ascii="Arial" w:cs="Arial" w:eastAsia="Arial" w:hAnsi="Arial"/>
                  <w:sz w:val="13"/>
                  <w:szCs w:val="13"/>
                  <w:color w:val="0000EE"/>
                  <w:w w:val="91"/>
                </w:rPr>
                <w:t>Manufacturing and Raw Materials</w:t>
              </w:r>
            </w:hyperlink>
          </w:p>
        </w:tc>
        <w:tc>
          <w:tcPr>
            <w:tcW w:w="6420" w:type="dxa"/>
            <w:vAlign w:val="bottom"/>
            <w:gridSpan w:val="21"/>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22">
              <w:r>
                <w:rPr>
                  <w:rFonts w:ascii="Arial" w:cs="Arial" w:eastAsia="Arial" w:hAnsi="Arial"/>
                  <w:sz w:val="13"/>
                  <w:szCs w:val="13"/>
                  <w:color w:val="0000EE"/>
                  <w:w w:val="89"/>
                </w:rPr>
                <w:t>Our Employees</w:t>
              </w:r>
            </w:hyperlink>
          </w:p>
        </w:tc>
        <w:tc>
          <w:tcPr>
            <w:tcW w:w="7400" w:type="dxa"/>
            <w:vAlign w:val="bottom"/>
            <w:gridSpan w:val="29"/>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20" w:type="dxa"/>
            <w:vAlign w:val="bottom"/>
            <w:gridSpan w:val="38"/>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Our Executive Officers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0"/>
              </w:rPr>
            </w:pPr>
            <w:hyperlink w:anchor="page24">
              <w:r>
                <w:rPr>
                  <w:rFonts w:ascii="Arial" w:cs="Arial" w:eastAsia="Arial" w:hAnsi="Arial"/>
                  <w:sz w:val="13"/>
                  <w:szCs w:val="13"/>
                  <w:color w:val="0000EE"/>
                  <w:w w:val="90"/>
                </w:rPr>
                <w:t>Item 1A.</w:t>
              </w:r>
            </w:hyperlink>
          </w:p>
        </w:tc>
        <w:tc>
          <w:tcPr>
            <w:tcW w:w="780" w:type="dxa"/>
            <w:vAlign w:val="bottom"/>
            <w:gridSpan w:val="2"/>
          </w:tcPr>
          <w:p>
            <w:pPr>
              <w:spacing w:after="0"/>
              <w:rPr>
                <w:sz w:val="11"/>
                <w:szCs w:val="11"/>
                <w:color w:val="auto"/>
              </w:rPr>
            </w:pPr>
          </w:p>
        </w:tc>
        <w:tc>
          <w:tcPr>
            <w:tcW w:w="8400" w:type="dxa"/>
            <w:vAlign w:val="bottom"/>
            <w:gridSpan w:val="39"/>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Risk Factors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0"/>
              </w:rPr>
            </w:pPr>
            <w:hyperlink w:anchor="page34">
              <w:r>
                <w:rPr>
                  <w:rFonts w:ascii="Arial" w:cs="Arial" w:eastAsia="Arial" w:hAnsi="Arial"/>
                  <w:sz w:val="13"/>
                  <w:szCs w:val="13"/>
                  <w:color w:val="0000EE"/>
                  <w:w w:val="90"/>
                </w:rPr>
                <w:t>Item 1B.</w:t>
              </w:r>
            </w:hyperlink>
          </w:p>
        </w:tc>
        <w:tc>
          <w:tcPr>
            <w:tcW w:w="780" w:type="dxa"/>
            <w:vAlign w:val="bottom"/>
            <w:gridSpan w:val="2"/>
          </w:tcPr>
          <w:p>
            <w:pPr>
              <w:spacing w:after="0"/>
              <w:rPr>
                <w:sz w:val="11"/>
                <w:szCs w:val="11"/>
                <w:color w:val="auto"/>
              </w:rPr>
            </w:pPr>
          </w:p>
        </w:tc>
        <w:tc>
          <w:tcPr>
            <w:tcW w:w="8400" w:type="dxa"/>
            <w:vAlign w:val="bottom"/>
            <w:gridSpan w:val="39"/>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Unresolved Staff Comments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5"/>
              </w:rPr>
            </w:pPr>
            <w:hyperlink w:anchor="page35">
              <w:r>
                <w:rPr>
                  <w:rFonts w:ascii="Arial" w:cs="Arial" w:eastAsia="Arial" w:hAnsi="Arial"/>
                  <w:sz w:val="13"/>
                  <w:szCs w:val="13"/>
                  <w:color w:val="0000EE"/>
                  <w:w w:val="85"/>
                </w:rPr>
                <w:t>Item 2.</w:t>
              </w:r>
            </w:hyperlink>
          </w:p>
        </w:tc>
        <w:tc>
          <w:tcPr>
            <w:tcW w:w="100" w:type="dxa"/>
            <w:vAlign w:val="bottom"/>
            <w:tcBorders>
              <w:top w:val="single" w:sz="8" w:color="0000EE"/>
            </w:tcBorders>
          </w:tcPr>
          <w:p>
            <w:pPr>
              <w:spacing w:after="0"/>
              <w:rPr>
                <w:sz w:val="11"/>
                <w:szCs w:val="11"/>
                <w:color w:val="auto"/>
              </w:rPr>
            </w:pPr>
          </w:p>
        </w:tc>
        <w:tc>
          <w:tcPr>
            <w:tcW w:w="780" w:type="dxa"/>
            <w:vAlign w:val="bottom"/>
            <w:gridSpan w:val="2"/>
          </w:tcPr>
          <w:p>
            <w:pPr>
              <w:spacing w:after="0"/>
              <w:rPr>
                <w:sz w:val="11"/>
                <w:szCs w:val="11"/>
                <w:color w:val="auto"/>
              </w:rPr>
            </w:pPr>
          </w:p>
        </w:tc>
        <w:tc>
          <w:tcPr>
            <w:tcW w:w="5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35">
              <w:r>
                <w:rPr>
                  <w:rFonts w:ascii="Arial" w:cs="Arial" w:eastAsia="Arial" w:hAnsi="Arial"/>
                  <w:sz w:val="13"/>
                  <w:szCs w:val="13"/>
                  <w:color w:val="0000EE"/>
                  <w:w w:val="87"/>
                </w:rPr>
                <w:t>Properties</w:t>
              </w:r>
            </w:hyperlink>
          </w:p>
        </w:tc>
        <w:tc>
          <w:tcPr>
            <w:tcW w:w="1000" w:type="dxa"/>
            <w:vAlign w:val="bottom"/>
            <w:tcBorders>
              <w:top w:val="single" w:sz="8" w:color="0000EE"/>
            </w:tcBorders>
            <w:gridSpan w:val="11"/>
          </w:tcPr>
          <w:p>
            <w:pPr>
              <w:spacing w:after="0"/>
              <w:rPr>
                <w:sz w:val="11"/>
                <w:szCs w:val="11"/>
                <w:color w:val="auto"/>
              </w:rPr>
            </w:pPr>
          </w:p>
        </w:tc>
        <w:tc>
          <w:tcPr>
            <w:tcW w:w="6860" w:type="dxa"/>
            <w:vAlign w:val="bottom"/>
            <w:gridSpan w:val="25"/>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35">
              <w:r>
                <w:rPr>
                  <w:rFonts w:ascii="Arial" w:cs="Arial" w:eastAsia="Arial" w:hAnsi="Arial"/>
                  <w:sz w:val="13"/>
                  <w:szCs w:val="13"/>
                  <w:color w:val="0000EE"/>
                  <w:w w:val="85"/>
                </w:rPr>
                <w:t>Item 3.</w:t>
              </w:r>
            </w:hyperlink>
          </w:p>
        </w:tc>
        <w:tc>
          <w:tcPr>
            <w:tcW w:w="880" w:type="dxa"/>
            <w:vAlign w:val="bottom"/>
            <w:gridSpan w:val="3"/>
          </w:tcPr>
          <w:p>
            <w:pPr>
              <w:spacing w:after="0"/>
              <w:rPr>
                <w:sz w:val="11"/>
                <w:szCs w:val="11"/>
                <w:color w:val="auto"/>
              </w:rPr>
            </w:pPr>
          </w:p>
        </w:tc>
        <w:tc>
          <w:tcPr>
            <w:tcW w:w="98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35">
              <w:r>
                <w:rPr>
                  <w:rFonts w:ascii="Arial" w:cs="Arial" w:eastAsia="Arial" w:hAnsi="Arial"/>
                  <w:sz w:val="13"/>
                  <w:szCs w:val="13"/>
                  <w:color w:val="0000EE"/>
                  <w:w w:val="89"/>
                </w:rPr>
                <w:t>Legal Proceedings</w:t>
              </w:r>
            </w:hyperlink>
          </w:p>
        </w:tc>
        <w:tc>
          <w:tcPr>
            <w:tcW w:w="7420" w:type="dxa"/>
            <w:vAlign w:val="bottom"/>
            <w:gridSpan w:val="30"/>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Item 4.</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Submission of Matters to a Vote of Security Holders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4"/>
          </w:tcPr>
          <w:p>
            <w:pPr>
              <w:jc w:val="center"/>
              <w:spacing w:after="0"/>
              <w:rPr>
                <w:rFonts w:ascii="Arial" w:cs="Arial" w:eastAsia="Arial" w:hAnsi="Arial"/>
                <w:sz w:val="13"/>
                <w:szCs w:val="13"/>
                <w:b w:val="1"/>
                <w:bCs w:val="1"/>
                <w:color w:val="0000EE"/>
              </w:rPr>
            </w:pPr>
            <w:hyperlink w:anchor="page36">
              <w:r>
                <w:rPr>
                  <w:rFonts w:ascii="Arial" w:cs="Arial" w:eastAsia="Arial" w:hAnsi="Arial"/>
                  <w:sz w:val="13"/>
                  <w:szCs w:val="13"/>
                  <w:b w:val="1"/>
                  <w:bCs w:val="1"/>
                  <w:color w:val="0000EE"/>
                </w:rPr>
                <w:t>PART II</w:t>
              </w:r>
            </w:hyperlink>
          </w:p>
        </w:tc>
        <w:tc>
          <w:tcPr>
            <w:tcW w:w="4420" w:type="dxa"/>
            <w:vAlign w:val="bottom"/>
            <w:gridSpan w:val="7"/>
          </w:tcPr>
          <w:p>
            <w:pPr>
              <w:spacing w:after="0"/>
              <w:rPr>
                <w:sz w:val="22"/>
                <w:szCs w:val="22"/>
                <w:color w:val="auto"/>
              </w:rPr>
            </w:pPr>
          </w:p>
        </w:tc>
        <w:tc>
          <w:tcPr>
            <w:tcW w:w="320" w:type="dxa"/>
            <w:vAlign w:val="bottom"/>
          </w:tcPr>
          <w:p>
            <w:pPr>
              <w:spacing w:after="0"/>
              <w:rPr>
                <w:sz w:val="22"/>
                <w:szCs w:val="22"/>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36">
              <w:r>
                <w:rPr>
                  <w:rFonts w:ascii="Arial" w:cs="Arial" w:eastAsia="Arial" w:hAnsi="Arial"/>
                  <w:sz w:val="13"/>
                  <w:szCs w:val="13"/>
                  <w:color w:val="0000EE"/>
                  <w:w w:val="85"/>
                </w:rPr>
                <w:t>Item 5.</w:t>
              </w:r>
            </w:hyperlink>
          </w:p>
        </w:tc>
        <w:tc>
          <w:tcPr>
            <w:tcW w:w="880" w:type="dxa"/>
            <w:vAlign w:val="bottom"/>
            <w:gridSpan w:val="3"/>
          </w:tcPr>
          <w:p>
            <w:pPr>
              <w:spacing w:after="0"/>
              <w:rPr>
                <w:sz w:val="11"/>
                <w:szCs w:val="11"/>
                <w:color w:val="auto"/>
              </w:rPr>
            </w:pPr>
          </w:p>
        </w:tc>
        <w:tc>
          <w:tcPr>
            <w:tcW w:w="8400" w:type="dxa"/>
            <w:vAlign w:val="bottom"/>
            <w:gridSpan w:val="39"/>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Market for Registrant’s Common Equity, Related Stockholder Matters and Issuer Purchases of Equity Securities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5"/>
              </w:rPr>
            </w:pPr>
            <w:hyperlink w:anchor="page38">
              <w:r>
                <w:rPr>
                  <w:rFonts w:ascii="Arial" w:cs="Arial" w:eastAsia="Arial" w:hAnsi="Arial"/>
                  <w:sz w:val="13"/>
                  <w:szCs w:val="13"/>
                  <w:color w:val="0000EE"/>
                  <w:w w:val="85"/>
                </w:rPr>
                <w:t>Item 6.</w:t>
              </w:r>
            </w:hyperlink>
          </w:p>
        </w:tc>
        <w:tc>
          <w:tcPr>
            <w:tcW w:w="880" w:type="dxa"/>
            <w:vAlign w:val="bottom"/>
            <w:gridSpan w:val="3"/>
          </w:tcPr>
          <w:p>
            <w:pPr>
              <w:spacing w:after="0"/>
              <w:rPr>
                <w:sz w:val="11"/>
                <w:szCs w:val="11"/>
                <w:color w:val="auto"/>
              </w:rPr>
            </w:pPr>
          </w:p>
        </w:tc>
        <w:tc>
          <w:tcPr>
            <w:tcW w:w="198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0"/>
              </w:rPr>
            </w:pPr>
            <w:hyperlink w:anchor="page38">
              <w:r>
                <w:rPr>
                  <w:rFonts w:ascii="Arial" w:cs="Arial" w:eastAsia="Arial" w:hAnsi="Arial"/>
                  <w:sz w:val="13"/>
                  <w:szCs w:val="13"/>
                  <w:color w:val="0000EE"/>
                  <w:w w:val="90"/>
                </w:rPr>
                <w:t>Selected Consolidated Financial Data</w:t>
              </w:r>
            </w:hyperlink>
          </w:p>
        </w:tc>
        <w:tc>
          <w:tcPr>
            <w:tcW w:w="3900" w:type="dxa"/>
            <w:vAlign w:val="bottom"/>
            <w:tcBorders>
              <w:top w:val="single" w:sz="8" w:color="0000EE"/>
            </w:tcBorders>
            <w:gridSpan w:val="20"/>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39">
              <w:r>
                <w:rPr>
                  <w:rFonts w:ascii="Arial" w:cs="Arial" w:eastAsia="Arial" w:hAnsi="Arial"/>
                  <w:sz w:val="13"/>
                  <w:szCs w:val="13"/>
                  <w:color w:val="0000EE"/>
                  <w:w w:val="85"/>
                </w:rPr>
                <w:t>Item 7.</w:t>
              </w:r>
            </w:hyperlink>
          </w:p>
        </w:tc>
        <w:tc>
          <w:tcPr>
            <w:tcW w:w="880" w:type="dxa"/>
            <w:vAlign w:val="bottom"/>
            <w:gridSpan w:val="3"/>
          </w:tcPr>
          <w:p>
            <w:pPr>
              <w:spacing w:after="0"/>
              <w:rPr>
                <w:sz w:val="11"/>
                <w:szCs w:val="11"/>
                <w:color w:val="auto"/>
              </w:rPr>
            </w:pPr>
          </w:p>
        </w:tc>
        <w:tc>
          <w:tcPr>
            <w:tcW w:w="8400" w:type="dxa"/>
            <w:vAlign w:val="bottom"/>
            <w:gridSpan w:val="39"/>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Management’s Discussion and Analysis of Financial Condition and Results of Operations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0"/>
              </w:rPr>
            </w:pPr>
            <w:hyperlink w:anchor="page66">
              <w:r>
                <w:rPr>
                  <w:rFonts w:ascii="Arial" w:cs="Arial" w:eastAsia="Arial" w:hAnsi="Arial"/>
                  <w:sz w:val="13"/>
                  <w:szCs w:val="13"/>
                  <w:color w:val="0000EE"/>
                  <w:w w:val="90"/>
                </w:rPr>
                <w:t>Item 7A.</w:t>
              </w:r>
            </w:hyperlink>
          </w:p>
        </w:tc>
        <w:tc>
          <w:tcPr>
            <w:tcW w:w="780" w:type="dxa"/>
            <w:vAlign w:val="bottom"/>
            <w:gridSpan w:val="2"/>
          </w:tcPr>
          <w:p>
            <w:pPr>
              <w:spacing w:after="0"/>
              <w:rPr>
                <w:sz w:val="11"/>
                <w:szCs w:val="11"/>
                <w:color w:val="auto"/>
              </w:rPr>
            </w:pPr>
          </w:p>
        </w:tc>
        <w:tc>
          <w:tcPr>
            <w:tcW w:w="3180" w:type="dxa"/>
            <w:vAlign w:val="bottom"/>
            <w:tcBorders>
              <w:bottom w:val="single" w:sz="8" w:color="0000EE"/>
            </w:tcBorders>
            <w:gridSpan w:val="25"/>
          </w:tcPr>
          <w:p>
            <w:pPr>
              <w:spacing w:after="0" w:line="138"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Quantitative and Qualitative Disclosures About Market Risk</w:t>
              </w:r>
            </w:hyperlink>
          </w:p>
        </w:tc>
        <w:tc>
          <w:tcPr>
            <w:tcW w:w="5220" w:type="dxa"/>
            <w:vAlign w:val="bottom"/>
            <w:gridSpan w:val="14"/>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67">
              <w:r>
                <w:rPr>
                  <w:rFonts w:ascii="Arial" w:cs="Arial" w:eastAsia="Arial" w:hAnsi="Arial"/>
                  <w:sz w:val="13"/>
                  <w:szCs w:val="13"/>
                  <w:color w:val="0000EE"/>
                  <w:w w:val="85"/>
                </w:rPr>
                <w:t>Item 8.</w:t>
              </w:r>
            </w:hyperlink>
          </w:p>
        </w:tc>
        <w:tc>
          <w:tcPr>
            <w:tcW w:w="880" w:type="dxa"/>
            <w:vAlign w:val="bottom"/>
            <w:gridSpan w:val="3"/>
          </w:tcPr>
          <w:p>
            <w:pPr>
              <w:spacing w:after="0"/>
              <w:rPr>
                <w:sz w:val="11"/>
                <w:szCs w:val="11"/>
                <w:color w:val="auto"/>
              </w:rPr>
            </w:pPr>
          </w:p>
        </w:tc>
        <w:tc>
          <w:tcPr>
            <w:tcW w:w="3160" w:type="dxa"/>
            <w:vAlign w:val="bottom"/>
            <w:tcBorders>
              <w:bottom w:val="single" w:sz="8" w:color="0000EE"/>
            </w:tcBorders>
            <w:gridSpan w:val="24"/>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Consolidated Financial Statements and Supplementary Data</w:t>
              </w:r>
            </w:hyperlink>
          </w:p>
        </w:tc>
        <w:tc>
          <w:tcPr>
            <w:tcW w:w="5240" w:type="dxa"/>
            <w:vAlign w:val="bottom"/>
            <w:gridSpan w:val="15"/>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67">
              <w:r>
                <w:rPr>
                  <w:rFonts w:ascii="Arial" w:cs="Arial" w:eastAsia="Arial" w:hAnsi="Arial"/>
                  <w:sz w:val="13"/>
                  <w:szCs w:val="13"/>
                  <w:color w:val="0000EE"/>
                  <w:w w:val="85"/>
                </w:rPr>
                <w:t>Item 9.</w:t>
              </w:r>
            </w:hyperlink>
          </w:p>
        </w:tc>
        <w:tc>
          <w:tcPr>
            <w:tcW w:w="880" w:type="dxa"/>
            <w:vAlign w:val="bottom"/>
            <w:gridSpan w:val="3"/>
          </w:tcPr>
          <w:p>
            <w:pPr>
              <w:spacing w:after="0"/>
              <w:rPr>
                <w:sz w:val="11"/>
                <w:szCs w:val="11"/>
                <w:color w:val="auto"/>
              </w:rPr>
            </w:pPr>
          </w:p>
        </w:tc>
        <w:tc>
          <w:tcPr>
            <w:tcW w:w="8400" w:type="dxa"/>
            <w:vAlign w:val="bottom"/>
            <w:gridSpan w:val="39"/>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Changes in and Disagreements with Accountants on Accounting and Financial Disclosure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Item 9A.</w:t>
              </w:r>
            </w:hyperlink>
          </w:p>
        </w:tc>
        <w:tc>
          <w:tcPr>
            <w:tcW w:w="780" w:type="dxa"/>
            <w:vAlign w:val="bottom"/>
            <w:gridSpan w:val="2"/>
          </w:tcPr>
          <w:p>
            <w:pPr>
              <w:spacing w:after="0"/>
              <w:rPr>
                <w:sz w:val="11"/>
                <w:szCs w:val="11"/>
                <w:color w:val="auto"/>
              </w:rPr>
            </w:pPr>
          </w:p>
        </w:tc>
        <w:tc>
          <w:tcPr>
            <w:tcW w:w="1300" w:type="dxa"/>
            <w:vAlign w:val="bottom"/>
            <w:tcBorders>
              <w:bottom w:val="single" w:sz="8" w:color="0000EE"/>
            </w:tcBorders>
            <w:gridSpan w:val="12"/>
          </w:tcPr>
          <w:p>
            <w:pPr>
              <w:spacing w:after="0" w:line="138" w:lineRule="exact"/>
              <w:rPr>
                <w:rFonts w:ascii="Arial" w:cs="Arial" w:eastAsia="Arial" w:hAnsi="Arial"/>
                <w:sz w:val="13"/>
                <w:szCs w:val="13"/>
                <w:color w:val="0000EE"/>
                <w:w w:val="88"/>
              </w:rPr>
            </w:pPr>
            <w:hyperlink w:anchor="page67">
              <w:r>
                <w:rPr>
                  <w:rFonts w:ascii="Arial" w:cs="Arial" w:eastAsia="Arial" w:hAnsi="Arial"/>
                  <w:sz w:val="13"/>
                  <w:szCs w:val="13"/>
                  <w:color w:val="0000EE"/>
                  <w:w w:val="88"/>
                </w:rPr>
                <w:t>Controls and Procedures</w:t>
              </w:r>
            </w:hyperlink>
          </w:p>
        </w:tc>
        <w:tc>
          <w:tcPr>
            <w:tcW w:w="7100" w:type="dxa"/>
            <w:vAlign w:val="bottom"/>
            <w:gridSpan w:val="27"/>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Item 9B.</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Other Information</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380" w:type="dxa"/>
            <w:vAlign w:val="bottom"/>
            <w:gridSpan w:val="5"/>
          </w:tcPr>
          <w:p>
            <w:pPr>
              <w:spacing w:after="0"/>
              <w:rPr>
                <w:sz w:val="22"/>
                <w:szCs w:val="22"/>
                <w:color w:val="auto"/>
              </w:rPr>
            </w:pPr>
          </w:p>
        </w:tc>
        <w:tc>
          <w:tcPr>
            <w:tcW w:w="320" w:type="dxa"/>
            <w:vAlign w:val="bottom"/>
          </w:tcPr>
          <w:p>
            <w:pPr>
              <w:spacing w:after="0"/>
              <w:rPr>
                <w:sz w:val="22"/>
                <w:szCs w:val="22"/>
                <w:color w:val="auto"/>
              </w:rPr>
            </w:pP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10.</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Directors, Executive Officers and Corporate Governance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72"/>
              </w:rPr>
            </w:pPr>
            <w:hyperlink w:anchor="page69">
              <w:r>
                <w:rPr>
                  <w:rFonts w:ascii="Arial" w:cs="Arial" w:eastAsia="Arial" w:hAnsi="Arial"/>
                  <w:sz w:val="13"/>
                  <w:szCs w:val="13"/>
                  <w:color w:val="0000EE"/>
                  <w:w w:val="72"/>
                </w:rPr>
                <w:t>Item 11.</w:t>
              </w:r>
            </w:hyperlink>
          </w:p>
        </w:tc>
        <w:tc>
          <w:tcPr>
            <w:tcW w:w="880" w:type="dxa"/>
            <w:vAlign w:val="bottom"/>
            <w:gridSpan w:val="3"/>
          </w:tcPr>
          <w:p>
            <w:pPr>
              <w:spacing w:after="0"/>
              <w:rPr>
                <w:sz w:val="11"/>
                <w:szCs w:val="11"/>
                <w:color w:val="auto"/>
              </w:rPr>
            </w:pPr>
          </w:p>
        </w:tc>
        <w:tc>
          <w:tcPr>
            <w:tcW w:w="1380" w:type="dxa"/>
            <w:vAlign w:val="bottom"/>
            <w:tcBorders>
              <w:top w:val="single" w:sz="8" w:color="0000EE"/>
              <w:bottom w:val="single" w:sz="8" w:color="0000EE"/>
            </w:tcBorders>
            <w:gridSpan w:val="13"/>
          </w:tcPr>
          <w:p>
            <w:pPr>
              <w:spacing w:after="0" w:line="138" w:lineRule="exact"/>
              <w:rPr>
                <w:rFonts w:ascii="Arial" w:cs="Arial" w:eastAsia="Arial" w:hAnsi="Arial"/>
                <w:sz w:val="13"/>
                <w:szCs w:val="13"/>
                <w:color w:val="0000EE"/>
                <w:w w:val="93"/>
              </w:rPr>
            </w:pPr>
            <w:hyperlink w:anchor="page69">
              <w:r>
                <w:rPr>
                  <w:rFonts w:ascii="Arial" w:cs="Arial" w:eastAsia="Arial" w:hAnsi="Arial"/>
                  <w:sz w:val="13"/>
                  <w:szCs w:val="13"/>
                  <w:color w:val="0000EE"/>
                  <w:w w:val="93"/>
                </w:rPr>
                <w:t>Executive Compensation</w:t>
              </w:r>
            </w:hyperlink>
          </w:p>
        </w:tc>
        <w:tc>
          <w:tcPr>
            <w:tcW w:w="1600" w:type="dxa"/>
            <w:vAlign w:val="bottom"/>
            <w:tcBorders>
              <w:top w:val="single" w:sz="8" w:color="0000EE"/>
            </w:tcBorders>
            <w:gridSpan w:val="10"/>
          </w:tcPr>
          <w:p>
            <w:pPr>
              <w:spacing w:after="0"/>
              <w:rPr>
                <w:sz w:val="11"/>
                <w:szCs w:val="11"/>
                <w:color w:val="auto"/>
              </w:rPr>
            </w:pPr>
          </w:p>
        </w:tc>
        <w:tc>
          <w:tcPr>
            <w:tcW w:w="5420" w:type="dxa"/>
            <w:vAlign w:val="bottom"/>
            <w:gridSpan w:val="16"/>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12.</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Security Ownership of Certain Beneficial Owners and Management and Related Stockholder Matters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13.</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Certain Relationships and Related Transactions, and Director Independence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300" w:type="dxa"/>
            <w:vAlign w:val="bottom"/>
            <w:gridSpan w:val="11"/>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14.</w:t>
              </w:r>
            </w:hyperlink>
          </w:p>
        </w:tc>
        <w:tc>
          <w:tcPr>
            <w:tcW w:w="8400" w:type="dxa"/>
            <w:vAlign w:val="bottom"/>
            <w:gridSpan w:val="3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Principal Accountant Fees and Services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20" w:type="dxa"/>
            <w:vAlign w:val="bottom"/>
            <w:gridSpan w:val="12"/>
          </w:tcPr>
          <w:p>
            <w:pPr>
              <w:jc w:val="center"/>
              <w:ind w:right="440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IV</w:t>
              </w:r>
            </w:hyperlink>
          </w:p>
        </w:tc>
        <w:tc>
          <w:tcPr>
            <w:tcW w:w="320" w:type="dxa"/>
            <w:vAlign w:val="bottom"/>
          </w:tcPr>
          <w:p>
            <w:pPr>
              <w:spacing w:after="0"/>
              <w:rPr>
                <w:sz w:val="22"/>
                <w:szCs w:val="22"/>
                <w:color w:val="auto"/>
              </w:rPr>
            </w:pP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15.</w:t>
              </w:r>
            </w:hyperlink>
          </w:p>
        </w:tc>
        <w:tc>
          <w:tcPr>
            <w:tcW w:w="3500" w:type="dxa"/>
            <w:vAlign w:val="bottom"/>
            <w:gridSpan w:val="28"/>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5"/>
          </w:tcPr>
          <w:p>
            <w:pPr>
              <w:spacing w:after="0"/>
              <w:rPr>
                <w:sz w:val="11"/>
                <w:szCs w:val="11"/>
                <w:color w:val="auto"/>
              </w:rPr>
            </w:pPr>
          </w:p>
        </w:tc>
        <w:tc>
          <w:tcPr>
            <w:tcW w:w="4400" w:type="dxa"/>
            <w:vAlign w:val="bottom"/>
            <w:gridSpan w:val="6"/>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65</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5"/>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Signatures</w:t>
              </w:r>
            </w:hyperlink>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9660" w:type="dxa"/>
            <w:vAlign w:val="bottom"/>
            <w:gridSpan w:val="44"/>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Consolidated Financial Statements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F-1</w:t>
            </w:r>
          </w:p>
        </w:tc>
      </w:tr>
      <w:tr>
        <w:trPr>
          <w:trHeight w:val="20"/>
        </w:trPr>
        <w:tc>
          <w:tcPr>
            <w:tcW w:w="40" w:type="dxa"/>
            <w:vAlign w:val="bottom"/>
            <w:shd w:val="clear" w:color="auto" w:fill="0000EE"/>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9620" w:type="dxa"/>
            <w:vAlign w:val="bottom"/>
            <w:gridSpan w:val="43"/>
          </w:tcPr>
          <w:p>
            <w:pPr>
              <w:spacing w:after="0" w:line="138" w:lineRule="exact"/>
              <w:rPr>
                <w:sz w:val="20"/>
                <w:szCs w:val="20"/>
                <w:color w:val="auto"/>
              </w:rPr>
            </w:pPr>
            <w:r>
              <w:rPr>
                <w:rFonts w:ascii="Arial" w:cs="Arial" w:eastAsia="Arial" w:hAnsi="Arial"/>
                <w:sz w:val="13"/>
                <w:szCs w:val="13"/>
                <w:color w:val="0000EE"/>
              </w:rPr>
              <w:t>Ex-10.50 Transition Agreement, dated as of January 4, 2010</w:t>
            </w:r>
          </w:p>
        </w:tc>
        <w:tc>
          <w:tcPr>
            <w:tcW w:w="32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gridSpan w:val="19"/>
            <w:shd w:val="clear" w:color="auto" w:fill="0000EE"/>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9620" w:type="dxa"/>
            <w:vAlign w:val="bottom"/>
            <w:gridSpan w:val="43"/>
          </w:tcPr>
          <w:p>
            <w:pPr>
              <w:spacing w:after="0" w:line="138" w:lineRule="exact"/>
              <w:rPr>
                <w:sz w:val="20"/>
                <w:szCs w:val="20"/>
                <w:color w:val="auto"/>
              </w:rPr>
            </w:pPr>
            <w:r>
              <w:rPr>
                <w:rFonts w:ascii="Arial" w:cs="Arial" w:eastAsia="Arial" w:hAnsi="Arial"/>
                <w:sz w:val="13"/>
                <w:szCs w:val="13"/>
                <w:color w:val="0000EE"/>
              </w:rPr>
              <w:t>EX-10.52 Letter regarding employment arrangement of Robert Hamm dated April 1, 2009</w:t>
            </w:r>
          </w:p>
        </w:tc>
        <w:tc>
          <w:tcPr>
            <w:tcW w:w="32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4620" w:type="dxa"/>
            <w:vAlign w:val="bottom"/>
            <w:gridSpan w:val="30"/>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5060" w:type="dxa"/>
            <w:vAlign w:val="bottom"/>
            <w:tcBorders>
              <w:bottom w:val="single" w:sz="8" w:color="0000EE"/>
            </w:tcBorders>
            <w:gridSpan w:val="34"/>
          </w:tcPr>
          <w:p>
            <w:pPr>
              <w:spacing w:after="0" w:line="138" w:lineRule="exact"/>
              <w:rPr>
                <w:sz w:val="20"/>
                <w:szCs w:val="20"/>
                <w:color w:val="auto"/>
              </w:rPr>
            </w:pPr>
            <w:r>
              <w:rPr>
                <w:rFonts w:ascii="Arial" w:cs="Arial" w:eastAsia="Arial" w:hAnsi="Arial"/>
                <w:sz w:val="13"/>
                <w:szCs w:val="13"/>
                <w:color w:val="0000EE"/>
                <w:w w:val="88"/>
              </w:rPr>
              <w:t>Ex-10.58 Letter regarding employment arrangement of Susan Alexander dated December 13, 2005</w:t>
            </w:r>
          </w:p>
        </w:tc>
        <w:tc>
          <w:tcPr>
            <w:tcW w:w="4560" w:type="dxa"/>
            <w:vAlign w:val="bottom"/>
            <w:gridSpan w:val="9"/>
          </w:tcPr>
          <w:p>
            <w:pPr>
              <w:spacing w:after="0"/>
              <w:rPr>
                <w:sz w:val="11"/>
                <w:szCs w:val="11"/>
                <w:color w:val="auto"/>
              </w:rPr>
            </w:pPr>
          </w:p>
        </w:tc>
        <w:tc>
          <w:tcPr>
            <w:tcW w:w="3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 Consent of PricewaterhouseCoopers LLP</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Section 302 Certification of the Chief Executive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Section 302 Certification of the Chief Financial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Section 906 Certification of the Chief Executive Officer and the Chief Financial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REGARDING FORWARD-LOOKING STATEMENTS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historical information, this report contains forward-looking statements that are based on our current beliefs and expectations. These forward-looking statements do not relate strictly to historical or current facts and they may be accompanied by such words as “anticipate,” “believe,” “estimate,” “expect,” “forecast,” “intend,” “may,” “plan,” “project,” “target,” “will” and other words and terms of similar meaning. Reference is made in particular to forward-looking statements regarding:</w:t>
      </w:r>
    </w:p>
    <w:p>
      <w:pPr>
        <w:spacing w:after="0" w:line="67" w:lineRule="exact"/>
        <w:rPr>
          <w:sz w:val="20"/>
          <w:szCs w:val="20"/>
          <w:color w:val="auto"/>
        </w:rPr>
      </w:pPr>
    </w:p>
    <w:p>
      <w:pPr>
        <w:ind w:left="1280" w:right="24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anticipated level, mix and timing of future product sales, royalty revenues, milestone payments, expenses, liabilities, contractual obligations and amortization of intangible assets;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growth trends for TYSABRI and our ability to improve the benefit-risk profile of TYSABRI;</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assumed remaining life of the core technology relating to AVONEX;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markets for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competitive conditions and the development, timing and impact of competitive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incidence, timing, outcome and impact of litigation, proceedings related to patents and other intellectual property rights, tax assessments and other legal proceedings;</w:t>
      </w:r>
    </w:p>
    <w:p>
      <w:pPr>
        <w:spacing w:after="0" w:line="97" w:lineRule="exact"/>
        <w:rPr>
          <w:rFonts w:ascii="Arial" w:cs="Arial" w:eastAsia="Arial" w:hAnsi="Arial"/>
          <w:sz w:val="12"/>
          <w:szCs w:val="12"/>
          <w:color w:val="auto"/>
        </w:rPr>
      </w:pPr>
    </w:p>
    <w:p>
      <w:pPr>
        <w:ind w:left="1280" w:right="98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effective tax rate for future periods, our ability to realize the benefits of our deferred tax assets and the treatment of our undistributed foreign earnings of our non-U.S. subsidiaries;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timing and impact of accounting standards;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design, costs, development and timing of therapeutic areas and indications targeted by programs in our clinical pipeline;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outcome and impact of healthcare reform efforts;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timing and outcome of regulatory filings and meetings with regulatory authorities;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finance our operations, meet our manufacturing needs and source funding for such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that our Weston facility will have on our operating expenses and the timing of occupancy;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status, intended use and financial impact of our manufacturing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share repurchase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drivers for growing our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plans to expend additional funds and resources on external business development and research opportunities.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These forward-looking statements are based on our current beliefs and expectations and involve risks and uncertainties that could cause actual results to differ materially from those reflected in such forward-looking statements. Important factors that could cause actual results to differ from our expectations and could negatively impact our financial position and results of operations are discussed in the “Risk Factors” section of this report and elsewhere in this report.</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Forward-looking statements, like all statements in this report, speak only as of the date of this report, unless another date is indicated. Unless required by law, we do not undertake any obligation to publicly update any forward-looking statements, whether as a result of new information, future events, or otherwise.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REGARDING COMPANY AND PRODUCT REFERENCES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Throughout this report, “Biogen Idec,” “we,” “us” and “our” refer to Biogen Idec Inc. and its consolidated subsidiaries, “RITUXAN” refers to both RITUXAN (the trade name for rituximab in the U.S., Canada and Japan) and MabThera (the trade name for rituximab outside the U.S., Canada and Japan), and “ANGIOMAX” refers to both ANGIOMAX (the trade name for bivalirudin in the U.S., Canada and Latin America) and ANGIOX (the trade name for bivalirudin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REGARDING TRADEMARKS</w:t>
      </w:r>
    </w:p>
    <w:p>
      <w:pPr>
        <w:spacing w:after="0" w:line="98"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RITUXAN</w:t>
      </w:r>
      <w:r>
        <w:rPr>
          <w:rFonts w:ascii="Arial" w:cs="Arial" w:eastAsia="Arial" w:hAnsi="Arial"/>
          <w:sz w:val="11"/>
          <w:szCs w:val="11"/>
          <w:color w:val="auto"/>
        </w:rPr>
        <w:t>®</w:t>
      </w:r>
      <w:r>
        <w:rPr>
          <w:rFonts w:ascii="Arial" w:cs="Arial" w:eastAsia="Arial" w:hAnsi="Arial"/>
          <w:sz w:val="13"/>
          <w:szCs w:val="13"/>
          <w:color w:val="auto"/>
        </w:rPr>
        <w:t xml:space="preserve"> and ADENTRI</w:t>
      </w:r>
      <w:r>
        <w:rPr>
          <w:rFonts w:ascii="Arial" w:cs="Arial" w:eastAsia="Arial" w:hAnsi="Arial"/>
          <w:sz w:val="11"/>
          <w:szCs w:val="11"/>
          <w:color w:val="auto"/>
        </w:rPr>
        <w:t>®</w:t>
      </w:r>
      <w:r>
        <w:rPr>
          <w:rFonts w:ascii="Arial" w:cs="Arial" w:eastAsia="Arial" w:hAnsi="Arial"/>
          <w:sz w:val="13"/>
          <w:szCs w:val="13"/>
          <w:color w:val="auto"/>
        </w:rPr>
        <w:t xml:space="preserve"> are registered trademarks, and FUMADERM</w:t>
      </w:r>
      <w:r>
        <w:rPr>
          <w:rFonts w:ascii="Arial" w:cs="Arial" w:eastAsia="Arial" w:hAnsi="Arial"/>
          <w:sz w:val="7"/>
          <w:szCs w:val="7"/>
          <w:color w:val="auto"/>
        </w:rPr>
        <w:t>TM</w:t>
      </w:r>
      <w:r>
        <w:rPr>
          <w:rFonts w:ascii="Arial" w:cs="Arial" w:eastAsia="Arial" w:hAnsi="Arial"/>
          <w:sz w:val="13"/>
          <w:szCs w:val="13"/>
          <w:color w:val="auto"/>
        </w:rPr>
        <w:t xml:space="preserve"> is a trademark of Biogen Idec Inc. or its subsidiaries. TYSABRI</w:t>
      </w:r>
      <w:r>
        <w:rPr>
          <w:rFonts w:ascii="Arial" w:cs="Arial" w:eastAsia="Arial" w:hAnsi="Arial"/>
          <w:sz w:val="11"/>
          <w:szCs w:val="11"/>
          <w:color w:val="auto"/>
        </w:rPr>
        <w:t>®</w:t>
      </w:r>
      <w:r>
        <w:rPr>
          <w:rFonts w:ascii="Arial" w:cs="Arial" w:eastAsia="Arial" w:hAnsi="Arial"/>
          <w:sz w:val="13"/>
          <w:szCs w:val="13"/>
          <w:color w:val="auto"/>
        </w:rPr>
        <w:t xml:space="preserve"> and TOUCH</w:t>
      </w:r>
      <w:r>
        <w:rPr>
          <w:rFonts w:ascii="Arial" w:cs="Arial" w:eastAsia="Arial" w:hAnsi="Arial"/>
          <w:sz w:val="11"/>
          <w:szCs w:val="11"/>
          <w:color w:val="auto"/>
        </w:rPr>
        <w:t>®</w:t>
      </w:r>
      <w:r>
        <w:rPr>
          <w:rFonts w:ascii="Arial" w:cs="Arial" w:eastAsia="Arial" w:hAnsi="Arial"/>
          <w:sz w:val="13"/>
          <w:szCs w:val="13"/>
          <w:color w:val="auto"/>
        </w:rPr>
        <w:t xml:space="preserve"> are registered trademarks of Elan Pharmaceuticals, Inc.;. The following are trademarks of the respective companies listed:</w:t>
      </w:r>
    </w:p>
    <w:p>
      <w:pPr>
        <w:ind w:left="680" w:right="260"/>
        <w:spacing w:after="0" w:line="255" w:lineRule="auto"/>
        <w:rPr>
          <w:sz w:val="20"/>
          <w:szCs w:val="20"/>
          <w:color w:val="auto"/>
        </w:rPr>
      </w:pPr>
      <w:r>
        <w:rPr>
          <w:rFonts w:ascii="Arial" w:cs="Arial" w:eastAsia="Arial" w:hAnsi="Arial"/>
          <w:sz w:val="13"/>
          <w:szCs w:val="13"/>
          <w:color w:val="auto"/>
        </w:rPr>
        <w:t>ACTEMRA</w:t>
      </w:r>
      <w:r>
        <w:rPr>
          <w:rFonts w:ascii="Arial" w:cs="Arial" w:eastAsia="Arial" w:hAnsi="Arial"/>
          <w:sz w:val="11"/>
          <w:szCs w:val="11"/>
          <w:color w:val="auto"/>
        </w:rPr>
        <w:t>®</w:t>
      </w:r>
      <w:r>
        <w:rPr>
          <w:rFonts w:ascii="Arial" w:cs="Arial" w:eastAsia="Arial" w:hAnsi="Arial"/>
          <w:sz w:val="13"/>
          <w:szCs w:val="13"/>
          <w:color w:val="auto"/>
        </w:rPr>
        <w:t xml:space="preserve"> — Chugai Seiyaku Kabushiki Kaisha; AMPYRA</w:t>
      </w:r>
      <w:r>
        <w:rPr>
          <w:rFonts w:ascii="Arial" w:cs="Arial" w:eastAsia="Arial" w:hAnsi="Arial"/>
          <w:sz w:val="11"/>
          <w:szCs w:val="11"/>
          <w:color w:val="auto"/>
        </w:rPr>
        <w:t>TM</w:t>
      </w:r>
      <w:r>
        <w:rPr>
          <w:rFonts w:ascii="Arial" w:cs="Arial" w:eastAsia="Arial" w:hAnsi="Arial"/>
          <w:sz w:val="13"/>
          <w:szCs w:val="13"/>
          <w:color w:val="auto"/>
        </w:rPr>
        <w:t xml:space="preserve"> — Acorda Therapeutics, Inc.; ANGIOMAX</w:t>
      </w:r>
      <w:r>
        <w:rPr>
          <w:rFonts w:ascii="Arial" w:cs="Arial" w:eastAsia="Arial" w:hAnsi="Arial"/>
          <w:sz w:val="11"/>
          <w:szCs w:val="11"/>
          <w:color w:val="auto"/>
        </w:rPr>
        <w:t>®</w:t>
      </w:r>
      <w:r>
        <w:rPr>
          <w:rFonts w:ascii="Arial" w:cs="Arial" w:eastAsia="Arial" w:hAnsi="Arial"/>
          <w:sz w:val="13"/>
          <w:szCs w:val="13"/>
          <w:color w:val="auto"/>
        </w:rPr>
        <w:t xml:space="preserve"> and ANGIOX</w:t>
      </w:r>
      <w:r>
        <w:rPr>
          <w:rFonts w:ascii="Arial" w:cs="Arial" w:eastAsia="Arial" w:hAnsi="Arial"/>
          <w:sz w:val="11"/>
          <w:szCs w:val="11"/>
          <w:color w:val="auto"/>
        </w:rPr>
        <w:t>®</w:t>
      </w:r>
      <w:r>
        <w:rPr>
          <w:rFonts w:ascii="Arial" w:cs="Arial" w:eastAsia="Arial" w:hAnsi="Arial"/>
          <w:sz w:val="13"/>
          <w:szCs w:val="13"/>
          <w:color w:val="auto"/>
        </w:rPr>
        <w:t xml:space="preserve"> — The Medicines Company; ARZERRA</w:t>
      </w:r>
      <w:r>
        <w:rPr>
          <w:rFonts w:ascii="Arial" w:cs="Arial" w:eastAsia="Arial" w:hAnsi="Arial"/>
          <w:sz w:val="11"/>
          <w:szCs w:val="11"/>
          <w:color w:val="auto"/>
        </w:rPr>
        <w:t>TM</w:t>
      </w:r>
      <w:r>
        <w:rPr>
          <w:rFonts w:ascii="Arial" w:cs="Arial" w:eastAsia="Arial" w:hAnsi="Arial"/>
          <w:sz w:val="13"/>
          <w:szCs w:val="13"/>
          <w:color w:val="auto"/>
        </w:rPr>
        <w:t xml:space="preserve"> — Glaxo Group Limited; BETASERON</w:t>
      </w:r>
      <w:r>
        <w:rPr>
          <w:rFonts w:ascii="Arial" w:cs="Arial" w:eastAsia="Arial" w:hAnsi="Arial"/>
          <w:sz w:val="11"/>
          <w:szCs w:val="11"/>
          <w:color w:val="auto"/>
        </w:rPr>
        <w:t>®</w:t>
      </w:r>
      <w:r>
        <w:rPr>
          <w:rFonts w:ascii="Arial" w:cs="Arial" w:eastAsia="Arial" w:hAnsi="Arial"/>
          <w:sz w:val="13"/>
          <w:szCs w:val="13"/>
          <w:color w:val="auto"/>
        </w:rPr>
        <w:t xml:space="preserve"> and BETAFERON</w:t>
      </w:r>
      <w:r>
        <w:rPr>
          <w:rFonts w:ascii="Arial" w:cs="Arial" w:eastAsia="Arial" w:hAnsi="Arial"/>
          <w:sz w:val="11"/>
          <w:szCs w:val="11"/>
          <w:color w:val="auto"/>
        </w:rPr>
        <w:t>®</w:t>
      </w:r>
      <w:r>
        <w:rPr>
          <w:rFonts w:ascii="Arial" w:cs="Arial" w:eastAsia="Arial" w:hAnsi="Arial"/>
          <w:sz w:val="13"/>
          <w:szCs w:val="13"/>
          <w:color w:val="auto"/>
        </w:rPr>
        <w:t xml:space="preserve"> — Bayer Schering Pharma AG; CAMPATH</w:t>
      </w:r>
      <w:r>
        <w:rPr>
          <w:rFonts w:ascii="Arial" w:cs="Arial" w:eastAsia="Arial" w:hAnsi="Arial"/>
          <w:sz w:val="11"/>
          <w:szCs w:val="11"/>
          <w:color w:val="auto"/>
        </w:rPr>
        <w:t>®</w:t>
      </w:r>
      <w:r>
        <w:rPr>
          <w:rFonts w:ascii="Arial" w:cs="Arial" w:eastAsia="Arial" w:hAnsi="Arial"/>
          <w:sz w:val="13"/>
          <w:szCs w:val="13"/>
          <w:color w:val="auto"/>
        </w:rPr>
        <w:t xml:space="preserve"> — Genzyme Corporation; CIMZIA</w:t>
      </w:r>
      <w:r>
        <w:rPr>
          <w:rFonts w:ascii="Arial" w:cs="Arial" w:eastAsia="Arial" w:hAnsi="Arial"/>
          <w:sz w:val="11"/>
          <w:szCs w:val="11"/>
          <w:color w:val="auto"/>
        </w:rPr>
        <w:t>®</w:t>
      </w:r>
      <w:r>
        <w:rPr>
          <w:rFonts w:ascii="Arial" w:cs="Arial" w:eastAsia="Arial" w:hAnsi="Arial"/>
          <w:sz w:val="13"/>
          <w:szCs w:val="13"/>
          <w:color w:val="auto"/>
        </w:rPr>
        <w:t xml:space="preserve"> — UCB Pharma, S.A.; COPAXONE</w:t>
      </w:r>
      <w:r>
        <w:rPr>
          <w:rFonts w:ascii="Arial" w:cs="Arial" w:eastAsia="Arial" w:hAnsi="Arial"/>
          <w:sz w:val="11"/>
          <w:szCs w:val="11"/>
          <w:color w:val="auto"/>
        </w:rPr>
        <w:t>®</w:t>
      </w:r>
      <w:r>
        <w:rPr>
          <w:rFonts w:ascii="Arial" w:cs="Arial" w:eastAsia="Arial" w:hAnsi="Arial"/>
          <w:sz w:val="13"/>
          <w:szCs w:val="13"/>
          <w:color w:val="auto"/>
        </w:rPr>
        <w:t xml:space="preserve"> — Teva Pharmaceutical Industries Limited; ENBREL</w:t>
      </w:r>
      <w:r>
        <w:rPr>
          <w:rFonts w:ascii="Arial" w:cs="Arial" w:eastAsia="Arial" w:hAnsi="Arial"/>
          <w:sz w:val="11"/>
          <w:szCs w:val="11"/>
          <w:color w:val="auto"/>
        </w:rPr>
        <w:t>®</w:t>
      </w:r>
      <w:r>
        <w:rPr>
          <w:rFonts w:ascii="Arial" w:cs="Arial" w:eastAsia="Arial" w:hAnsi="Arial"/>
          <w:sz w:val="13"/>
          <w:szCs w:val="13"/>
          <w:color w:val="auto"/>
        </w:rPr>
        <w:t xml:space="preserve"> — Immunex Corporation; EXTAVIA</w:t>
      </w:r>
      <w:r>
        <w:rPr>
          <w:rFonts w:ascii="Arial" w:cs="Arial" w:eastAsia="Arial" w:hAnsi="Arial"/>
          <w:sz w:val="11"/>
          <w:szCs w:val="11"/>
          <w:color w:val="auto"/>
        </w:rPr>
        <w:t>®</w:t>
      </w:r>
      <w:r>
        <w:rPr>
          <w:rFonts w:ascii="Arial" w:cs="Arial" w:eastAsia="Arial" w:hAnsi="Arial"/>
          <w:sz w:val="13"/>
          <w:szCs w:val="13"/>
          <w:color w:val="auto"/>
        </w:rPr>
        <w:t xml:space="preserve"> — Novartis AG; HUMIRA</w:t>
      </w:r>
      <w:r>
        <w:rPr>
          <w:rFonts w:ascii="Arial" w:cs="Arial" w:eastAsia="Arial" w:hAnsi="Arial"/>
          <w:sz w:val="11"/>
          <w:szCs w:val="11"/>
          <w:color w:val="auto"/>
        </w:rPr>
        <w:t>®</w:t>
      </w:r>
      <w:r>
        <w:rPr>
          <w:rFonts w:ascii="Arial" w:cs="Arial" w:eastAsia="Arial" w:hAnsi="Arial"/>
          <w:sz w:val="13"/>
          <w:szCs w:val="13"/>
          <w:color w:val="auto"/>
        </w:rPr>
        <w:t xml:space="preserve"> — Abbott Biotechnology Ltd.; ONCOVIN</w:t>
      </w:r>
      <w:r>
        <w:rPr>
          <w:rFonts w:ascii="Arial" w:cs="Arial" w:eastAsia="Arial" w:hAnsi="Arial"/>
          <w:sz w:val="11"/>
          <w:szCs w:val="11"/>
          <w:color w:val="auto"/>
        </w:rPr>
        <w:t>TM</w:t>
      </w:r>
      <w:r>
        <w:rPr>
          <w:rFonts w:ascii="Arial" w:cs="Arial" w:eastAsia="Arial" w:hAnsi="Arial"/>
          <w:sz w:val="13"/>
          <w:szCs w:val="13"/>
          <w:color w:val="auto"/>
        </w:rPr>
        <w:t xml:space="preserve"> — Eli Lilly and Company; ORENCIA</w:t>
      </w:r>
      <w:r>
        <w:rPr>
          <w:rFonts w:ascii="Arial" w:cs="Arial" w:eastAsia="Arial" w:hAnsi="Arial"/>
          <w:sz w:val="11"/>
          <w:szCs w:val="11"/>
          <w:color w:val="auto"/>
        </w:rPr>
        <w:t>®</w:t>
      </w:r>
      <w:r>
        <w:rPr>
          <w:rFonts w:ascii="Arial" w:cs="Arial" w:eastAsia="Arial" w:hAnsi="Arial"/>
          <w:sz w:val="13"/>
          <w:szCs w:val="13"/>
          <w:color w:val="auto"/>
        </w:rPr>
        <w:t xml:space="preserve"> — Bristol-Myers Squibb Company; REBIF</w:t>
      </w:r>
      <w:r>
        <w:rPr>
          <w:rFonts w:ascii="Arial" w:cs="Arial" w:eastAsia="Arial" w:hAnsi="Arial"/>
          <w:sz w:val="11"/>
          <w:szCs w:val="11"/>
          <w:color w:val="auto"/>
        </w:rPr>
        <w:t>®</w:t>
      </w:r>
      <w:r>
        <w:rPr>
          <w:rFonts w:ascii="Arial" w:cs="Arial" w:eastAsia="Arial" w:hAnsi="Arial"/>
          <w:sz w:val="13"/>
          <w:szCs w:val="13"/>
          <w:color w:val="auto"/>
        </w:rPr>
        <w:t xml:space="preserve"> — Ares Trading S.A.; REMICADE</w:t>
      </w:r>
      <w:r>
        <w:rPr>
          <w:rFonts w:ascii="Arial" w:cs="Arial" w:eastAsia="Arial" w:hAnsi="Arial"/>
          <w:sz w:val="11"/>
          <w:szCs w:val="11"/>
          <w:color w:val="auto"/>
        </w:rPr>
        <w:t>®</w:t>
      </w:r>
      <w:r>
        <w:rPr>
          <w:rFonts w:ascii="Arial" w:cs="Arial" w:eastAsia="Arial" w:hAnsi="Arial"/>
          <w:sz w:val="13"/>
          <w:szCs w:val="13"/>
          <w:color w:val="auto"/>
        </w:rPr>
        <w:t xml:space="preserve"> — Centocor Ortho Biotech Inc.; SIMPONI</w:t>
      </w:r>
      <w:r>
        <w:rPr>
          <w:rFonts w:ascii="Arial" w:cs="Arial" w:eastAsia="Arial" w:hAnsi="Arial"/>
          <w:sz w:val="11"/>
          <w:szCs w:val="11"/>
          <w:color w:val="auto"/>
        </w:rPr>
        <w:t>TM</w:t>
      </w:r>
      <w:r>
        <w:rPr>
          <w:rFonts w:ascii="Arial" w:cs="Arial" w:eastAsia="Arial" w:hAnsi="Arial"/>
          <w:sz w:val="13"/>
          <w:szCs w:val="13"/>
          <w:color w:val="auto"/>
        </w:rPr>
        <w:t xml:space="preserve"> — Johnson &amp; Johnson; and TREANDA</w:t>
      </w:r>
      <w:r>
        <w:rPr>
          <w:rFonts w:ascii="Arial" w:cs="Arial" w:eastAsia="Arial" w:hAnsi="Arial"/>
          <w:sz w:val="11"/>
          <w:szCs w:val="11"/>
          <w:color w:val="auto"/>
        </w:rPr>
        <w:t>®</w:t>
      </w:r>
      <w:r>
        <w:rPr>
          <w:rFonts w:ascii="Arial" w:cs="Arial" w:eastAsia="Arial" w:hAnsi="Arial"/>
          <w:sz w:val="13"/>
          <w:szCs w:val="13"/>
          <w:color w:val="auto"/>
        </w:rPr>
        <w:t xml:space="preserve"> — Cephalon, Inc.</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REGARDING REFERENCES TO THE CODIFICATION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June 2009, the Financial Accounting Standards Board (FASB), issued the FASB Accounting Standards Codification (Codification). Effective July 1, 2009, the Codification became the single source for all authoritative generally accepted accounting principles (GAAP), recognized by the FASB and is required to be applied to financial statements issued for interim and annual periods ending after September 15, 2009. The Codification does not change GAAP and did not impact our financial position or results of operations; however the Codification does change the way we refer to GAAP within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Biogen Idec is a global biotechnology company that creates new standards of care in therapeutic areas with high unmet medical needs. Our business strategy is focused on discovering and developing first-in-class or best-in-class products that we can deliver to specialty markets globally. Patients worldwide benefit from Biogen Idec’s significant products that address medical needs in the areas of neurology, oncology and immunology.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four therapeutic products on the market, which are summarized in the table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000" w:type="dxa"/>
            <w:vAlign w:val="bottom"/>
            <w:vMerge w:val="restart"/>
          </w:tcPr>
          <w:p>
            <w:pPr>
              <w:spacing w:after="0"/>
              <w:rPr>
                <w:sz w:val="20"/>
                <w:szCs w:val="20"/>
                <w:color w:val="auto"/>
              </w:rPr>
            </w:pPr>
            <w:r>
              <w:rPr>
                <w:rFonts w:ascii="Arial" w:cs="Arial" w:eastAsia="Arial" w:hAnsi="Arial"/>
                <w:sz w:val="10"/>
                <w:szCs w:val="10"/>
                <w:b w:val="1"/>
                <w:bCs w:val="1"/>
                <w:color w:val="auto"/>
              </w:rPr>
              <w:t>Product</w:t>
            </w:r>
          </w:p>
        </w:tc>
        <w:tc>
          <w:tcPr>
            <w:tcW w:w="4300" w:type="dxa"/>
            <w:vAlign w:val="bottom"/>
            <w:vMerge w:val="restart"/>
          </w:tcPr>
          <w:p>
            <w:pPr>
              <w:ind w:left="4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ummary of Approved Indications</w:t>
            </w: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0"/>
                <w:szCs w:val="10"/>
                <w:b w:val="1"/>
                <w:bCs w:val="1"/>
                <w:color w:val="auto"/>
                <w:w w:val="92"/>
              </w:rPr>
              <w:t>Revenues to Biogen Idec (in millions)</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9"/>
              <w:spacing w:after="0" w:line="10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17"/>
              <w:spacing w:after="0" w:line="10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17"/>
              <w:spacing w:after="0" w:line="10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i w:val="1"/>
                <w:iCs w:val="1"/>
                <w:color w:val="auto"/>
              </w:rPr>
              <w:t>AVONEX</w:t>
            </w:r>
          </w:p>
        </w:tc>
        <w:tc>
          <w:tcPr>
            <w:tcW w:w="4300" w:type="dxa"/>
            <w:vAlign w:val="bottom"/>
            <w:shd w:val="clear" w:color="auto" w:fill="CCEEFF"/>
          </w:tcPr>
          <w:p>
            <w:pPr>
              <w:ind w:left="400"/>
              <w:spacing w:after="0" w:line="149" w:lineRule="exact"/>
              <w:rPr>
                <w:sz w:val="20"/>
                <w:szCs w:val="20"/>
                <w:color w:val="auto"/>
              </w:rPr>
            </w:pPr>
            <w:r>
              <w:rPr>
                <w:rFonts w:ascii="Arial" w:cs="Arial" w:eastAsia="Arial" w:hAnsi="Arial"/>
                <w:sz w:val="13"/>
                <w:szCs w:val="13"/>
                <w:color w:val="auto"/>
              </w:rPr>
              <w:t>Multiple sclerosis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rPr>
              <w:t>2,322.9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rPr>
              <w:t>2,202.6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w w:val="92"/>
              </w:rPr>
              <w:t>1,867.8</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(interferon beta-1a)</w:t>
            </w:r>
          </w:p>
        </w:tc>
        <w:tc>
          <w:tcPr>
            <w:tcW w:w="43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line="134" w:lineRule="exact"/>
              <w:rPr>
                <w:sz w:val="20"/>
                <w:szCs w:val="20"/>
                <w:color w:val="auto"/>
              </w:rPr>
            </w:pPr>
            <w:r>
              <w:rPr>
                <w:rFonts w:ascii="Arial" w:cs="Arial" w:eastAsia="Arial" w:hAnsi="Arial"/>
                <w:sz w:val="13"/>
                <w:szCs w:val="13"/>
                <w:b w:val="1"/>
                <w:bCs w:val="1"/>
                <w:i w:val="1"/>
                <w:iCs w:val="1"/>
                <w:color w:val="auto"/>
              </w:rPr>
              <w:t>RITUXAN</w:t>
            </w:r>
          </w:p>
        </w:tc>
        <w:tc>
          <w:tcPr>
            <w:tcW w:w="4300" w:type="dxa"/>
            <w:vAlign w:val="bottom"/>
          </w:tcPr>
          <w:p>
            <w:pPr>
              <w:ind w:left="400"/>
              <w:spacing w:after="0" w:line="134" w:lineRule="exact"/>
              <w:rPr>
                <w:sz w:val="20"/>
                <w:szCs w:val="20"/>
                <w:color w:val="auto"/>
              </w:rPr>
            </w:pPr>
            <w:r>
              <w:rPr>
                <w:rFonts w:ascii="Arial" w:cs="Arial" w:eastAsia="Arial" w:hAnsi="Arial"/>
                <w:sz w:val="13"/>
                <w:szCs w:val="13"/>
                <w:color w:val="auto"/>
              </w:rPr>
              <w:t>Non-Hodgkin’s lymphoma</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1,094.9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1,128.2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926.1</w:t>
            </w:r>
          </w:p>
        </w:tc>
        <w:tc>
          <w:tcPr>
            <w:tcW w:w="0" w:type="dxa"/>
            <w:vAlign w:val="bottom"/>
          </w:tcPr>
          <w:p>
            <w:pPr>
              <w:spacing w:after="0"/>
              <w:rPr>
                <w:sz w:val="1"/>
                <w:szCs w:val="1"/>
                <w:color w:val="auto"/>
              </w:rPr>
            </w:pPr>
          </w:p>
        </w:tc>
      </w:tr>
      <w:tr>
        <w:trPr>
          <w:trHeight w:val="170"/>
        </w:trPr>
        <w:tc>
          <w:tcPr>
            <w:tcW w:w="3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(rituximab)</w:t>
            </w:r>
          </w:p>
        </w:tc>
        <w:tc>
          <w:tcPr>
            <w:tcW w:w="43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Rheumatoid arthritis</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i w:val="1"/>
                <w:iCs w:val="1"/>
                <w:color w:val="auto"/>
              </w:rPr>
              <w:t>TYSABRI</w:t>
            </w:r>
          </w:p>
        </w:tc>
        <w:tc>
          <w:tcPr>
            <w:tcW w:w="4300" w:type="dxa"/>
            <w:vAlign w:val="bottom"/>
            <w:shd w:val="clear" w:color="auto" w:fill="CCEEFF"/>
          </w:tcPr>
          <w:p>
            <w:pPr>
              <w:ind w:left="400"/>
              <w:spacing w:after="0" w:line="134" w:lineRule="exact"/>
              <w:rPr>
                <w:sz w:val="20"/>
                <w:szCs w:val="20"/>
                <w:color w:val="auto"/>
              </w:rPr>
            </w:pPr>
            <w:r>
              <w:rPr>
                <w:rFonts w:ascii="Arial" w:cs="Arial" w:eastAsia="Arial" w:hAnsi="Arial"/>
                <w:sz w:val="13"/>
                <w:szCs w:val="13"/>
                <w:color w:val="auto"/>
              </w:rPr>
              <w:t>Multiple sclerosis</w:t>
            </w:r>
          </w:p>
        </w:tc>
        <w:tc>
          <w:tcPr>
            <w:tcW w:w="1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776.0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588.6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229.9</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(natalizumab)</w:t>
            </w:r>
          </w:p>
        </w:tc>
        <w:tc>
          <w:tcPr>
            <w:tcW w:w="43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Crohn’s disease</w:t>
            </w: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line="134" w:lineRule="exact"/>
              <w:rPr>
                <w:sz w:val="20"/>
                <w:szCs w:val="20"/>
                <w:color w:val="auto"/>
              </w:rPr>
            </w:pPr>
            <w:r>
              <w:rPr>
                <w:rFonts w:ascii="Arial" w:cs="Arial" w:eastAsia="Arial" w:hAnsi="Arial"/>
                <w:sz w:val="13"/>
                <w:szCs w:val="13"/>
                <w:b w:val="1"/>
                <w:bCs w:val="1"/>
                <w:i w:val="1"/>
                <w:iCs w:val="1"/>
                <w:color w:val="auto"/>
              </w:rPr>
              <w:t>FUMADERM</w:t>
            </w:r>
          </w:p>
        </w:tc>
        <w:tc>
          <w:tcPr>
            <w:tcW w:w="4300" w:type="dxa"/>
            <w:vAlign w:val="bottom"/>
          </w:tcPr>
          <w:p>
            <w:pPr>
              <w:ind w:left="400"/>
              <w:spacing w:after="0" w:line="134" w:lineRule="exact"/>
              <w:rPr>
                <w:sz w:val="20"/>
                <w:szCs w:val="20"/>
                <w:color w:val="auto"/>
              </w:rPr>
            </w:pPr>
            <w:r>
              <w:rPr>
                <w:rFonts w:ascii="Arial" w:cs="Arial" w:eastAsia="Arial" w:hAnsi="Arial"/>
                <w:sz w:val="13"/>
                <w:szCs w:val="13"/>
                <w:color w:val="auto"/>
              </w:rPr>
              <w:t>Psoriasis</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49.6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43.4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70"/>
        </w:trPr>
        <w:tc>
          <w:tcPr>
            <w:tcW w:w="3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(dimethylfumarate and monoethylfumarate salts)</w:t>
            </w:r>
          </w:p>
        </w:tc>
        <w:tc>
          <w:tcPr>
            <w:tcW w:w="4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-860425</wp:posOffset>
            </wp:positionV>
            <wp:extent cx="184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Additional financial information about our product revenues, other revenues and geographic areas in which we operate is set forth in our Consolidated Financial Statements and in Note 20, </w:t>
      </w:r>
      <w:r>
        <w:rPr>
          <w:rFonts w:ascii="Arial" w:cs="Arial" w:eastAsia="Arial" w:hAnsi="Arial"/>
          <w:sz w:val="13"/>
          <w:szCs w:val="13"/>
          <w:i w:val="1"/>
          <w:iCs w:val="1"/>
          <w:color w:val="auto"/>
        </w:rPr>
        <w:t>Segment Information</w:t>
      </w:r>
      <w:r>
        <w:rPr>
          <w:rFonts w:ascii="Arial" w:cs="Arial" w:eastAsia="Arial" w:hAnsi="Arial"/>
          <w:sz w:val="13"/>
          <w:szCs w:val="13"/>
          <w:color w:val="auto"/>
        </w:rPr>
        <w:t xml:space="preserve"> to our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w:t>
      </w:r>
    </w:p>
    <w:p>
      <w:pPr>
        <w:spacing w:after="0" w:line="96"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We devote significant resources to research and development programs and external business development opportunities. We intend to focus our research and development efforts on finding novel therapeutics in areas of high unmet medical need within our core and emergent focus areas of neurology, oncology, immunology, cardiopulmonary and hemophilia.</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2009, 2008 and 2007, our research and development costs totaled $1,283.1 million, $1,072.1 million and $925.2 million, respectively. We incurred charges associated with acquired in-process research and development of $25.0 million and $84.2 million in 2008 and 2007 respectively. No acquired in-process research and development charges were incurred in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CEO Retirement</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January 4, 2010, we announced that James C. Mullen will retire as our President and Chief Executive Officer on June 8, 2010, and will retire from our Board of Directors upon the completion of his current term as a director at our 2010 Annual Meeting of Stockholders. We entered into a transition agreement with Mr. Mullen on January 4, 2010, which is filed as an exhibit to this report. Under the transition agreement, we agreed with Mr. Mullen (1) to continue to pay Mr. Mullen’s current base salary of $1.2 million through June 8, 2010, (2) to pay Mr. Mullen a bonus for 2009 calculated as 125% of his 2009 base salary of $1.2 million multiplied by our corporate multiplier for 2009 determined based on our achievement of goals established at the beginning of 2009, (3) to pay Mr. Mullen a bonus for 2010 calculated as 125% of his prorated base salary, (4) to vest all of Mr. Mullen’s unvested equity awards on the date of his retirement, (5) to allow Mr. Mullen to exercise his vested stock options until June 8, 2013 or their expiration, whichever is earlier, and (6) that if we make a public announcement of a transaction that constitutes a change in control prior to June 8, 2010, Mr. Mullen will be entitled to a severance payment in the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amount of three times the sum of his annual base salary and target bonus and a related tax payment provided under his employment agreement upon consummation of the transaction. We have initiated a search for Mr. Mullen’s successor.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 Information</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were formed as a California corporation in 1985 and became a Delaware corporation in 1997. Our principal executive offices are located at 14 Cambridge Center, Cambridge, Massachusetts 02142 and our telephone number is (617) 679-2000. Our website address is www.biogenidec.com. We make available free of charge through the Investor Relations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filing.</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Marketed Products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marketed products address the following diseases: multiple sclerosis (MS); non-Hodgkin’s lymphoma (NHL); rheumatoid arthritis (RA); Crohn’s disease (CD); and psoriasis. As part of our ongoing development efforts, we are also seeking to expand our marketed products into other diseases, such as Antineutrophil cytoplasmic antibodies (ANCA) associated vasculitis, chronic lymphocytic leukemia (CLL), and ulcerative colitis. The approved indications for, and ongoing development of, our marketed products are summarized in the table below. Drug development involves a high degree of risk, and the status, timing and scope of our clinical trials, drug approvals and applications for approval are subject to change. Important factors that could adversely affect our drug development efforts are discussed in the “Risk Factors” section of this report.</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Product</w:t>
            </w:r>
          </w:p>
        </w:tc>
        <w:tc>
          <w:tcPr>
            <w:tcW w:w="2680" w:type="dxa"/>
            <w:vAlign w:val="bottom"/>
          </w:tcPr>
          <w:p>
            <w:pPr>
              <w:spacing w:after="0"/>
              <w:rPr>
                <w:sz w:val="20"/>
                <w:szCs w:val="20"/>
                <w:color w:val="auto"/>
              </w:rPr>
            </w:pPr>
            <w:r>
              <w:rPr>
                <w:rFonts w:ascii="Arial" w:cs="Arial" w:eastAsia="Arial" w:hAnsi="Arial"/>
                <w:sz w:val="10"/>
                <w:szCs w:val="10"/>
                <w:b w:val="1"/>
                <w:bCs w:val="1"/>
                <w:color w:val="auto"/>
              </w:rPr>
              <w:t>Approved or</w:t>
            </w:r>
          </w:p>
        </w:tc>
        <w:tc>
          <w:tcPr>
            <w:tcW w:w="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Pr>
          <w:p>
            <w:pPr>
              <w:spacing w:after="0"/>
              <w:rPr>
                <w:sz w:val="20"/>
                <w:szCs w:val="20"/>
                <w:color w:val="auto"/>
              </w:rPr>
            </w:pPr>
            <w:r>
              <w:rPr>
                <w:rFonts w:ascii="Arial" w:cs="Arial" w:eastAsia="Arial" w:hAnsi="Arial"/>
                <w:sz w:val="10"/>
                <w:szCs w:val="10"/>
                <w:b w:val="1"/>
                <w:bCs w:val="1"/>
                <w:color w:val="auto"/>
              </w:rPr>
              <w:t>Development or</w:t>
            </w:r>
          </w:p>
        </w:tc>
        <w:tc>
          <w:tcPr>
            <w:tcW w:w="0" w:type="dxa"/>
            <w:vAlign w:val="bottom"/>
          </w:tcPr>
          <w:p>
            <w:pPr>
              <w:spacing w:after="0"/>
              <w:rPr>
                <w:sz w:val="1"/>
                <w:szCs w:val="1"/>
                <w:color w:val="auto"/>
              </w:rPr>
            </w:pPr>
          </w:p>
        </w:tc>
      </w:tr>
      <w:tr>
        <w:trPr>
          <w:trHeight w:val="125"/>
        </w:trPr>
        <w:tc>
          <w:tcPr>
            <w:tcW w:w="1520" w:type="dxa"/>
            <w:vAlign w:val="bottom"/>
            <w:gridSpan w:val="2"/>
            <w:vMerge w:val="continue"/>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Targeted Indications</w:t>
            </w:r>
          </w:p>
        </w:tc>
        <w:tc>
          <w:tcPr>
            <w:tcW w:w="200" w:type="dxa"/>
            <w:vAlign w:val="bottom"/>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Marketing Collaborators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5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AVONEX</w:t>
            </w: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Approved in U.S. and numerous other countries worldwide</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23"/>
        </w:trPr>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Ulcerative colitis</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93"/>
        </w:trPr>
        <w:tc>
          <w:tcPr>
            <w:tcW w:w="152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b w:val="1"/>
                <w:bCs w:val="1"/>
                <w:i w:val="1"/>
                <w:iCs w:val="1"/>
                <w:color w:val="auto"/>
              </w:rPr>
              <w:t>RITUXAN</w:t>
            </w:r>
            <w:r>
              <w:rPr>
                <w:rFonts w:ascii="Arial" w:cs="Arial" w:eastAsia="Arial" w:hAnsi="Arial"/>
                <w:sz w:val="10"/>
                <w:szCs w:val="10"/>
                <w:color w:val="auto"/>
              </w:rPr>
              <w:t>(1)</w:t>
            </w: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NHL</w:t>
            </w:r>
          </w:p>
        </w:tc>
        <w:tc>
          <w:tcPr>
            <w:tcW w:w="200" w:type="dxa"/>
            <w:vAlign w:val="bottom"/>
            <w:tcBorders>
              <w:bottom w:val="single" w:sz="8" w:color="auto"/>
            </w:tcBorders>
            <w:shd w:val="clear" w:color="auto" w:fill="CCEEFF"/>
          </w:tcPr>
          <w:p>
            <w:pPr>
              <w:spacing w:after="0"/>
              <w:rPr>
                <w:sz w:val="8"/>
                <w:szCs w:val="8"/>
                <w:color w:val="auto"/>
              </w:rPr>
            </w:pPr>
          </w:p>
        </w:tc>
        <w:tc>
          <w:tcPr>
            <w:tcW w:w="27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Approved in U.S. and numerous other countries worldwide</w:t>
            </w:r>
          </w:p>
        </w:tc>
        <w:tc>
          <w:tcPr>
            <w:tcW w:w="200" w:type="dxa"/>
            <w:vAlign w:val="bottom"/>
            <w:tcBorders>
              <w:bottom w:val="single" w:sz="8" w:color="auto"/>
            </w:tcBorders>
            <w:shd w:val="clear" w:color="auto" w:fill="CCEEFF"/>
          </w:tcPr>
          <w:p>
            <w:pPr>
              <w:spacing w:after="0"/>
              <w:rPr>
                <w:sz w:val="8"/>
                <w:szCs w:val="8"/>
                <w:color w:val="auto"/>
              </w:rPr>
            </w:pP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Roche Group and its sublicensees</w:t>
            </w: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20"/>
                <w:szCs w:val="20"/>
                <w:color w:val="auto"/>
              </w:rPr>
            </w:pPr>
            <w:r>
              <w:rPr>
                <w:rFonts w:ascii="Arial" w:cs="Arial" w:eastAsia="Arial" w:hAnsi="Arial"/>
                <w:sz w:val="10"/>
                <w:szCs w:val="10"/>
                <w:color w:val="auto"/>
              </w:rPr>
              <w:t>RA</w:t>
            </w:r>
          </w:p>
        </w:tc>
        <w:tc>
          <w:tcPr>
            <w:tcW w:w="200" w:type="dxa"/>
            <w:vAlign w:val="bottom"/>
          </w:tcPr>
          <w:p>
            <w:pPr>
              <w:spacing w:after="0"/>
              <w:rPr>
                <w:sz w:val="10"/>
                <w:szCs w:val="10"/>
                <w:color w:val="auto"/>
              </w:rPr>
            </w:pPr>
          </w:p>
        </w:tc>
        <w:tc>
          <w:tcPr>
            <w:tcW w:w="2700" w:type="dxa"/>
            <w:vAlign w:val="bottom"/>
          </w:tcPr>
          <w:p>
            <w:pPr>
              <w:spacing w:after="0"/>
              <w:rPr>
                <w:sz w:val="20"/>
                <w:szCs w:val="20"/>
                <w:color w:val="auto"/>
              </w:rPr>
            </w:pPr>
            <w:r>
              <w:rPr>
                <w:rFonts w:ascii="Arial" w:cs="Arial" w:eastAsia="Arial" w:hAnsi="Arial"/>
                <w:sz w:val="10"/>
                <w:szCs w:val="10"/>
                <w:color w:val="auto"/>
              </w:rPr>
              <w:t>Approved in U.S. and numerous other countries worldwide</w:t>
            </w:r>
          </w:p>
        </w:tc>
        <w:tc>
          <w:tcPr>
            <w:tcW w:w="200" w:type="dxa"/>
            <w:vAlign w:val="bottom"/>
          </w:tcPr>
          <w:p>
            <w:pPr>
              <w:spacing w:after="0"/>
              <w:rPr>
                <w:sz w:val="10"/>
                <w:szCs w:val="10"/>
                <w:color w:val="auto"/>
              </w:rPr>
            </w:pPr>
          </w:p>
        </w:tc>
        <w:tc>
          <w:tcPr>
            <w:tcW w:w="2680" w:type="dxa"/>
            <w:vAlign w:val="bottom"/>
          </w:tcPr>
          <w:p>
            <w:pPr>
              <w:spacing w:after="0"/>
              <w:rPr>
                <w:sz w:val="20"/>
                <w:szCs w:val="20"/>
                <w:color w:val="auto"/>
              </w:rPr>
            </w:pPr>
            <w:r>
              <w:rPr>
                <w:rFonts w:ascii="Arial" w:cs="Arial" w:eastAsia="Arial" w:hAnsi="Arial"/>
                <w:sz w:val="10"/>
                <w:szCs w:val="10"/>
                <w:color w:val="auto"/>
              </w:rPr>
              <w:t>Roche Group and its sublicensees</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CLL</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In U.S. registration</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Roche Group and its sublicensees</w:t>
            </w:r>
          </w:p>
        </w:tc>
        <w:tc>
          <w:tcPr>
            <w:tcW w:w="0" w:type="dxa"/>
            <w:vAlign w:val="bottom"/>
          </w:tcPr>
          <w:p>
            <w:pPr>
              <w:spacing w:after="0"/>
              <w:rPr>
                <w:sz w:val="1"/>
                <w:szCs w:val="1"/>
                <w:color w:val="auto"/>
              </w:rPr>
            </w:pPr>
          </w:p>
        </w:tc>
      </w:tr>
      <w:tr>
        <w:trPr>
          <w:trHeight w:val="123"/>
        </w:trPr>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ANCA-associated vasculitis</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2/3</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Roche Group (Our rights are limited to U.S.)</w:t>
            </w:r>
          </w:p>
        </w:tc>
        <w:tc>
          <w:tcPr>
            <w:tcW w:w="0" w:type="dxa"/>
            <w:vAlign w:val="bottom"/>
          </w:tcPr>
          <w:p>
            <w:pPr>
              <w:spacing w:after="0"/>
              <w:rPr>
                <w:sz w:val="1"/>
                <w:szCs w:val="1"/>
                <w:color w:val="auto"/>
              </w:rPr>
            </w:pPr>
          </w:p>
        </w:tc>
      </w:tr>
      <w:tr>
        <w:trPr>
          <w:trHeight w:val="93"/>
        </w:trPr>
        <w:tc>
          <w:tcPr>
            <w:tcW w:w="152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b w:val="1"/>
                <w:bCs w:val="1"/>
                <w:i w:val="1"/>
                <w:iCs w:val="1"/>
                <w:color w:val="auto"/>
              </w:rPr>
              <w:t>TYSABRI</w:t>
            </w:r>
            <w:r>
              <w:rPr>
                <w:rFonts w:ascii="Arial" w:cs="Arial" w:eastAsia="Arial" w:hAnsi="Arial"/>
                <w:sz w:val="10"/>
                <w:szCs w:val="10"/>
                <w:color w:val="auto"/>
              </w:rPr>
              <w:t>(2)</w:t>
            </w: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shd w:val="clear" w:color="auto" w:fill="CCEEFF"/>
          </w:tcPr>
          <w:p>
            <w:pPr>
              <w:spacing w:after="0"/>
              <w:rPr>
                <w:sz w:val="8"/>
                <w:szCs w:val="8"/>
                <w:color w:val="auto"/>
              </w:rPr>
            </w:pPr>
          </w:p>
        </w:tc>
        <w:tc>
          <w:tcPr>
            <w:tcW w:w="27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Approved in U.S. and numerous other countries worldwide</w:t>
            </w:r>
          </w:p>
        </w:tc>
        <w:tc>
          <w:tcPr>
            <w:tcW w:w="200" w:type="dxa"/>
            <w:vAlign w:val="bottom"/>
            <w:tcBorders>
              <w:bottom w:val="single" w:sz="8" w:color="auto"/>
            </w:tcBorders>
            <w:shd w:val="clear" w:color="auto" w:fill="CCEEFF"/>
          </w:tcPr>
          <w:p>
            <w:pPr>
              <w:spacing w:after="0"/>
              <w:rPr>
                <w:sz w:val="8"/>
                <w:szCs w:val="8"/>
                <w:color w:val="auto"/>
              </w:rPr>
            </w:pP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Elan Pharmaceuticals</w:t>
            </w:r>
          </w:p>
        </w:tc>
        <w:tc>
          <w:tcPr>
            <w:tcW w:w="0" w:type="dxa"/>
            <w:vAlign w:val="bottom"/>
          </w:tcPr>
          <w:p>
            <w:pPr>
              <w:spacing w:after="0"/>
              <w:rPr>
                <w:sz w:val="1"/>
                <w:szCs w:val="1"/>
                <w:color w:val="auto"/>
              </w:rPr>
            </w:pPr>
          </w:p>
        </w:tc>
      </w:tr>
      <w:tr>
        <w:trPr>
          <w:trHeight w:val="123"/>
        </w:trPr>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CD</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Approved in U.S.</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Elan Pharmaceuticals</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i w:val="1"/>
                <w:iCs w:val="1"/>
                <w:color w:val="auto"/>
              </w:rPr>
              <w:t>FUMADERM</w:t>
            </w: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Severe psoriasis</w:t>
            </w:r>
          </w:p>
        </w:tc>
        <w:tc>
          <w:tcPr>
            <w:tcW w:w="200" w:type="dxa"/>
            <w:vAlign w:val="bottom"/>
            <w:tcBorders>
              <w:bottom w:val="single" w:sz="8" w:color="auto"/>
            </w:tcBorders>
            <w:shd w:val="clear" w:color="auto" w:fill="CCEEFF"/>
          </w:tcPr>
          <w:p>
            <w:pPr>
              <w:spacing w:after="0"/>
              <w:rPr>
                <w:sz w:val="8"/>
                <w:szCs w:val="8"/>
                <w:color w:val="auto"/>
              </w:rPr>
            </w:pPr>
          </w:p>
        </w:tc>
        <w:tc>
          <w:tcPr>
            <w:tcW w:w="27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Approved in Germany</w:t>
            </w:r>
          </w:p>
        </w:tc>
        <w:tc>
          <w:tcPr>
            <w:tcW w:w="200" w:type="dxa"/>
            <w:vAlign w:val="bottom"/>
            <w:tcBorders>
              <w:bottom w:val="single" w:sz="8" w:color="auto"/>
            </w:tcBorders>
            <w:shd w:val="clear" w:color="auto" w:fill="CCEEFF"/>
          </w:tcPr>
          <w:p>
            <w:pPr>
              <w:spacing w:after="0"/>
              <w:rPr>
                <w:sz w:val="8"/>
                <w:szCs w:val="8"/>
                <w:color w:val="auto"/>
              </w:rPr>
            </w:pPr>
          </w:p>
        </w:tc>
        <w:tc>
          <w:tcPr>
            <w:tcW w:w="26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-904240</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000" w:hanging="259"/>
        <w:spacing w:after="0" w:line="258"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RITUXAN is indicated for the treatment of (1)(a) relapsed or refractory, low-grade or follicular, CD20-positive, B-cell NHL as a single agent, (b) previously untreated follicular, CD20-positive, B-cell NHL in combination with cyclophosphamide, vincristine and prednisone (CVP) chemotherapy, (c) non-progressing (including stable disease), low-grade, CD20-positive, B-cell NHL, as a single agent, after first-line CVP chemotherapy, and (d) previously untreated diffuse large B-cell, CD20-positive NHL in combination with cyclophosphamide, doxorubicin, Oncovin and prednisone or other anthracycline-based chemotherapy regimens and (2) moderately- to severely-active RA, in combination with methotrexate, in adult patients who have inadequate response to one or more tumor necrosis factor (TNF) antagonist therapies.</w:t>
      </w:r>
    </w:p>
    <w:p>
      <w:pPr>
        <w:spacing w:after="0" w:line="22" w:lineRule="exact"/>
        <w:rPr>
          <w:rFonts w:ascii="Arial" w:cs="Arial" w:eastAsia="Arial" w:hAnsi="Arial"/>
          <w:sz w:val="13"/>
          <w:szCs w:val="13"/>
          <w:color w:val="auto"/>
        </w:rPr>
      </w:pPr>
    </w:p>
    <w:p>
      <w:pPr>
        <w:ind w:left="1000" w:right="60" w:hanging="259"/>
        <w:spacing w:after="0" w:line="276"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TYSABRI is indicated for the treatment of (1) relapsing MS as a monotherapy and (2) moderately to severely active CD with evidence of inflammation with an inadequate response to or inability to tolerate conventional CD therapies and TNF inhibitors.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AVONEX is one of the leading therapeutic products for relapsing forms of MS with over 135,000 patients currently using AVONEX.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 AVONEX is a recombinant form of the interferon beta protein produced in the body in response to viral infection. AVONEX has been shown in clinical trials in relapsing MS both to slow the accumulation of disability and to reduce the frequency of flare-ups.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2009 Developments</w:t>
      </w:r>
    </w:p>
    <w:p>
      <w:pPr>
        <w:spacing w:after="0" w:line="96" w:lineRule="exact"/>
        <w:rPr>
          <w:sz w:val="20"/>
          <w:szCs w:val="20"/>
          <w:color w:val="auto"/>
        </w:rPr>
      </w:pPr>
    </w:p>
    <w:p>
      <w:pPr>
        <w:ind w:left="1280" w:right="14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September 2009, we were issued a U.S. patent for the use of beta interferon for immunomodulation or treating a viral condition, viral disease, cancers or tumors. This patent, which expires in September 2026, covers the treatment of multiple sclerosis with AVONEX.</w:t>
      </w:r>
    </w:p>
    <w:p>
      <w:pPr>
        <w:spacing w:after="0" w:line="49"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2009, we announced data results from an open label, ten-year extension study of MS patients, known as CHAMPIONS, indicating that early treatment with AVONEX reduces relapse rates and may reduce disease progression for up to ten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RITUXAN is one of the most prescribed oncology therapeutics in the world with over 2.1 million patient exposures across all indications. RITUXAN is a monoclonal antibody that is used worldwide to treat NHL and RA. NHL is a cancer that affects lymphocytes, which are a type of white blood cell that help to fight infection. RA is a chronic disease that occurs when the immune system mistakenly attacks the body’s joints, resulting in inflammation, pain and joint damage.</w:t>
      </w:r>
    </w:p>
    <w:p>
      <w:pPr>
        <w:spacing w:after="0" w:line="67"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 xml:space="preserve">We collaborate with the Roche Group, through its wholly-owned member Genentech, Inc., on the development and commercialization of RITUXAN. Please read Note 17, </w:t>
      </w:r>
      <w:r>
        <w:rPr>
          <w:rFonts w:ascii="Arial" w:cs="Arial" w:eastAsia="Arial" w:hAnsi="Arial"/>
          <w:sz w:val="13"/>
          <w:szCs w:val="13"/>
          <w:i w:val="1"/>
          <w:iCs w:val="1"/>
          <w:color w:val="auto"/>
        </w:rPr>
        <w:t xml:space="preserve">Collaborations </w:t>
      </w:r>
      <w:r>
        <w:rPr>
          <w:rFonts w:ascii="Arial" w:cs="Arial" w:eastAsia="Arial" w:hAnsi="Arial"/>
          <w:sz w:val="13"/>
          <w:szCs w:val="13"/>
          <w:color w:val="auto"/>
        </w:rPr>
        <w:t>to our Consolidated Financial Statements for a description of this collaboration.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2009 Developments</w:t>
      </w:r>
    </w:p>
    <w:p>
      <w:pPr>
        <w:spacing w:after="0" w:line="96" w:lineRule="exact"/>
        <w:rPr>
          <w:sz w:val="20"/>
          <w:szCs w:val="20"/>
          <w:color w:val="auto"/>
        </w:rPr>
      </w:pPr>
    </w:p>
    <w:p>
      <w:pPr>
        <w:ind w:left="1280" w:right="180" w:hanging="190"/>
        <w:spacing w:after="0" w:line="296"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November 2009, the U.S. Food and Drug Administration (FDA) issued a complete response on applications for RITUXAN plus fludarabine and cyclophosphamide for the treatment of people with CLL, a cancer that affects white blood cells. The FDA has not requested any new data to complete its review of these applications. We and Genentech have engaged in final label discussions with the FDA and expect to finalize these discussions during the first quarter of 2010.</w:t>
      </w:r>
    </w:p>
    <w:p>
      <w:pPr>
        <w:spacing w:after="0" w:line="39"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October 2009, we announced that the FDA issued a complete response indicating that they did not believe that approval could be supported for RITUXAN in RA patients with an inadequate response to non-biological disease modifying agents.</w:t>
      </w:r>
    </w:p>
    <w:p>
      <w:pPr>
        <w:spacing w:after="0" w:line="4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October 2009, data from a Phase 2/3 clinical trial of RITUXAN in ANCA-associated vasculitis, known as RAVE, was presented at the American College of Rheumatology. The trial met its primary endpoint of noninferiority, showing that RITUXAN is as effective as cyclophosphamide in treating ANCA-associated vasculitis, a type of inflammation of the blood vessels.</w:t>
      </w:r>
    </w:p>
    <w:p>
      <w:pPr>
        <w:spacing w:after="0" w:line="57"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September 2009, we announced that a Phase 3 study showed that RITUXAN provided significant clinical benefit to patients with low-grade follicular lymphoma who were treated with RITUXAN as maintenance therapy after primary treatment with RITUXAN and chemotherapy.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March 2009, we announced that a Phase 3 study of RITUXAN in lupus nephritis did not meet its primary endpoint.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believe that TYSABRI is one of the most efficacious treatments for MS. TYSABRI is a monoclonal antibody (natalizumab) that was initially approved by the FDA in November 2004 to treat relapsing MS. In February 2005, in consultation with the FDA, we and our collaborator Elan Corporation plc (Elan) voluntarily suspended the marketing and commercial distribution of TYSABRI based on reports of cases of progressive multifocal leukoencephalopathy (PML) in patients treated with TYSABRI in clinical studies. PML is an opportunistic viral infection of the brain that often leads to death or severe disability. In July 2006, TYSABRI was reintroduced in the U.S., and introduced in the European Union, as a monotherapy treatment for relapsing MS. TYSABRI is also approved in the U.S. to treat CD, which is an inflammatory disease of the intestines.</w:t>
      </w:r>
    </w:p>
    <w:p>
      <w:pPr>
        <w:spacing w:after="0" w:line="55"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TYSABRI is marketed under risk management or minimization plans as agreed to with local regulatory authorities. In the U.S., TYSABRI was reintroduced with a risk minimization action plan known as the TOUCH Prescribing Program, a rigorous system intended to educate physicians and patients about the risks involved and to assure appropriate use of the product.</w:t>
      </w:r>
    </w:p>
    <w:p>
      <w:pPr>
        <w:spacing w:after="0" w:line="1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 xml:space="preserve">We collaborate with Elan on the development and commercialization of TYSABRI.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2009 Developments</w:t>
      </w:r>
    </w:p>
    <w:p>
      <w:pPr>
        <w:spacing w:after="0" w:line="96" w:lineRule="exact"/>
        <w:rPr>
          <w:sz w:val="20"/>
          <w:szCs w:val="20"/>
          <w:color w:val="auto"/>
        </w:rPr>
      </w:pPr>
    </w:p>
    <w:p>
      <w:pPr>
        <w:ind w:left="1280" w:hanging="190"/>
        <w:spacing w:after="0" w:line="320"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November 2009, we revised the U.S. prescribing information for TYSABRI to reflect that the risk of developing PML increases with longer treatment duration, and for patients treated for 24 to 36 months is generally similar to the rates seen in clinical trials. The revised label also reflects that there is limited experience beyond three years of treatment.</w:t>
      </w:r>
    </w:p>
    <w:p>
      <w:pPr>
        <w:spacing w:after="0" w:line="25" w:lineRule="exact"/>
        <w:rPr>
          <w:rFonts w:ascii="Arial" w:cs="Arial" w:eastAsia="Arial" w:hAnsi="Arial"/>
          <w:sz w:val="12"/>
          <w:szCs w:val="12"/>
          <w:color w:val="auto"/>
        </w:rPr>
      </w:pPr>
    </w:p>
    <w:p>
      <w:pPr>
        <w:ind w:left="1280" w:right="40" w:hanging="190"/>
        <w:spacing w:after="0" w:line="264"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the fourth quarter 2009, the European Medicines Agency (EMA) began a review of TYSABRI to determine whether any additional measures were necessary to ensure the safe use of TYSABRI. In January 2010, the EMA recommended updating the TYSABRI label in the E.U. to reflect that the risk of PML increases after two years of therapy. The EMA also recommended that patients have regular MRI scans and be re-informed of the risk of PML after two years on therapy.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FUMADERM is the most prescribed oral systemic treatment for severe psoriasis in Germany. Psoriasis is a skin disease in which cells build up on the skin surface and form scales and red patches.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Sources of Revenue</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receive royalty revenues on sales by our licensees of other products covered under patents that we own. We have also sold or exclusively licensed to third parties rights to certain products previously included within our product line. Royalty or supply agreement revenues received based upon those products are recorded as corporate partner revenue.</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royalty revenues are dependent upon our licensees’ sales of licensed products which could vary significantly due to competition, manufacturing difficulties and other factors that are outside our control. In addition, the expiration or invalidation of any underlying patents could reduce or eliminate the royalty revenues derived from such patents. Royalties on sales of ANGIOMAX (bivalirudin) by The Medicines Company (TMC) represent our most significant source of other revenue. TMC markets ANGIOMAX primarily in the U.S. and the European Union for use as an anticoagulant in patients undergoing percutaneous coronary intervention. Please read the subsection entitled “Other Revenue — Royalty Revenues” in the “Management’s Discussion and Analysis of Financial Condition and Results of Operations” section of this report for a description of this royalty arrangement and factors that could adversely effect this portion of our revenues.</w:t>
      </w:r>
    </w:p>
    <w:p>
      <w:pPr>
        <w:spacing w:after="0" w:line="72"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In 2009, 2008 and 2007, our royalty revenues totaled $124.4 million, $116.2 million and $102.1 million, respectively, and our corporate partner revenues totaled $5.1 million, $13.4 million and $6.6 million, respectively. Additional financial information about our product revenues, other revenues and geographic areas in which we operate is set forth in our Consolidated Financial Statements and in Note 20, </w:t>
      </w:r>
      <w:r>
        <w:rPr>
          <w:rFonts w:ascii="Arial" w:cs="Arial" w:eastAsia="Arial" w:hAnsi="Arial"/>
          <w:sz w:val="13"/>
          <w:szCs w:val="13"/>
          <w:i w:val="1"/>
          <w:iCs w:val="1"/>
          <w:color w:val="auto"/>
        </w:rPr>
        <w:t>Segment Information</w:t>
      </w:r>
      <w:r>
        <w:rPr>
          <w:rFonts w:ascii="Arial" w:cs="Arial" w:eastAsia="Arial" w:hAnsi="Arial"/>
          <w:sz w:val="13"/>
          <w:szCs w:val="13"/>
          <w:color w:val="auto"/>
        </w:rPr>
        <w:t xml:space="preserve"> to our Consolidated Financial Statements.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Registrational Product Candidates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to the ongoing development of our marketed products, we currently have a number of product candidates in or near registrational stage development. Drug development involves a high degree of risk, and the status, timing and scope of our clinical trials, drug approvals and applications for approval are subject to change. Important factors that could adversely affect our drug development efforts are discussed in the “Risk Factors” section of this report.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BG-12</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BG-12 is an oral compound that is being tested in relapsing MS. During 2009, we completed patient enrollment in two Phase 3 trials of BG-12 in relapsing MS, known as DEFINE and CONFIRM, with the CONFIRM trial including a glatiramer acetate (COPAXONE) reference comparator arm. Both studies have a two year treatment period with each study involving approximately 1,200 to 1,500 patients worldwide. The FDA has granted BG-12 fast track status, which may result in an expedited review.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Daclizumab</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Daclizumab is a monoclonal antibody that is being tested in relapsing MS. A Phase 2b trial of daclizumab in MS, known as SELECT, is currently underway. The SELECT trial has a one year treatment period and is expected to involve approximately 600 patients worldwide. The SELECT trial is the first of two registrational trials required by regulatory authorities. We expect to begin patient enrollment in a Phase 3 trial of daclizumab in relapsing MS, known as DECIDE, during the first half of 2010. The DECIDE trial has a two year treatment period and is expected to involve approximately 1,400 patients worldwide. The DECIDE trial is the second registrational trial required by regulatory authorities.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collaborate with Facet Biotech Corporation (Facet) on the development and commercialization of daclizumab. In January 2010, we agreed with our collaborator, Facet, to assume the manufacture of daclizumab and began the process of transferring from Facet the manufacturing technology necessary for us to manufacture daclizumab. Any delay in completing or implementing such transfer could adversely affect the timing of our daclizumab trials.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Fampridine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Fampridine is an oral compound that is being developed as a treatment to improve walking ability in people with MS. In December 2009, we filed for approval of fampridine in the European Union and Canada for this indication. Fampridine was approved in the U.S. on January 22, 2010 under the trade name AMPYRA (dalfampridine). AMPYRA is indicated to improve walking in patients with MS. This was demonstrated by an increase in walking speed. Acorda is developing and marketing AMPYRA in the U.S. We collaborate with Acorda on the development and commercialization of fampridine in markets outside the U.S.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GA101</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GA101 is a monoclonal antibody that is being tested in CLL. During the second half of 2009, we began patient enrollment in a Phase 3 trial of GA101 in combination with chlorambucil as compared to rituximab plus chlorambucil or chlorambucil alone in patients with previously untreated CLL. The study is designed to have a treatment period of approximately 6 months, with a minimum five year follow-up period, and involve approximately 800 patients worldwide.</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 xml:space="preserve">We collaborate with the Roche Group, through its wholly-owned member Genentech, on the development and commercialization of GA101.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Humanized Anti-CD20 MAb (ocrelizumab)</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Ocrelizumab is a monoclonal antibody that is being tested in RA. We and Genentech initiated four Phase 3 trials evaluating ocrelizumab in RA, known as SCRIPT, FEATURE, STAGE and FILM, and a Phase 2 trial known as CINEMA.</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SCRIPT study will evaluate the efficacy and safety of ocrelizumab, compared with placebo, in patients with active RA who have an inadequate response to at least one anti-TNF-alpha therapy. This study has a one year treatment period and involves approximately 800 patients worldwide.</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January 2010, we and Genentech determined that the FEATURE study, which evaluated a single infusion of ocrelizumab versus placebo (with dual infusions as an active control) in seropositive RA patients with an inadequate response to prior therapies, did not meet its primary efficacy endpoint as a single infusion.</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December 2009, we and Genentech announced that STAGE, which evaluated ocrelizumab in combination with methotrexate, met its primary endpoint of improving signs and symptoms (as measured by criteria, known as the ACR 20 response, established by the American College of Rheumatology) in RA patients who had an inadequate response to methotrexate at both 24 and 48 weeks.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October 2009, a safety review of ocrelizumab data in RA and lupus nephritis (LN) clinical trials was performed revealing an apparent imbalance in opportunistic infections among ocrelizumab-treated RA and LN patients in these clinical trials. Based upon this review, redosing was stopped in FILM, which evaluated ocrelizumab given in combination with methotrexate to methotrexate naïve RA patients. Redosing was also stopped in the Asia Pacific region for the SCRIPT, FEATURE and STAGE studies.</w:t>
      </w:r>
    </w:p>
    <w:p>
      <w:pPr>
        <w:spacing w:after="0" w:line="67"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The CINEMA study will evaluate the efficacy and safety of ocrelizumab in combination with methotrexate compared with infliximab plus methotrexate in patients with active RA who have an inadequate response to certain anti-TNF-alpha therapies. This study has a treatment period of approximately 6 months and involves approximately 300 patients.</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We collaborate with the Roche Group, through its wholly-owned member Genentech, on the development and commercialization of ocrelizumab.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Lixivaptan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Lixivaptan is an oral compound that is being tested in hyponatremia, an electrolyte disorder that contributes to negative patient outcomes in congestive heart failure and many other chronic diseases. Three Phase 3 trials of lixivaptan in hyponatremia are currently underway. These studies have a 60 day or six month treatment period and involve approximately 100 to 650 patients worldwide.</w:t>
      </w:r>
    </w:p>
    <w:p>
      <w:pPr>
        <w:spacing w:after="0" w:line="6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 xml:space="preserve">We collaborate with Cardiokine Biopharma LLC on the development and commercialization of lixivaptan.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Long-Acting rFactor IX</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Long-acting recombinant Factor IX (Factor IX) is a proprietary long-acting Factor IX product that is being tested in hemophilia B, a disorder in which blood clotting is impaired. In January 2010, we began patient enrollment in a Phase 2b/3 trial of Factor IX in hemophilia B, known as B-LONG. This study has a 14 month treatment period and will involve approximately 75 patients. Factor IX has received orphan drug designation for the treatment of hemophilia B from both the FDA and EMA.</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 xml:space="preserve">We collaborate with Swedish Orphan Biovitrum AB (Biovitrum) on the development and commercialization of Factor IX.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PEGylated interferon beta-1a</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PEGylated interferon beta-1a is designed to prolong the effects and reduce the dosing frequency of interferon beta-1a. During the first half of 2009, we began patient enrollment in a Phase 3 trial of PEGylated interferon beta-1a in relapsing MS, known as ADVANCE. The study is designed to have a two year treatment period and involve approximately 1,200 patients worldwide. The FDA has granted PEGylated interferon beta-1a fast track status, which may result in an expedited review.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Former Registrational Programs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Based upon the October 2009 safety review of ocrelizumab data in RA and LN clinical trials described above, we decided to close the ocrelizumab BELONG study in LN. The SCRIPT study of ocrelizumab in RA described above remains ongoing. We plan to work with regulators to determine the next step for this program.</w:t>
      </w:r>
    </w:p>
    <w:p>
      <w:pPr>
        <w:spacing w:after="0" w:line="59"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October 2009, after a strategic review of our Anti-CD80 MAb (galiximab) and Anti-CD23 MAb (lumiliximab) programs, we decided to stop recruitment in the lumiliximab LUCID trial in CLL and end the galiximab TARGET trial in NHL. Neither decision was a consequence of any safety concerns. We are evaluating our options for these programs.</w:t>
      </w:r>
    </w:p>
    <w:p>
      <w:pPr>
        <w:spacing w:after="0" w:line="3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December 2009, we determined to close our ADENTRI clinical trial for the treatment of acute decompensated heart failure with renal insufficiency after reviewing preliminary results from the trial.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Research and Development Programs</w:t>
      </w:r>
    </w:p>
    <w:p>
      <w:pPr>
        <w:spacing w:after="0" w:line="100" w:lineRule="exact"/>
        <w:rPr>
          <w:sz w:val="20"/>
          <w:szCs w:val="20"/>
          <w:color w:val="auto"/>
        </w:rPr>
      </w:pPr>
    </w:p>
    <w:p>
      <w:pPr>
        <w:ind w:left="680" w:right="200" w:firstLine="399"/>
        <w:spacing w:after="0" w:line="334" w:lineRule="auto"/>
        <w:rPr>
          <w:sz w:val="20"/>
          <w:szCs w:val="20"/>
          <w:color w:val="auto"/>
        </w:rPr>
      </w:pPr>
      <w:r>
        <w:rPr>
          <w:rFonts w:ascii="Arial" w:cs="Arial" w:eastAsia="Arial" w:hAnsi="Arial"/>
          <w:sz w:val="11"/>
          <w:szCs w:val="11"/>
          <w:color w:val="auto"/>
        </w:rPr>
        <w:t>We intend to continue to commit significant resources to research and development opportunities, focusing on novel therapeutics in areas of high unmet medical need. Highlighted below are several of our development programs that currently are not in registrational trials. Drug development involves a high degree of risk, and the status, timing and scope of our development programs are subject to change. Important factors that could adversely affect our drug development efforts are discussed in the “Risk Factors” section of this report.</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700" w:type="dxa"/>
            <w:vAlign w:val="bottom"/>
            <w:vMerge w:val="restart"/>
          </w:tcPr>
          <w:p>
            <w:pPr>
              <w:spacing w:after="0"/>
              <w:rPr>
                <w:sz w:val="20"/>
                <w:szCs w:val="20"/>
                <w:color w:val="auto"/>
              </w:rPr>
            </w:pPr>
            <w:r>
              <w:rPr>
                <w:rFonts w:ascii="Arial" w:cs="Arial" w:eastAsia="Arial" w:hAnsi="Arial"/>
                <w:sz w:val="10"/>
                <w:szCs w:val="10"/>
                <w:b w:val="1"/>
                <w:bCs w:val="1"/>
                <w:color w:val="auto"/>
              </w:rPr>
              <w:t>Therapeutic Area</w:t>
            </w:r>
          </w:p>
        </w:tc>
        <w:tc>
          <w:tcPr>
            <w:tcW w:w="120" w:type="dxa"/>
            <w:vAlign w:val="bottom"/>
          </w:tcPr>
          <w:p>
            <w:pPr>
              <w:spacing w:after="0"/>
              <w:rPr>
                <w:sz w:val="10"/>
                <w:szCs w:val="10"/>
                <w:color w:val="auto"/>
              </w:rPr>
            </w:pPr>
          </w:p>
        </w:tc>
        <w:tc>
          <w:tcPr>
            <w:tcW w:w="1900" w:type="dxa"/>
            <w:vAlign w:val="bottom"/>
            <w:vMerge w:val="restart"/>
          </w:tcPr>
          <w:p>
            <w:pPr>
              <w:spacing w:after="0"/>
              <w:rPr>
                <w:sz w:val="20"/>
                <w:szCs w:val="20"/>
                <w:color w:val="auto"/>
              </w:rPr>
            </w:pPr>
            <w:r>
              <w:rPr>
                <w:rFonts w:ascii="Arial" w:cs="Arial" w:eastAsia="Arial" w:hAnsi="Arial"/>
                <w:sz w:val="10"/>
                <w:szCs w:val="10"/>
                <w:b w:val="1"/>
                <w:bCs w:val="1"/>
                <w:color w:val="auto"/>
              </w:rPr>
              <w:t>Product Candidate</w:t>
            </w:r>
          </w:p>
        </w:tc>
        <w:tc>
          <w:tcPr>
            <w:tcW w:w="200" w:type="dxa"/>
            <w:vAlign w:val="bottom"/>
          </w:tcPr>
          <w:p>
            <w:pPr>
              <w:spacing w:after="0"/>
              <w:rPr>
                <w:sz w:val="10"/>
                <w:szCs w:val="10"/>
                <w:color w:val="auto"/>
              </w:rPr>
            </w:pPr>
          </w:p>
        </w:tc>
        <w:tc>
          <w:tcPr>
            <w:tcW w:w="1900" w:type="dxa"/>
            <w:vAlign w:val="bottom"/>
            <w:vMerge w:val="restart"/>
          </w:tcPr>
          <w:p>
            <w:pPr>
              <w:spacing w:after="0"/>
              <w:rPr>
                <w:sz w:val="20"/>
                <w:szCs w:val="20"/>
                <w:color w:val="auto"/>
              </w:rPr>
            </w:pPr>
            <w:r>
              <w:rPr>
                <w:rFonts w:ascii="Arial" w:cs="Arial" w:eastAsia="Arial" w:hAnsi="Arial"/>
                <w:sz w:val="10"/>
                <w:szCs w:val="10"/>
                <w:b w:val="1"/>
                <w:bCs w:val="1"/>
                <w:color w:val="auto"/>
              </w:rPr>
              <w:t>Targeted Indications</w:t>
            </w:r>
          </w:p>
        </w:tc>
        <w:tc>
          <w:tcPr>
            <w:tcW w:w="200" w:type="dxa"/>
            <w:vAlign w:val="bottom"/>
          </w:tcPr>
          <w:p>
            <w:pPr>
              <w:spacing w:after="0"/>
              <w:rPr>
                <w:sz w:val="10"/>
                <w:szCs w:val="10"/>
                <w:color w:val="auto"/>
              </w:rPr>
            </w:pPr>
          </w:p>
        </w:tc>
        <w:tc>
          <w:tcPr>
            <w:tcW w:w="1880" w:type="dxa"/>
            <w:vAlign w:val="bottom"/>
            <w:vMerge w:val="restart"/>
          </w:tcPr>
          <w:p>
            <w:pPr>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1880" w:type="dxa"/>
            <w:vAlign w:val="bottom"/>
          </w:tcPr>
          <w:p>
            <w:pPr>
              <w:spacing w:after="0"/>
              <w:rPr>
                <w:sz w:val="20"/>
                <w:szCs w:val="20"/>
                <w:color w:val="auto"/>
              </w:rPr>
            </w:pPr>
            <w:r>
              <w:rPr>
                <w:rFonts w:ascii="Arial" w:cs="Arial" w:eastAsia="Arial" w:hAnsi="Arial"/>
                <w:sz w:val="10"/>
                <w:szCs w:val="10"/>
                <w:b w:val="1"/>
                <w:bCs w:val="1"/>
                <w:color w:val="auto"/>
              </w:rPr>
              <w:t>Development or</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Marketing Collaborators</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Neurology</w:t>
            </w: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BIIB014</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w w:val="98"/>
              </w:rPr>
              <w:t>Parkinson’s disease — early and late stage</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Ocrelizumab</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Roche Group</w:t>
            </w: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Neublastin</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Neuropathic pain</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LINGO</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BART</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Alzheimer’s Disease</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Neurimmune SubOne AG</w:t>
            </w:r>
          </w:p>
        </w:tc>
        <w:tc>
          <w:tcPr>
            <w:tcW w:w="0" w:type="dxa"/>
            <w:vAlign w:val="bottom"/>
          </w:tcPr>
          <w:p>
            <w:pPr>
              <w:spacing w:after="0"/>
              <w:rPr>
                <w:sz w:val="1"/>
                <w:szCs w:val="1"/>
                <w:color w:val="auto"/>
              </w:rPr>
            </w:pPr>
          </w:p>
        </w:tc>
      </w:tr>
      <w:tr>
        <w:trPr>
          <w:trHeight w:val="80"/>
        </w:trPr>
        <w:tc>
          <w:tcPr>
            <w:tcW w:w="1700" w:type="dxa"/>
            <w:vAlign w:val="bottom"/>
          </w:tcPr>
          <w:p>
            <w:pPr>
              <w:spacing w:after="0" w:line="80" w:lineRule="exact"/>
              <w:rPr>
                <w:sz w:val="20"/>
                <w:szCs w:val="20"/>
                <w:color w:val="auto"/>
              </w:rPr>
            </w:pPr>
            <w:r>
              <w:rPr>
                <w:rFonts w:ascii="Arial" w:cs="Arial" w:eastAsia="Arial" w:hAnsi="Arial"/>
                <w:sz w:val="9"/>
                <w:szCs w:val="9"/>
                <w:color w:val="auto"/>
              </w:rPr>
              <w:t>Oncology</w:t>
            </w:r>
          </w:p>
        </w:tc>
        <w:tc>
          <w:tcPr>
            <w:tcW w:w="120" w:type="dxa"/>
            <w:vAlign w:val="bottom"/>
          </w:tcPr>
          <w:p>
            <w:pPr>
              <w:spacing w:after="0"/>
              <w:rPr>
                <w:sz w:val="6"/>
                <w:szCs w:val="6"/>
                <w:color w:val="auto"/>
              </w:rPr>
            </w:pPr>
          </w:p>
        </w:tc>
        <w:tc>
          <w:tcPr>
            <w:tcW w:w="1900" w:type="dxa"/>
            <w:vAlign w:val="bottom"/>
          </w:tcPr>
          <w:p>
            <w:pPr>
              <w:spacing w:after="0" w:line="80" w:lineRule="exact"/>
              <w:rPr>
                <w:sz w:val="20"/>
                <w:szCs w:val="20"/>
                <w:color w:val="auto"/>
              </w:rPr>
            </w:pPr>
            <w:r>
              <w:rPr>
                <w:rFonts w:ascii="Arial" w:cs="Arial" w:eastAsia="Arial" w:hAnsi="Arial"/>
                <w:sz w:val="9"/>
                <w:szCs w:val="9"/>
                <w:color w:val="auto"/>
              </w:rPr>
              <w:t>Hsp90 Inhibitor (CNF2024)</w:t>
            </w:r>
          </w:p>
        </w:tc>
        <w:tc>
          <w:tcPr>
            <w:tcW w:w="200" w:type="dxa"/>
            <w:vAlign w:val="bottom"/>
          </w:tcPr>
          <w:p>
            <w:pPr>
              <w:spacing w:after="0"/>
              <w:rPr>
                <w:sz w:val="6"/>
                <w:szCs w:val="6"/>
                <w:color w:val="auto"/>
              </w:rPr>
            </w:pPr>
          </w:p>
        </w:tc>
        <w:tc>
          <w:tcPr>
            <w:tcW w:w="1900" w:type="dxa"/>
            <w:vAlign w:val="bottom"/>
          </w:tcPr>
          <w:p>
            <w:pPr>
              <w:spacing w:after="0" w:line="80" w:lineRule="exact"/>
              <w:rPr>
                <w:sz w:val="20"/>
                <w:szCs w:val="20"/>
                <w:color w:val="auto"/>
              </w:rPr>
            </w:pPr>
            <w:r>
              <w:rPr>
                <w:rFonts w:ascii="Arial" w:cs="Arial" w:eastAsia="Arial" w:hAnsi="Arial"/>
                <w:sz w:val="9"/>
                <w:szCs w:val="9"/>
                <w:color w:val="auto"/>
              </w:rPr>
              <w:t>Solid tumors — gastrointestinal stromal</w:t>
            </w:r>
          </w:p>
        </w:tc>
        <w:tc>
          <w:tcPr>
            <w:tcW w:w="200" w:type="dxa"/>
            <w:vAlign w:val="bottom"/>
          </w:tcPr>
          <w:p>
            <w:pPr>
              <w:spacing w:after="0"/>
              <w:rPr>
                <w:sz w:val="6"/>
                <w:szCs w:val="6"/>
                <w:color w:val="auto"/>
              </w:rPr>
            </w:pPr>
          </w:p>
        </w:tc>
        <w:tc>
          <w:tcPr>
            <w:tcW w:w="1880" w:type="dxa"/>
            <w:vAlign w:val="bottom"/>
          </w:tcPr>
          <w:p>
            <w:pPr>
              <w:spacing w:after="0" w:line="80" w:lineRule="exact"/>
              <w:rPr>
                <w:sz w:val="20"/>
                <w:szCs w:val="20"/>
                <w:color w:val="auto"/>
              </w:rPr>
            </w:pPr>
            <w:r>
              <w:rPr>
                <w:rFonts w:ascii="Arial" w:cs="Arial" w:eastAsia="Arial" w:hAnsi="Arial"/>
                <w:sz w:val="9"/>
                <w:szCs w:val="9"/>
                <w:color w:val="auto"/>
              </w:rPr>
              <w:t>Phase 2</w:t>
            </w: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tumors</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GA101</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NHL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w w:val="95"/>
              </w:rPr>
              <w:t>Roche Group (Our rights are limited to U.S.)</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Anti-CD80 MAb (galiximab)</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NHL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Anti-CD23 MAb (lumiliximab)</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CLL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Anti-IGF-1R (BIIB022)</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 — liver cancer</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Volociximab (M200)</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Non-small cell lung cancer</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Facet Biotech Corporation</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Anti-CRIPTO</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RAF Inhibitor (BIIB024)</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Anti-Fn14</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Immunology</w:t>
            </w:r>
          </w:p>
        </w:tc>
        <w:tc>
          <w:tcPr>
            <w:tcW w:w="120" w:type="dxa"/>
            <w:vAlign w:val="bottom"/>
            <w:shd w:val="clear" w:color="auto" w:fill="CCEEFF"/>
          </w:tcPr>
          <w:p>
            <w:pPr>
              <w:spacing w:after="0"/>
              <w:rPr>
                <w:sz w:val="8"/>
                <w:szCs w:val="8"/>
                <w:color w:val="auto"/>
              </w:rPr>
            </w:pPr>
          </w:p>
        </w:tc>
        <w:tc>
          <w:tcPr>
            <w:tcW w:w="19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BG-12</w:t>
            </w:r>
          </w:p>
        </w:tc>
        <w:tc>
          <w:tcPr>
            <w:tcW w:w="200" w:type="dxa"/>
            <w:vAlign w:val="bottom"/>
            <w:tcBorders>
              <w:bottom w:val="single" w:sz="8" w:color="auto"/>
            </w:tcBorders>
            <w:shd w:val="clear" w:color="auto" w:fill="CCEEFF"/>
          </w:tcPr>
          <w:p>
            <w:pPr>
              <w:spacing w:after="0"/>
              <w:rPr>
                <w:sz w:val="8"/>
                <w:szCs w:val="8"/>
                <w:color w:val="auto"/>
              </w:rPr>
            </w:pPr>
          </w:p>
        </w:tc>
        <w:tc>
          <w:tcPr>
            <w:tcW w:w="19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RA</w:t>
            </w:r>
          </w:p>
        </w:tc>
        <w:tc>
          <w:tcPr>
            <w:tcW w:w="200" w:type="dxa"/>
            <w:vAlign w:val="bottom"/>
            <w:tcBorders>
              <w:bottom w:val="single" w:sz="8" w:color="auto"/>
            </w:tcBorders>
            <w:shd w:val="clear" w:color="auto" w:fill="CCEEFF"/>
          </w:tcPr>
          <w:p>
            <w:pPr>
              <w:spacing w:after="0"/>
              <w:rPr>
                <w:sz w:val="8"/>
                <w:szCs w:val="8"/>
                <w:color w:val="auto"/>
              </w:rPr>
            </w:pPr>
          </w:p>
        </w:tc>
        <w:tc>
          <w:tcPr>
            <w:tcW w:w="18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8"/>
                <w:szCs w:val="8"/>
                <w:color w:val="auto"/>
              </w:rPr>
            </w:pPr>
          </w:p>
        </w:tc>
        <w:tc>
          <w:tcPr>
            <w:tcW w:w="18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Anti-TWEAK</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Anti-CD40L Fab</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Systemic lupus erythematosus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UCB, S.A.</w:t>
            </w:r>
          </w:p>
        </w:tc>
        <w:tc>
          <w:tcPr>
            <w:tcW w:w="0" w:type="dxa"/>
            <w:vAlign w:val="bottom"/>
          </w:tcPr>
          <w:p>
            <w:pPr>
              <w:spacing w:after="0"/>
              <w:rPr>
                <w:sz w:val="1"/>
                <w:szCs w:val="1"/>
                <w:color w:val="auto"/>
              </w:rPr>
            </w:pPr>
          </w:p>
        </w:tc>
      </w:tr>
      <w:tr>
        <w:trPr>
          <w:trHeight w:val="123"/>
        </w:trPr>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Anti-FcRn</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Pemphigus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Cardiopulmonary</w:t>
            </w:r>
          </w:p>
        </w:tc>
        <w:tc>
          <w:tcPr>
            <w:tcW w:w="120" w:type="dxa"/>
            <w:vAlign w:val="bottom"/>
            <w:tcBorders>
              <w:bottom w:val="single" w:sz="8" w:color="auto"/>
            </w:tcBorders>
            <w:shd w:val="clear" w:color="auto" w:fill="CCEEFF"/>
          </w:tcPr>
          <w:p>
            <w:pPr>
              <w:spacing w:after="0"/>
              <w:rPr>
                <w:sz w:val="8"/>
                <w:szCs w:val="8"/>
                <w:color w:val="auto"/>
              </w:rPr>
            </w:pPr>
          </w:p>
        </w:tc>
        <w:tc>
          <w:tcPr>
            <w:tcW w:w="19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Lixivaptan</w:t>
            </w:r>
          </w:p>
        </w:tc>
        <w:tc>
          <w:tcPr>
            <w:tcW w:w="200" w:type="dxa"/>
            <w:vAlign w:val="bottom"/>
            <w:tcBorders>
              <w:bottom w:val="single" w:sz="8" w:color="auto"/>
            </w:tcBorders>
            <w:shd w:val="clear" w:color="auto" w:fill="CCEEFF"/>
          </w:tcPr>
          <w:p>
            <w:pPr>
              <w:spacing w:after="0"/>
              <w:rPr>
                <w:sz w:val="8"/>
                <w:szCs w:val="8"/>
                <w:color w:val="auto"/>
              </w:rPr>
            </w:pPr>
          </w:p>
        </w:tc>
        <w:tc>
          <w:tcPr>
            <w:tcW w:w="190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Congestive heart failure</w:t>
            </w:r>
          </w:p>
        </w:tc>
        <w:tc>
          <w:tcPr>
            <w:tcW w:w="200" w:type="dxa"/>
            <w:vAlign w:val="bottom"/>
            <w:tcBorders>
              <w:bottom w:val="single" w:sz="8" w:color="auto"/>
            </w:tcBorders>
            <w:shd w:val="clear" w:color="auto" w:fill="CCEEFF"/>
          </w:tcPr>
          <w:p>
            <w:pPr>
              <w:spacing w:after="0"/>
              <w:rPr>
                <w:sz w:val="8"/>
                <w:szCs w:val="8"/>
                <w:color w:val="auto"/>
              </w:rPr>
            </w:pPr>
          </w:p>
        </w:tc>
        <w:tc>
          <w:tcPr>
            <w:tcW w:w="18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8"/>
                <w:szCs w:val="8"/>
                <w:color w:val="auto"/>
              </w:rPr>
            </w:pPr>
          </w:p>
        </w:tc>
        <w:tc>
          <w:tcPr>
            <w:tcW w:w="18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Cardiokine Biopharma LLC</w:t>
            </w:r>
          </w:p>
        </w:tc>
        <w:tc>
          <w:tcPr>
            <w:tcW w:w="0" w:type="dxa"/>
            <w:vAlign w:val="bottom"/>
          </w:tcPr>
          <w:p>
            <w:pPr>
              <w:spacing w:after="0"/>
              <w:rPr>
                <w:sz w:val="1"/>
                <w:szCs w:val="1"/>
                <w:color w:val="auto"/>
              </w:rPr>
            </w:pPr>
          </w:p>
        </w:tc>
      </w:tr>
      <w:tr>
        <w:trPr>
          <w:trHeight w:val="103"/>
        </w:trPr>
        <w:tc>
          <w:tcPr>
            <w:tcW w:w="1700" w:type="dxa"/>
            <w:vAlign w:val="bottom"/>
            <w:tcBorders>
              <w:bottom w:val="single" w:sz="8" w:color="auto"/>
            </w:tcBorders>
          </w:tcPr>
          <w:p>
            <w:pPr>
              <w:spacing w:after="0" w:line="103" w:lineRule="exact"/>
              <w:rPr>
                <w:sz w:val="20"/>
                <w:szCs w:val="20"/>
                <w:color w:val="auto"/>
              </w:rPr>
            </w:pPr>
            <w:r>
              <w:rPr>
                <w:rFonts w:ascii="Arial" w:cs="Arial" w:eastAsia="Arial" w:hAnsi="Arial"/>
                <w:sz w:val="10"/>
                <w:szCs w:val="10"/>
                <w:color w:val="auto"/>
              </w:rPr>
              <w:t>Hemophilia</w:t>
            </w:r>
          </w:p>
        </w:tc>
        <w:tc>
          <w:tcPr>
            <w:tcW w:w="1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line="103" w:lineRule="exact"/>
              <w:rPr>
                <w:sz w:val="20"/>
                <w:szCs w:val="20"/>
                <w:color w:val="auto"/>
              </w:rPr>
            </w:pPr>
            <w:r>
              <w:rPr>
                <w:rFonts w:ascii="Arial" w:cs="Arial" w:eastAsia="Arial" w:hAnsi="Arial"/>
                <w:sz w:val="10"/>
                <w:szCs w:val="10"/>
                <w:color w:val="auto"/>
              </w:rPr>
              <w:t>Long-acting rFactor VIII</w:t>
            </w:r>
          </w:p>
        </w:tc>
        <w:tc>
          <w:tcPr>
            <w:tcW w:w="2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line="103" w:lineRule="exact"/>
              <w:rPr>
                <w:sz w:val="20"/>
                <w:szCs w:val="20"/>
                <w:color w:val="auto"/>
              </w:rPr>
            </w:pPr>
            <w:r>
              <w:rPr>
                <w:rFonts w:ascii="Arial" w:cs="Arial" w:eastAsia="Arial" w:hAnsi="Arial"/>
                <w:sz w:val="10"/>
                <w:szCs w:val="10"/>
                <w:color w:val="auto"/>
              </w:rPr>
              <w:t>Hemophilia A</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line="103" w:lineRule="exact"/>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line="103" w:lineRule="exact"/>
              <w:rPr>
                <w:sz w:val="20"/>
                <w:szCs w:val="20"/>
                <w:color w:val="auto"/>
              </w:rPr>
            </w:pPr>
            <w:r>
              <w:rPr>
                <w:rFonts w:ascii="Arial" w:cs="Arial" w:eastAsia="Arial" w:hAnsi="Arial"/>
                <w:sz w:val="10"/>
                <w:szCs w:val="10"/>
                <w:color w:val="auto"/>
              </w:rPr>
              <w:t>Swedish Orphan Biovitrum AB</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Other Proprietary Rights</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Patents are important to developing and protecting our competitive position. We regularly seek patent protection in the U.S. and in selected countries outside the U.S. for inventions originating from our research and development efforts. In addition, we license rights to various patents and patent applications, generally, in return for the payment of royalties to the patent owner. U.S. patents, as well as most foreign patents, are generally effective for 20 years from the date the earliest (priority) application was filed; however, U.S. patents that issue on applications filed before June 8, 1995 may be effective until 17 years from the issue date, if that is later than the 20 year date. In some cases, the patent term may be extended to recapture a portion of the term lost during FDA regulatory review or because of U.S. Patent and Trademark Office (USPTO) delays in prosecuting the application. The duration of foreign patents varies similarly, in accordance with local law.</w:t>
      </w:r>
    </w:p>
    <w:p>
      <w:pPr>
        <w:spacing w:after="0" w:line="72" w:lineRule="exact"/>
        <w:rPr>
          <w:sz w:val="20"/>
          <w:szCs w:val="20"/>
          <w:color w:val="auto"/>
        </w:rPr>
      </w:pPr>
    </w:p>
    <w:p>
      <w:pPr>
        <w:jc w:val="both"/>
        <w:ind w:left="680" w:right="400" w:firstLine="399"/>
        <w:spacing w:after="0" w:line="296" w:lineRule="auto"/>
        <w:rPr>
          <w:sz w:val="20"/>
          <w:szCs w:val="20"/>
          <w:color w:val="auto"/>
        </w:rPr>
      </w:pPr>
      <w:r>
        <w:rPr>
          <w:rFonts w:ascii="Arial" w:cs="Arial" w:eastAsia="Arial" w:hAnsi="Arial"/>
          <w:sz w:val="12"/>
          <w:szCs w:val="12"/>
          <w:color w:val="auto"/>
        </w:rPr>
        <w:t>We also rely upon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50"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Our trademarks, including RITUXAN and AVONEX, are important to us and are generally covered by trademark applications or registrations in the USPTO and the patent offices of other countries. We also use trademarks licensed from third parties, such as the mark TYSABRI which we license from Elan. Trademark protection varies in accordance with local law, and continues in some countries as long as the mark is used and in other countries as long as the mark is registered. Trademark registrations generally are for fixed but renewable terms.</w:t>
      </w:r>
    </w:p>
    <w:p>
      <w:pPr>
        <w:spacing w:after="0" w:line="5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patent position and proprietary rights are subject to certain risks and uncertainties. Please read the “Risk Factors” section of this report for information about certain risks and uncertainties that may affect our patent position and proprietary rights.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about the patents and other proprietary rights covering our marketed products is set forth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AVONEX and Beta Interferon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U.S. patent No. 7,588,755, granted in September 2009, claims the use of beta interferon for immunomodulation or treating a viral condition, viral disease, cancers or tumors. This patent, which expires in September 2026, covers the treatment of MS with AVONEX.</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have non-exclusive rights under certain third-party patents and patent applications to manufacture, use and sell AVONEX, including patents owned by the Japanese Foundation for Cancer Research which expire in 2011 and 2013 in the U.S., and a European patent owned by Rentschler Biotechnologie GmbH and which expires in 2012. Additionally, third parties own pending U.S. patent applications related to recombinant interferon-beta. These applications, which fall outside of the GATT amendments to the U.S. patent statute, are not published by the USPTO and, if they mature into granted patents, may be entitled to a term of seventeen years from the grant date. There is at least one pending interference proceeding in the USPTO involving such third party applications, and additional interferences could be declared in the future. We are unable to predict which, if any, such applications will mature into patents with claims relevant to our AVONEX product.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and Anti-CD20 Antibodies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have several U.S. patents and patent applications, and numerous corresponding foreign counterparts, directed to anti-CD20 antibody technology, including RITUXAN. The principal patents with claims to RITUXAN or its uses expire in the U.S. between 2015 and 2018 and in the rest of the world in 2013, subject to any available patent term extensions. In addition, we and our collaborator, Genentech, have filed numerous patent applications directed to anti-CD20 antibodies and their uses to treat various diseases. These pending patent applications have the potential of issuing as patents in the U.S. and in the rest of world with claims to anti-CD20 antibody molecules for periods beyond that stated above for RITUXAN. In 2008, a European patent of ours claiming the treatment with</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anti-CD20 antibodies of certain auto-immune indications, including rheumatoid arthritis, was revoked by the European Patent Office. We are appealing that decision.</w:t>
      </w:r>
    </w:p>
    <w:p>
      <w:pPr>
        <w:spacing w:after="0" w:line="96"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Genentech, our collaborator on RITUXAN, has secured an exclusive license to five U.S. patents and counterpart U.S. and foreign patent applications assigned to Xoma Corporation that relate to chimeric antibodies against the CD20 antigen. These patents expire between 2007 and 2014. Genentech has granted us a non-exclusive sublicense to make, have made, use and sell RITUXAN under these patents and patent applications. We, along with Genentech, share the cost of any royalties due to Xoma in our co-promotion territory on sales of RITUXAN.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and our collaborator, Elan, have patents and patent applications covering TYSABRI in the U.S. and other countries. These patents and patent applications cover TYSABRI and related manufacturing methods, as well as various methods of treatment using the product. In the U.S., the principal patents covering the product and use of the product to treat MS generally expire between 2015 and 2020. Additional U.S. patents and applications covering other indications, including treatment of irritable bowel disease, and methods of manufacturing generally expire between 2012 and 2020. In the rest of world, patents on the product and methods of manufacturing the product generally expire between 2015 and 2020, subject to any supplemental protection (i.e., patent term extension) certificates that may be obtained. In the rest of world, patents and patent applications covering methods of treatment using TYSABRI generally expire between 2012 and 2020.</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Marketing and Distribution</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selling initiatives, public relations and other methods. We provide customer service and other related programs for our products, such as disease and product-specific websites, insurance research services and order, delivery and fulfillment services. We have also established programs in the U.S. which provide qualified uninsured or underinsured patients with marketed products at no or reduced charge. Additional information about our sales, marketing and distribution efforts for our marketed products is set forth below.</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continue to focus our marketing and sales activities on maximizing the potential of AVONEX in the U.S. and the rest of world in the face of increased competition. The principal markets for AVONEX are the U.S., Germany, France, and Italy. In the U.S., Canada, Brazil, Argentina, Australia, Japan and most of the major countries of the European Union, we market and sell AVONEX through our own sales forces and marketing groups and distribute AVONEX principally through wholesale distributors of pharmaceutical products, mail order specialty distributors or shipping service providers. In other countries, we sell AVONEX to distribution partners who are then responsible for most marketing and distribution activities.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In the U.S., we contribute a sales force and other resources to the marketing of RITUXAN, which is managed primarily by the Roche Group through its wholly-owned member and our collaborator Genentech. RITUXAN is generally sold to wholesalers, specialty distributors and directly to hospital pharmacies. Marketing efforts are focused on hematologists, medical oncologists and rheumatologists in private practice, at community hospitals and at major medical centers in the U.S. The Roche Group provides marketing support services for RITUXAN, including customer service, order entry, shipping, billing, insurance verification assistance, managed care sales support, medical information and sales training.</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rest of world, the Roche Group and its sublicensees market and sell RITUXAN without our participation.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principal markets for TYSABRI are the U.S., Germany, France and Italy.</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In the U.S., we are principally responsible for marketing TYSABRI for MS and Elan is principally responsible for marketing TYSABRI for CD. We and Elan use our respective sales forces and marketing groups for these activities. Elan is responsible for TYSABRI distribution in the U.S. and uses a third party distributor to ship TYSABRI directly to customers.</w:t>
      </w:r>
    </w:p>
    <w:p>
      <w:pPr>
        <w:spacing w:after="0" w:line="35"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rest of world, we are responsible for TYSABRI marketing and distribution and we use a combination of our own sales force and marketing group and third party service providers.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been marketing and distributing FUMADERM directly in Germany since February 2009 and previously used a third party service provider.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Competition in the biotechnology and pharmaceutical industries is intense and comes from many and varied sources, including specialized biotechnology firms and large pharmaceutical companies. Many of our competitors are working to develop products similar to those we are developing or already market and have considerable experience in undertaking clinical trials and in obtaining regulatory approval to market pharmaceutical products. Certain of these companies have substantially greater financial, marketing, research and development and human resources than we do.</w:t>
      </w:r>
    </w:p>
    <w:p>
      <w:pPr>
        <w:spacing w:after="0" w:line="70"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We believe that competition and leadership in the industry will be based on managerial and technological superiority and establishing patent and other proprietary positions through research and development.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 Another key aspect of remaining competitive within the industry is recruiting and retaining qualified scientists and technicians. We believe that we have been successful in attracting skilled and experienced scientific personnel.</w:t>
      </w:r>
    </w:p>
    <w:p>
      <w:pPr>
        <w:spacing w:after="0" w:line="3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Competition among products approved for sale may be based, among other things, on patent position, product efficacy, safety, convenience,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an important impact on our competitive position.</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may face increased competitive pressures as a result of the emergence of biosimilars. Most of our marketed products, including AVONEX, RITUXAN and TYSABRI, are licensed under the Public Health Service Act as biological products. Unlike small molecule drugs, which are subject to the generic drug provisions (Hatch-Waxman Act) of the U.S. Food, Drug, and Cosmetic Act, currently there is no process in the U.S. for the submission or approval of biological products based upon abbreviated data packages or a showing of sameness to another approved product. There is public dialogue at the FDA and in the Congress, however, regarding the scientific and statutory basis upon which such products, known as biosimilars or follow-on biologics, could be approved and marketed in the U.S. We cannot be certain when, or if, Congress will create a statutory pathway for the approval of biosimilars. In the European Union, the EMA has issued guidelines for approving of biological products through an abbreviated pathway, and several biosimilars have been approved. If a biosimilar version of one of our products were approved, it could reduce our sales of that product.</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about the competition that our marketed products face is set forth below.</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 AND TYSABRI</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AVONEX and TYSABRI both compete primarily with three other products:</w:t>
      </w:r>
    </w:p>
    <w:p>
      <w:pPr>
        <w:spacing w:after="0" w:line="96" w:lineRule="exact"/>
        <w:rPr>
          <w:sz w:val="20"/>
          <w:szCs w:val="20"/>
          <w:color w:val="auto"/>
        </w:rPr>
      </w:pPr>
    </w:p>
    <w:p>
      <w:pPr>
        <w:ind w:left="1280" w:right="40" w:hanging="190"/>
        <w:spacing w:after="0" w:line="26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BETASERON (interferon-beta-1b), which is marketed by Bayer HealthCare Pharmaceuticals, the U.S. pharmaceuticals affiliate of Bayer Schering Pharma AG, in the U.S. and is marketed under the name BETAFERON by Bayer Schering Pharma AG in the European Union. BETASERON and BETAFERON together generated worldwide revenues of approximately $1.7 billion in 2008. EXTAVIA, a branded version of interferon beta-1b marketed by Novartis AG, is sold in the European Union and was launched in the U.S. in October 2009.</w:t>
      </w:r>
    </w:p>
    <w:p>
      <w:pPr>
        <w:spacing w:after="0" w:line="5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COPAXONE (glatiramer acetate), which is marketed by Teva Pharmaceutical Industries Ltd. in the U.S. and copromoted by Teva Pharmaceutical Industries and Sanofi-Aventis in Europe. COPAXONE generated worldwide revenues of approximately $2.3 billion in 2008.</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REBIF (interferon-beta-1a), which is co-promoted by EMD Serono, a subsidiary of Merck Serono, and Pfizer Inc. in the U.S. and is marketed by Merck Serono in the European Union. REBIF generated worldwide revenues of approximately $2.0 billion in 2008.</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Along with us, a number of companies are working to develop products to treat MS that may in the future compete with AVONEX and TYSABRI. For example, an oral formulation of cladribine (developed by Merck Serono) was filed with the EMA and is the subject of discussions with the FDA regarding a refiling for approval as therapy for MS and FTY720 (fingolimod) (developed by Novartis AG) has been filed with the EMA and FDA for approval as an oral therapy for MS. In addition, alemtuzumab (developed by Genzyme Corporation) and laquinimod (developed by Teva Pharmaceutical Industries) are in late-stage development for the treatment of MS.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AVONEX and TYSABRI also face competition from off-label uses of drugs approved for other indications.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IN ONCOLOGY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RITUXAN competes with several different types of therapies in the oncology market, including:</w:t>
      </w:r>
    </w:p>
    <w:p>
      <w:pPr>
        <w:spacing w:after="0" w:line="96"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CAMPATH (marketed by Bayer HealthCare Pharmaceuticals), which is indicated for B-cell CLL (an unapproved and unpromoted use of RITUXAN).</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TREANDA (marketed by Cephalon) and ARZERRA (marketed by GenMab in collaboration with GlaxoSmithKline), which is indicated for refractory CLL patients to both alemtuzumab and fludarabine (an unapproved and unpromoted use of RITUXAN).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also aware of other anti-CD20 molecules in development that, if successfully developed and registered, may compete with RITUXAN in the oncology market.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IN RA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RITUXAN competes with several different types of therapies in the RA market, including:</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traditional therapies for RA, including disease-modifying anti-rheumatic drugs such as steroids, methotrexate and cyclosporine, and pain relievers such as acetaminophen.</w:t>
      </w:r>
    </w:p>
    <w:p>
      <w:pPr>
        <w:spacing w:after="0" w:line="97" w:lineRule="exact"/>
        <w:rPr>
          <w:rFonts w:ascii="Arial" w:cs="Arial" w:eastAsia="Arial" w:hAnsi="Arial"/>
          <w:sz w:val="12"/>
          <w:szCs w:val="12"/>
          <w:color w:val="auto"/>
        </w:rPr>
      </w:pPr>
    </w:p>
    <w:p>
      <w:pPr>
        <w:ind w:left="1280" w:right="14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TNF inhibitors, such as REMICADE (infliximab) and SIMPONI (golimumab) (marketed by Johnson &amp; Johnson), HUMIRA (adalimumab) (marketed by Abbott Laboratories), ENBREL (etanercept) (marketed by Amgen, Inc. and Pfizer) and CIMZIA (certolizumab pegol) (marketed by UCB, S.A.).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ORENCIA (abatacept) (marketed by Bristol-Myers Squibb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ACTEMRA (tocilizumab) (marketed by the Roche Group).</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also aware of other products in development that, if successfully developed and registered, may compete with RITUXAN in the RA market.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FUMADERM competes with several different types of therapies in the psoriasis market within Germany, including oral systemics such as methotrexate and cyclosporine.</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current and contemplated activities and the products and processes that will result from such activities are subject to substantial government regulation.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of Pharmaceuticals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Before new pharmaceutical products may be sold in the U.S. and other countries, clinical trials of the products must be conducted and the results submitted to appropriate regulatory agencies for approval. Clinical trial programs must establish efficacy, determine an appropriate dose and regimen, and define the conditions for safe use. This is a high-risk process that requires stepwise clinical studies in which the candidate product must successfully meet predetermined endpoints. In the U.S., the results of the preclinical and clinical testing of a product are then submitted to the FDA in the form of a Biologics License Application (BLA) or a New Drug Application (NDA). In response to a BLA or NDA, the FDA may grant marketing approval, request additional information or deny the application if it determines the application does not provide an adequate basis for approval. Similar submissions are required by authorities in other jurisdictions who independently assess the product and may reach the same or different conclusions. Our initial focus for obtaining marketing approval outside the U.S. is typically the European Union. There are currently three potential tracks for marketing approval in E.U. countries: mutual recognition, decentralized procedures, and centralized procedures. These review mechanisms may ultimately lead to approval in all countries within the European Union, but each method grants all participating countries some decision-making authority in product approval.</w:t>
      </w:r>
    </w:p>
    <w:p>
      <w:pPr>
        <w:spacing w:after="0" w:line="74"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receipt of regulatory approval often takes a number of years, involves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FDA approval or approvals from other regulatory agencies have been obtained, further clinical trials may be required to provide additional data on safety and effectiveness. Additional trials are required to gain clearance for the use of a product as a treatment for indications other than those initially approved. Furthermore, the FDA and other regulatory agencies require companies to disclose clinical trial results. Failure to disclose such results within applicable time periods could result in penalties, including civil monetary penalties.</w:t>
      </w:r>
    </w:p>
    <w:p>
      <w:pPr>
        <w:spacing w:after="0" w:line="72"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In the U.S., the FDA may grant “accelerated approval” 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or when the product is shown to be effective but can be safely used only if access to or distribution of the product is restricted. When approval is based on surrogate endpoints or clinical endpoints other than survival or morbidity, the sponsor will be required to conduct additional clinical studies to verify and describe clinical benefit. When accelerated approval requires restricted use or distribution, the sponsor may be required to establish rigorous systems to assure use of the product under safe conditions. These systems are usually referred to as Risk Minimization Action Plans (RiskMAPs) or Risk Evaluation and Mitigation Strategies (REMS). In addition, for all products approved under accelerated approval, sponsors must submit all copies of its promotional materials, including advertisements, to the FDA at least thirty days prior to their initial dissemination. Accelerated approval status does not ensure that FDA will ultimately approve the product. The FDA may also withdraw approval under accelerated approval after a hearing if, for instance, post-marketing studies fail to verify any clinical benefit or it becomes clear that restrictions on the distribution of the product are inadequate to ensure its safe use. TYSABRI was approved in MS under the accelerated approval pathway and, after efficacy was confirmed, was approved under a stringent restricted distribution program. TYSABRI was also approved for Crohn’s disease under a similar restricted distribution program. We cannot be certain that the FDA will approve any products for their proposed indications whether under accelerated approval or another pathway.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the FDA or other regulatory agency approves a product or new indication, the agency may require us to conduct additional post-marketing studies. If we fail to conduct the required studies or otherwise fail to comply with the conditions of accelerated approval, the agency may withdraw its approval. In addition, the FDA and EMA can impose financial penalties for failing to comply with certain post-marketing commitments, including RiskMAPs and REMS.</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Regulatory authorities track information on side effects and adverse events reported during clinical studies and after marketing approval. Non-compliance with FDA safety reporting requirements may result in civil or criminal penalties. Side effects or adverse events that are reported during clinical trials can delay, impede, or prevent marketing approval. The FDA may conduct post-marketing safety surveillance and may require additional post-approval studies or clinical trials. These requirements may affect our ability to maintain marketing approval of our products or require us to make significant expenditures to obtain or maintain such approvals. In addition, adverse events that are reported after marketing approval can result in changes to the product’s labeling, additional limitations being placed on the product’s use and, potentially, withdrawal or suspension of the product from the market.</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seek to make certain changes to an approved product, such as adding a new indication, making certain manufacturing changes, or changing manufacturers or suppliers of certain ingredients or components, regulatory authorities, including the FDA and EMA, will need to review and approve such changes in advance.</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addition, the FDA regulates all advertising and promotion activities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 Manufacturing Practices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FDA, the EMA and other regulatory agencies regulate and inspect equipment, facilities, and processes used in the manufacturing of 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and product-specific regulations enforced by the FDA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the suspension of our manufacturing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 Clinical Practices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FDA, the EMA and other regulatory agencies promulgate regulations and standards, commonly referred to as current Good Clinical Practices (cGCP), for designing, conducting, monitoring, auditing and reporting the results of clinical trials to ensure that the data and results are accurate and that the trial participants are adequately protected. The FDA, the EMA and other regulatory agencies enforce cGCP through periodic inspections of trial sponsors, principal investigators and trial sites. If our study sites fail to comply with applicable cGCP, the clinical data generated in our clinical trials may be deemed unreliable and relevant regulatory agencies may require us to perform additional clinical trials before approving our marketing applications.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Orphan Drug Act</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Under the U.S. Orphan Drug Act, the FDA may grant orphan drug designation to drugs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including within the European Union.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Pertaining to Sales, Marketing and Product Pricing</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the U.S., the federal government regularly considers reforming health care coverage and costs. For example, reforms to Medicare have reduced the reimbursement rates for many of our products. Effective January 1, 2005, Medicare pays physicians and suppliers that furnish our products under a payment methodology using average sales price (ASP) information. Manufacturers, including us, are required to provide ASP information to the Centers for Medicare and Medicaid Services on a quarterly basis. The manufacturer-submitted information is used to compute Medicare payment rates, which are set at ASP plus 6 percent and updated quarterly. There is a mechanism for comparison of such payment rates to widely available market prices, which could cause further decreases in Medicare payment rates, although this mechanism has yet to be utilized. Effective January 1, 2006, Medicare began to use the same payment methodology to determine Medicare rates paid for products furnished by hospital outpatient departments. As of January 1, 2010, the reimbursement rate in the hospital outpatient setting is ASP plus 4 percent. If a manufacturer is found to have made a misrepresentation in the reporting of ASP, the statute provides for civil monetary penalties of up to $10,000 for each misrepresentation and for each day in which the misrepresentation was applied.</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Another payment reform is the addition of an expanded prescription drug benefit for all Medicare beneficiaries known as Medicare Part D. This is a voluntary benefit that is provided through private plans under contractual arrangements with the federal government. Like pharmaceutical coverage through private health insurance, Part D plans establish formularies that govern the drugs and biologicals that will be offered and the out- of-pocket obligations for such products. In addition, plans negotiate discounts from drug manufacturers and pass on some of those savings to Medicare beneficiaries.</w:t>
      </w:r>
    </w:p>
    <w:p>
      <w:pPr>
        <w:spacing w:after="0" w:line="7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In the U.S., Congress has considered legislation to reform the healthcare system that likely would have an adverse impact on our revenues, by, among other things, increasing the current Medicaid rebate, adding a subsidy for certain out-of-pocket patient costs under Medicare Part D, and assessing a pharmaceutical manufacturer fee. In addition, the passage in the U.S. of legislation defining a pathway for biosimilar products likely would have an adverse impact on our revenues.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Future legislation or regulatory actions implementing recent or future legislation may have a significant effect on our business. Our ability to successfully commercialize products may depend in part on the extent to which reimbursement for the costs of our products and related treatments will be available in the U.S. and worldwide from government health administration authorities, private health insurers and other organizations. Substantial uncertainty exists as to the reimbursement status of newly approved health care products by third party payors.</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also participate in the Medicaid rebate program. Under the Medicaid rebate program, we pay a rebate for each unit of product reimbursed by Medicaid. The amount of the rebate for each product is set by law as the larger of 15.1% of average manufacturer price (AMP) or the difference between AMP and the best price available from us to any commercial or non-governmental customer. The rebate amount must be adjusted upward where the AMP for a product’s first full quarter of sales, when adjusted for increases in the Consumer Price Index — Urban exceeds the AMP for the current quarter with the upward adjustment equal to the excess amount. The rebate amount is required to be recomputed each quarter based on our report of current AMP and best price for each of our products to the Centers for Medicare and Medicaid Services. The terms of our participation in the program imposes a requirement for us to report revisions to AMP or best price within a period not to exceed 12 quarters from the quarter in which the data was originally due. Any such revisions could have the impact of increasing or decreasing our rebate liability for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prior quarters, depending on the direction of the revision. In addition, if we were found to have knowingly submitted false information to the government, the statute provides for civil monetary penalties in the amount not to exceed $100,000 per item of false information in addition to other penalties available to the government.</w:t>
      </w:r>
    </w:p>
    <w:p>
      <w:pPr>
        <w:spacing w:after="0" w:line="59"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availability of federal funds to pay for our products under the Medicaid and Medicare Part B programs requires that we extend discounts to a variety of community health clinics and other entities that receive health services grants from the Public Health Service, as well as hospitals that serve a disproportionate share of poor Medicare beneficiaries.</w:t>
      </w:r>
    </w:p>
    <w:p>
      <w:pPr>
        <w:spacing w:after="0" w:line="35"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We also make our products available for purchase by authorized users of the Federal Supply Schedule (FSS) of the General Services Administration pursuant to our FSS contract with the Department of Veterans Affairs. Under the Veterans Health Care Act of 1992 (VHC Act) we are required to offer deeply discounted FSS contract pricing to four federal agencies — the Department of Veterans Affairs, the Department of Defense, the Coast Guard and the Public Health Service (including the Indian Health Service) — for federal funding to be made available for reimbursement of any of our products under the Medicaid program and for our products to be eligible to be purchased by those four federal agencies and certain federal grantees. FSS pricing to those four federal agencies must be equal to or less than the “Federal Ceiling Price,” which is discounted, at a minimum, 24% from the Non-Federal Average Manufacturer Price for the prior fiscal year. In addition, if we are found to have knowingly submitted false information to the government, the VHC Act provides for civil monetary penalties of up to $100,000 per false item of information in addition to other penalties available to the government. Under the 2008 National Defense Authorization Act, we are required to treat the TRICARE retail pharmacy program, which reimburses military personnel for drug purchases from retail pharmacies, as an element of the Department of Defense for purposes of the procurement of drugs by federal agencies to ensure that the pharmaceuticals paid for by the Department of Defense under the TRICARE retail pharmacy program are subject to the pricing standards of the VHC Act.</w:t>
      </w:r>
    </w:p>
    <w:p>
      <w:pPr>
        <w:spacing w:after="0" w:line="48"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are also subject to various federal and state laws pertaining to health 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and the absence of guidance in the form of regulations and very few court decisions addressing industry practices, it is possible that our practices might be challenged under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In addition, several states require that companies implement compliance programs or comply with industry ethics codes, adopt spending limits, and report to state governments any gifts, compensation, and other remuneration provided to physicians. Federal legislation, the Physician Payments Sunshine Act of 2009, also has been proposed that would require disclosure to the federal government of payments to physicians. Our activities relating to the sale and marketing of our products may be subject to scrutiny under these laws. Violations of these laws may be punishable by criminal or civil sanctions, including fines and civil monetary penalties, as well as the possibility of exclusion from federal health care programs (including Medicare and Medicaid). In addition, private individuals may bring similar actions.</w:t>
      </w:r>
    </w:p>
    <w:p>
      <w:pPr>
        <w:spacing w:after="0" w:line="6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activities could be subject to challenge for the reasons discussed above and due to the broad scope of these laws and the increasing attention being given to them by law enforcement authorities. Further, there are an increasing number of state laws that require manufacturers to make reports to states on pricing and marketing information. Many of these laws contain ambiguities as to what is required to comply with the laws. Given the lack of clarity in laws and their implementation, our reporting actions could be subject to the penalty provisions of the pertinent state authorities.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Regulations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Corrupt Practices Act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are also subject to the U.S. Foreign Corrupt Practices Act (FCPA), which prohibits corporations and individuals from paying, offering to pay, or authorizing the payment of anything of value to any foreign government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official, government staff member, political party, or political candidate in an attempt to obtain or retain business or to otherwise influence a person working in an official capacity. The FCPA also requires public companies to make and keep books and records that accurately and fairly reflect their transactions and to devise and maintain an adequate system of internal accounting controls.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NIH Guidelines</w:t>
      </w:r>
    </w:p>
    <w:p>
      <w:pPr>
        <w:spacing w:after="0" w:line="96" w:lineRule="exact"/>
        <w:rPr>
          <w:sz w:val="20"/>
          <w:szCs w:val="20"/>
          <w:color w:val="auto"/>
        </w:rPr>
      </w:pPr>
    </w:p>
    <w:p>
      <w:pPr>
        <w:ind w:left="680" w:right="340" w:firstLine="399"/>
        <w:spacing w:after="0" w:line="260" w:lineRule="auto"/>
        <w:rPr>
          <w:sz w:val="20"/>
          <w:szCs w:val="20"/>
          <w:color w:val="auto"/>
        </w:rPr>
      </w:pPr>
      <w:r>
        <w:rPr>
          <w:rFonts w:ascii="Arial" w:cs="Arial" w:eastAsia="Arial" w:hAnsi="Arial"/>
          <w:sz w:val="13"/>
          <w:szCs w:val="13"/>
          <w:color w:val="auto"/>
        </w:rPr>
        <w:t>We conduct relevant research at all of our research facilities in the U.S. in compliance with the current U.S. National Institutes of Health Guidelines for Research Involving Recombinant DNA Molecules (NIH Guidelines) and all other applicable federal and state regulations. By local ordinance, we are required to, among other things, comply with the NIH Guidelines in relation to our facilities in Cambridge, Massachusetts, San Diego, California, and Research Triangle Park, North Carolina and are required to operate pursuant to certain permits.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Laws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cannot be predicted. The extent of government regulation, which might result from future legislation or administrative action, cannot accurately be predicted.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Raw Materials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focused on the manufacture of biologics. The chart below outlines the location of our primary manufacturing locations and products manufactured therein.</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gridSpan w:val="2"/>
          </w:tcPr>
          <w:p>
            <w:pPr>
              <w:ind w:left="640"/>
              <w:spacing w:after="0"/>
              <w:rPr>
                <w:sz w:val="20"/>
                <w:szCs w:val="20"/>
                <w:color w:val="auto"/>
              </w:rPr>
            </w:pPr>
            <w:r>
              <w:rPr>
                <w:rFonts w:ascii="Arial" w:cs="Arial" w:eastAsia="Arial" w:hAnsi="Arial"/>
                <w:sz w:val="9"/>
                <w:szCs w:val="9"/>
                <w:b w:val="1"/>
                <w:bCs w:val="1"/>
                <w:color w:val="auto"/>
              </w:rPr>
              <w:t>Research</w:t>
            </w:r>
          </w:p>
        </w:tc>
        <w:tc>
          <w:tcPr>
            <w:tcW w:w="1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gridSpan w:val="2"/>
          </w:tcPr>
          <w:p>
            <w:pPr>
              <w:ind w:left="640"/>
              <w:spacing w:after="0" w:line="98" w:lineRule="exact"/>
              <w:rPr>
                <w:sz w:val="20"/>
                <w:szCs w:val="20"/>
                <w:color w:val="auto"/>
              </w:rPr>
            </w:pPr>
            <w:r>
              <w:rPr>
                <w:rFonts w:ascii="Arial" w:cs="Arial" w:eastAsia="Arial" w:hAnsi="Arial"/>
                <w:sz w:val="9"/>
                <w:szCs w:val="9"/>
                <w:b w:val="1"/>
                <w:bCs w:val="1"/>
                <w:color w:val="auto"/>
              </w:rPr>
              <w:t>Triangle</w:t>
            </w:r>
          </w:p>
        </w:tc>
        <w:tc>
          <w:tcPr>
            <w:tcW w:w="1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3800" w:type="dxa"/>
            <w:vAlign w:val="bottom"/>
          </w:tcPr>
          <w:p>
            <w:pPr>
              <w:spacing w:after="0"/>
              <w:rPr>
                <w:sz w:val="20"/>
                <w:szCs w:val="20"/>
                <w:color w:val="auto"/>
              </w:rPr>
            </w:pPr>
            <w:r>
              <w:rPr>
                <w:rFonts w:ascii="Arial" w:cs="Arial" w:eastAsia="Arial" w:hAnsi="Arial"/>
                <w:sz w:val="9"/>
                <w:szCs w:val="9"/>
                <w:b w:val="1"/>
                <w:bCs w:val="1"/>
                <w:color w:val="auto"/>
              </w:rPr>
              <w:t>Product</w:t>
            </w:r>
          </w:p>
        </w:tc>
        <w:tc>
          <w:tcPr>
            <w:tcW w:w="300" w:type="dxa"/>
            <w:vAlign w:val="bottom"/>
          </w:tcPr>
          <w:p>
            <w:pPr>
              <w:spacing w:after="0"/>
              <w:rPr>
                <w:sz w:val="9"/>
                <w:szCs w:val="9"/>
                <w:color w:val="auto"/>
              </w:rPr>
            </w:pPr>
          </w:p>
        </w:tc>
        <w:tc>
          <w:tcPr>
            <w:tcW w:w="2100" w:type="dxa"/>
            <w:vAlign w:val="bottom"/>
            <w:gridSpan w:val="2"/>
          </w:tcPr>
          <w:p>
            <w:pPr>
              <w:ind w:left="620"/>
              <w:spacing w:after="0"/>
              <w:rPr>
                <w:sz w:val="20"/>
                <w:szCs w:val="20"/>
                <w:color w:val="auto"/>
              </w:rPr>
            </w:pPr>
            <w:r>
              <w:rPr>
                <w:rFonts w:ascii="Arial" w:cs="Arial" w:eastAsia="Arial" w:hAnsi="Arial"/>
                <w:sz w:val="9"/>
                <w:szCs w:val="9"/>
                <w:b w:val="1"/>
                <w:bCs w:val="1"/>
                <w:color w:val="auto"/>
              </w:rPr>
              <w:t>Park, NC</w:t>
            </w:r>
          </w:p>
        </w:tc>
        <w:tc>
          <w:tcPr>
            <w:tcW w:w="2100" w:type="dxa"/>
            <w:vAlign w:val="bottom"/>
            <w:gridSpan w:val="2"/>
          </w:tcPr>
          <w:p>
            <w:pPr>
              <w:ind w:left="480"/>
              <w:spacing w:after="0"/>
              <w:rPr>
                <w:sz w:val="20"/>
                <w:szCs w:val="20"/>
                <w:color w:val="auto"/>
              </w:rPr>
            </w:pPr>
            <w:r>
              <w:rPr>
                <w:rFonts w:ascii="Arial" w:cs="Arial" w:eastAsia="Arial" w:hAnsi="Arial"/>
                <w:sz w:val="9"/>
                <w:szCs w:val="9"/>
                <w:b w:val="1"/>
                <w:bCs w:val="1"/>
                <w:color w:val="auto"/>
              </w:rPr>
              <w:t>Cambridge, MA</w:t>
            </w:r>
          </w:p>
        </w:tc>
        <w:tc>
          <w:tcPr>
            <w:tcW w:w="1680" w:type="dxa"/>
            <w:vAlign w:val="bottom"/>
            <w:gridSpan w:val="2"/>
          </w:tcPr>
          <w:p>
            <w:pPr>
              <w:jc w:val="right"/>
              <w:ind w:right="660"/>
              <w:spacing w:after="0"/>
              <w:rPr>
                <w:sz w:val="20"/>
                <w:szCs w:val="20"/>
                <w:color w:val="auto"/>
              </w:rPr>
            </w:pPr>
            <w:r>
              <w:rPr>
                <w:rFonts w:ascii="Arial" w:cs="Arial" w:eastAsia="Arial" w:hAnsi="Arial"/>
                <w:sz w:val="9"/>
                <w:szCs w:val="9"/>
                <w:b w:val="1"/>
                <w:bCs w:val="1"/>
                <w:color w:val="auto"/>
              </w:rPr>
              <w:t>Third Party</w:t>
            </w:r>
          </w:p>
        </w:tc>
      </w:tr>
      <w:tr>
        <w:trPr>
          <w:trHeight w:val="29"/>
        </w:trPr>
        <w:tc>
          <w:tcPr>
            <w:tcW w:w="3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i w:val="1"/>
                <w:iCs w:val="1"/>
                <w:color w:val="auto"/>
              </w:rPr>
              <w:t>AVONEX</w:t>
            </w:r>
          </w:p>
        </w:tc>
        <w:tc>
          <w:tcPr>
            <w:tcW w:w="30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gridSpan w:val="2"/>
            <w:shd w:val="clear" w:color="auto" w:fill="CCEEFF"/>
          </w:tcPr>
          <w:p>
            <w:pPr>
              <w:ind w:left="1540"/>
              <w:spacing w:after="0"/>
              <w:rPr>
                <w:sz w:val="20"/>
                <w:szCs w:val="20"/>
                <w:color w:val="auto"/>
              </w:rPr>
            </w:pPr>
            <w:r>
              <w:rPr>
                <w:rFonts w:ascii="Arial" w:cs="Arial" w:eastAsia="Arial" w:hAnsi="Arial"/>
                <w:sz w:val="13"/>
                <w:szCs w:val="13"/>
                <w:b w:val="1"/>
                <w:bCs w:val="1"/>
                <w:color w:val="auto"/>
              </w:rPr>
              <w:t>ü</w:t>
            </w:r>
          </w:p>
        </w:tc>
        <w:tc>
          <w:tcPr>
            <w:tcW w:w="2100" w:type="dxa"/>
            <w:vAlign w:val="bottom"/>
            <w:tcBorders>
              <w:bottom w:val="single" w:sz="8" w:color="auto"/>
            </w:tcBorders>
            <w:gridSpan w:val="2"/>
            <w:shd w:val="clear" w:color="auto" w:fill="CCEEFF"/>
          </w:tcPr>
          <w:p>
            <w:pPr>
              <w:ind w:left="1540"/>
              <w:spacing w:after="0"/>
              <w:rPr>
                <w:sz w:val="20"/>
                <w:szCs w:val="20"/>
                <w:color w:val="auto"/>
              </w:rPr>
            </w:pPr>
            <w:r>
              <w:rPr>
                <w:rFonts w:ascii="Arial" w:cs="Arial" w:eastAsia="Arial" w:hAnsi="Arial"/>
                <w:sz w:val="13"/>
                <w:szCs w:val="13"/>
                <w:color w:val="auto"/>
              </w:rPr>
              <w:t>ü</w:t>
            </w:r>
          </w:p>
        </w:tc>
        <w:tc>
          <w:tcPr>
            <w:tcW w:w="1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r>
      <w:tr>
        <w:trPr>
          <w:trHeight w:val="152"/>
        </w:trPr>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TYSABRI</w:t>
            </w: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ind w:left="1540"/>
              <w:spacing w:after="0"/>
              <w:rPr>
                <w:sz w:val="20"/>
                <w:szCs w:val="20"/>
                <w:color w:val="auto"/>
              </w:rPr>
            </w:pPr>
            <w:r>
              <w:rPr>
                <w:rFonts w:ascii="Arial" w:cs="Arial" w:eastAsia="Arial" w:hAnsi="Arial"/>
                <w:sz w:val="13"/>
                <w:szCs w:val="13"/>
                <w:b w:val="1"/>
                <w:bCs w:val="1"/>
                <w:color w:val="auto"/>
              </w:rPr>
              <w:t>ü</w:t>
            </w:r>
          </w:p>
        </w:tc>
        <w:tc>
          <w:tcPr>
            <w:tcW w:w="1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42"/>
        </w:trPr>
        <w:tc>
          <w:tcPr>
            <w:tcW w:w="380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i w:val="1"/>
                <w:iCs w:val="1"/>
                <w:color w:val="auto"/>
              </w:rPr>
              <w:t>FUMADERM</w:t>
            </w:r>
          </w:p>
        </w:tc>
        <w:tc>
          <w:tcPr>
            <w:tcW w:w="30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b w:val="1"/>
                <w:bCs w:val="1"/>
                <w:color w:val="auto"/>
              </w:rPr>
              <w:t>ü</w:t>
            </w:r>
          </w:p>
        </w:tc>
      </w:tr>
      <w:tr>
        <w:trPr>
          <w:trHeight w:val="152"/>
        </w:trPr>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CLINICAL PRODUCTS</w:t>
            </w: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ind w:left="1540"/>
              <w:spacing w:after="0"/>
              <w:rPr>
                <w:sz w:val="20"/>
                <w:szCs w:val="20"/>
                <w:color w:val="auto"/>
              </w:rPr>
            </w:pPr>
            <w:r>
              <w:rPr>
                <w:rFonts w:ascii="Arial" w:cs="Arial" w:eastAsia="Arial" w:hAnsi="Arial"/>
                <w:sz w:val="13"/>
                <w:szCs w:val="13"/>
                <w:b w:val="1"/>
                <w:bCs w:val="1"/>
                <w:color w:val="auto"/>
              </w:rPr>
              <w:t>ü</w:t>
            </w:r>
          </w:p>
        </w:tc>
        <w:tc>
          <w:tcPr>
            <w:tcW w:w="2100" w:type="dxa"/>
            <w:vAlign w:val="bottom"/>
            <w:tcBorders>
              <w:bottom w:val="single" w:sz="8" w:color="auto"/>
            </w:tcBorders>
            <w:gridSpan w:val="2"/>
          </w:tcPr>
          <w:p>
            <w:pPr>
              <w:ind w:left="1540"/>
              <w:spacing w:after="0"/>
              <w:rPr>
                <w:sz w:val="20"/>
                <w:szCs w:val="20"/>
                <w:color w:val="auto"/>
              </w:rPr>
            </w:pPr>
            <w:r>
              <w:rPr>
                <w:rFonts w:ascii="Arial" w:cs="Arial" w:eastAsia="Arial" w:hAnsi="Arial"/>
                <w:sz w:val="13"/>
                <w:szCs w:val="13"/>
                <w:color w:val="auto"/>
              </w:rPr>
              <w:t>ü</w:t>
            </w:r>
          </w:p>
        </w:tc>
        <w:tc>
          <w:tcPr>
            <w:tcW w:w="1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ü</w:t>
            </w:r>
          </w:p>
        </w:tc>
      </w:tr>
    </w:tbl>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April 2009, the FDA approved our high titer process for the production of TYSABRI. Similar approval was obtained from the EMA in December 2008. The new, higher-yield process is being used to manufacture TYSABRI at our plant in Research Triangle Park, NC.</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Roche Group, through its wholly-owned member Genentech, is responsible for all worldwide manufacturing activities for bulk RITUXAN and has sourced the manufacturing of certain bulk RITUXAN requirements to an independent third party.</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are in the final stages of constructing a large-scale biologics manufacturing facility in Hillerød, Denmark which is intended to manufacture large molecule products. The first phase is complete, which included construction of a labeling and packaging facility, administrative building and laboratory facility, installation of major equipment, and partial completion of a bulk manufacturing facility. The second phase of the project, which we began in January 2007, involves the completion and fit out of the bulk manufacturing facility and construction of a warehouse. The large scale manufacturing facility is scheduled to be ready for commercial production in late 2011. Recent manufacturing improvements have resulted in favorable production yields on TYSABRI, that have reduced our expected capacity requirements. As a result, we are evaluating several alternatives, including whether to delay completion of the facility.</w:t>
      </w:r>
    </w:p>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source all of our fill-finish and the majority of final product storage operations for our products, along with a substantial part of our packaging operations, to a concentrated group of third party contractors. Many of the raw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materials and supplies required for the production of AVONEX, TYSABRI and FUMADERM are available from various suppliers in quantities adequate to meet our needs. However, due to the unique nature of the production of our products, we do have single source providers of several raw materials. We make efforts to qualify new vendors and to develop contingency plans so that production is not impacted by short-term issues associated with single source providers. Each of our third party service providers, suppliers and manufacturers is subject to continuing inspection by the FDA or comparable agencies in other jurisdictions. Any delay, interruption or other issues that arise in the manufacture, fill-finish, packaging, or storage of our products, including as a result of a failure of our facilities or the facilities or operations of third parties to pass any regulatory agency inspection, could significantly impair our ability to sell our products.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Important factors that could adversely affect our manufacturing operations are discussed in the “Risk Factors” section of this report.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had approximately 4,750 employees.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list of our executive officers, their ages as of February 9, 2010 and their principal positions.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720" w:type="dxa"/>
            <w:vAlign w:val="bottom"/>
          </w:tcPr>
          <w:p>
            <w:pPr>
              <w:jc w:val="right"/>
              <w:ind w:right="116"/>
              <w:spacing w:after="0"/>
              <w:rPr>
                <w:sz w:val="20"/>
                <w:szCs w:val="20"/>
                <w:color w:val="auto"/>
              </w:rPr>
            </w:pPr>
            <w:r>
              <w:rPr>
                <w:rFonts w:ascii="Arial" w:cs="Arial" w:eastAsia="Arial" w:hAnsi="Arial"/>
                <w:sz w:val="10"/>
                <w:szCs w:val="10"/>
                <w:b w:val="1"/>
                <w:bCs w:val="1"/>
                <w:color w:val="auto"/>
              </w:rPr>
              <w:t>Age</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Position</w:t>
            </w:r>
          </w:p>
        </w:tc>
      </w:tr>
      <w:tr>
        <w:trPr>
          <w:trHeight w:val="29"/>
        </w:trPr>
        <w:tc>
          <w:tcPr>
            <w:tcW w:w="4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162"/>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James C. Mullen</w:t>
            </w:r>
          </w:p>
        </w:tc>
        <w:tc>
          <w:tcPr>
            <w:tcW w:w="7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51</w:t>
            </w:r>
          </w:p>
        </w:tc>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Chief Executive Officer and President</w:t>
            </w:r>
          </w:p>
        </w:tc>
      </w:tr>
      <w:tr>
        <w:trPr>
          <w:trHeight w:val="152"/>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Susan H. Alexander</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53</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Executive Vice President, General Counsel and Corporate Secretary</w:t>
            </w:r>
          </w:p>
        </w:tc>
      </w:tr>
      <w:tr>
        <w:trPr>
          <w:trHeight w:val="142"/>
        </w:trPr>
        <w:tc>
          <w:tcPr>
            <w:tcW w:w="42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Paul J. Clancy</w:t>
            </w:r>
          </w:p>
        </w:tc>
        <w:tc>
          <w:tcPr>
            <w:tcW w:w="720" w:type="dxa"/>
            <w:vAlign w:val="bottom"/>
            <w:tcBorders>
              <w:bottom w:val="single" w:sz="8" w:color="auto"/>
            </w:tcBorders>
            <w:shd w:val="clear" w:color="auto" w:fill="CCEEFF"/>
          </w:tcPr>
          <w:p>
            <w:pPr>
              <w:jc w:val="right"/>
              <w:ind w:right="216"/>
              <w:spacing w:after="0" w:line="143" w:lineRule="exact"/>
              <w:rPr>
                <w:sz w:val="20"/>
                <w:szCs w:val="20"/>
                <w:color w:val="auto"/>
              </w:rPr>
            </w:pPr>
            <w:r>
              <w:rPr>
                <w:rFonts w:ascii="Arial" w:cs="Arial" w:eastAsia="Arial" w:hAnsi="Arial"/>
                <w:sz w:val="13"/>
                <w:szCs w:val="13"/>
                <w:color w:val="auto"/>
              </w:rPr>
              <w:t>48</w:t>
            </w:r>
          </w:p>
        </w:tc>
        <w:tc>
          <w:tcPr>
            <w:tcW w:w="4980" w:type="dxa"/>
            <w:vAlign w:val="bottom"/>
            <w:tcBorders>
              <w:bottom w:val="single" w:sz="8" w:color="auto"/>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Executive Vice President, Finance and Chief Financial Officer</w:t>
            </w:r>
          </w:p>
        </w:tc>
      </w:tr>
      <w:tr>
        <w:trPr>
          <w:trHeight w:val="152"/>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Robert A. Hamm</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58</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Chief Operating Officer</w:t>
            </w:r>
          </w:p>
        </w:tc>
      </w:tr>
      <w:tr>
        <w:trPr>
          <w:trHeight w:val="142"/>
        </w:trPr>
        <w:tc>
          <w:tcPr>
            <w:tcW w:w="42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Michael Lytton</w:t>
            </w:r>
          </w:p>
        </w:tc>
        <w:tc>
          <w:tcPr>
            <w:tcW w:w="720" w:type="dxa"/>
            <w:vAlign w:val="bottom"/>
            <w:tcBorders>
              <w:bottom w:val="single" w:sz="8" w:color="auto"/>
            </w:tcBorders>
            <w:shd w:val="clear" w:color="auto" w:fill="CCEEFF"/>
          </w:tcPr>
          <w:p>
            <w:pPr>
              <w:jc w:val="right"/>
              <w:ind w:right="216"/>
              <w:spacing w:after="0" w:line="143" w:lineRule="exact"/>
              <w:rPr>
                <w:sz w:val="20"/>
                <w:szCs w:val="20"/>
                <w:color w:val="auto"/>
              </w:rPr>
            </w:pPr>
            <w:r>
              <w:rPr>
                <w:rFonts w:ascii="Arial" w:cs="Arial" w:eastAsia="Arial" w:hAnsi="Arial"/>
                <w:sz w:val="13"/>
                <w:szCs w:val="13"/>
                <w:color w:val="auto"/>
              </w:rPr>
              <w:t>52</w:t>
            </w:r>
          </w:p>
        </w:tc>
        <w:tc>
          <w:tcPr>
            <w:tcW w:w="4980" w:type="dxa"/>
            <w:vAlign w:val="bottom"/>
            <w:tcBorders>
              <w:bottom w:val="single" w:sz="8" w:color="auto"/>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Executive Vice President, Corporate and Business Development</w:t>
            </w:r>
          </w:p>
        </w:tc>
      </w:tr>
      <w:tr>
        <w:trPr>
          <w:trHeight w:val="152"/>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Michael F. MacLean</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44</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Vice President and Chief Accounting Officer</w:t>
            </w:r>
          </w:p>
        </w:tc>
      </w:tr>
      <w:tr>
        <w:trPr>
          <w:trHeight w:val="142"/>
        </w:trPr>
        <w:tc>
          <w:tcPr>
            <w:tcW w:w="42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Craig Eric Schneier, Ph.D.</w:t>
            </w:r>
          </w:p>
        </w:tc>
        <w:tc>
          <w:tcPr>
            <w:tcW w:w="720" w:type="dxa"/>
            <w:vAlign w:val="bottom"/>
            <w:tcBorders>
              <w:bottom w:val="single" w:sz="8" w:color="auto"/>
            </w:tcBorders>
            <w:shd w:val="clear" w:color="auto" w:fill="CCEEFF"/>
          </w:tcPr>
          <w:p>
            <w:pPr>
              <w:jc w:val="right"/>
              <w:ind w:right="216"/>
              <w:spacing w:after="0" w:line="143" w:lineRule="exact"/>
              <w:rPr>
                <w:sz w:val="20"/>
                <w:szCs w:val="20"/>
                <w:color w:val="auto"/>
              </w:rPr>
            </w:pPr>
            <w:r>
              <w:rPr>
                <w:rFonts w:ascii="Arial" w:cs="Arial" w:eastAsia="Arial" w:hAnsi="Arial"/>
                <w:sz w:val="13"/>
                <w:szCs w:val="13"/>
                <w:color w:val="auto"/>
              </w:rPr>
              <w:t>62</w:t>
            </w:r>
          </w:p>
        </w:tc>
        <w:tc>
          <w:tcPr>
            <w:tcW w:w="4980" w:type="dxa"/>
            <w:vAlign w:val="bottom"/>
            <w:tcBorders>
              <w:bottom w:val="single" w:sz="8" w:color="auto"/>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Executive Vice President, Human Resources, Public Affairs and Communications</w:t>
            </w:r>
          </w:p>
        </w:tc>
      </w:tr>
    </w:tbl>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Reference to “our” or “us” in the following descriptions include Biogen Idec and IDEC Pharmaceuticals Corporation, and references to the merger mean the merger of Biogen, Inc.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IDEC Pharmaceuticals Corporation in November 2003.</w:t>
      </w:r>
    </w:p>
    <w:p>
      <w:pPr>
        <w:spacing w:after="0" w:line="89"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i w:val="1"/>
          <w:iCs w:val="1"/>
          <w:color w:val="auto"/>
        </w:rPr>
        <w:t xml:space="preserve">James C. Mullen </w:t>
      </w:r>
      <w:r>
        <w:rPr>
          <w:rFonts w:ascii="Arial" w:cs="Arial" w:eastAsia="Arial" w:hAnsi="Arial"/>
          <w:sz w:val="12"/>
          <w:szCs w:val="12"/>
          <w:color w:val="auto"/>
        </w:rPr>
        <w:t>is our Chief Executive Officer and President and is a director, and has served in these positions since the merger. Mr. Mullen was formerly Chairman of the Board</w:t>
      </w:r>
      <w:r>
        <w:rPr>
          <w:rFonts w:ascii="Arial" w:cs="Arial" w:eastAsia="Arial" w:hAnsi="Arial"/>
          <w:sz w:val="12"/>
          <w:szCs w:val="12"/>
          <w:i w:val="1"/>
          <w:iCs w:val="1"/>
          <w:color w:val="auto"/>
        </w:rPr>
        <w:t xml:space="preserve"> </w:t>
      </w:r>
      <w:r>
        <w:rPr>
          <w:rFonts w:ascii="Arial" w:cs="Arial" w:eastAsia="Arial" w:hAnsi="Arial"/>
          <w:sz w:val="12"/>
          <w:szCs w:val="12"/>
          <w:color w:val="auto"/>
        </w:rPr>
        <w:t>and Chief Executive Officer of Biogen, Inc. He was named Chairman of the Board of Directors of Biogen, Inc. in July 2002, after being named Chief Executive Officer and President of Biogen, Inc. in June 2000. Mr. Mullen joined Biogen, Inc. in 1989 as Director, Facilities and Engineering. He was named Biogen, Inc.’s Vice President, Operations in 1992. From 1996 to 1999, Mr. Mullen served as Vice President, International, with responsibility for building all Biogen, Inc. operations outside North America. From 1984 to 1988, Mr. Mullen held various positions at SmithKline Beckman Corporation (now GlaxoSmithKline plc). Mr. Mullen is a member of the board of directors and executive committee of the Biotechnology Industry Organization (BIO) and is a former chairman of the board of BIO. Mr. Mullen has been a director of PerkinElmer, Inc. since 2004. Mr. Mullen will retire as Chief Executive Officer and President on June 8, 2010 and will retire as a director at our 2010 Annual Meeting of Stockholders.</w:t>
      </w:r>
    </w:p>
    <w:p>
      <w:pPr>
        <w:spacing w:after="0" w:line="58"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Susan H. Alexander </w:t>
      </w:r>
      <w:r>
        <w:rPr>
          <w:rFonts w:ascii="Arial" w:cs="Arial" w:eastAsia="Arial" w:hAnsi="Arial"/>
          <w:sz w:val="13"/>
          <w:szCs w:val="13"/>
          <w:color w:val="auto"/>
        </w:rPr>
        <w:t>is our Executive Vice President, General Counsel and Corporate Secretary and has served in these positions since January 2006. Prior to that, Ms. Alexander</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the Senior Vice President, General Counsel and Corporate Secretary of PAREXEL International Corporation since September 2003. From June 2001 to September 2003, Ms. Alexander served as General Counsel of IONA Technologies. Prior to that, Ms. Alexander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served as Counsel at Cabot Corporation from January 1995 to May 2001. Prior to that, Ms. Alexander was a partner at the law firms of Hinckley, Allen &amp; Snyder and Fine &amp; Ambrogne.</w:t>
      </w:r>
    </w:p>
    <w:p>
      <w:pPr>
        <w:spacing w:after="0" w:line="10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Paul J. Clancy </w:t>
      </w:r>
      <w:r>
        <w:rPr>
          <w:rFonts w:ascii="Arial" w:cs="Arial" w:eastAsia="Arial" w:hAnsi="Arial"/>
          <w:sz w:val="13"/>
          <w:szCs w:val="13"/>
          <w:color w:val="auto"/>
        </w:rPr>
        <w:t>is our Executive Vice President, Finance and Chief Financial Officer and has served in that position since August 2007. Mr. Clancy joined Biogen Idec in 2001, and</w:t>
      </w:r>
      <w:r>
        <w:rPr>
          <w:rFonts w:ascii="Arial" w:cs="Arial" w:eastAsia="Arial" w:hAnsi="Arial"/>
          <w:sz w:val="13"/>
          <w:szCs w:val="13"/>
          <w:i w:val="1"/>
          <w:iCs w:val="1"/>
          <w:color w:val="auto"/>
        </w:rPr>
        <w:t xml:space="preserve"> </w:t>
      </w:r>
      <w:r>
        <w:rPr>
          <w:rFonts w:ascii="Arial" w:cs="Arial" w:eastAsia="Arial" w:hAnsi="Arial"/>
          <w:sz w:val="13"/>
          <w:szCs w:val="13"/>
          <w:color w:val="auto"/>
        </w:rPr>
        <w:t>has held several senior executive positions, including Vice President of Business Planning, Portfolio Management and U.S. Marketing, and Senior Vice President of Finance with responsibilities for leading the Treasury, Tax, Investor Relations and Business Planning groups. Prior to joining Biogen Idec, he spent 13 years at PepsiCo, serving in a range of financial and general management positions. He holds a B.S. in finance from Babson College and a M.B.A. from Columbia University.</w:t>
      </w:r>
    </w:p>
    <w:p>
      <w:pPr>
        <w:spacing w:after="0" w:line="7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i w:val="1"/>
          <w:iCs w:val="1"/>
          <w:color w:val="auto"/>
        </w:rPr>
        <w:t xml:space="preserve">Robert A. Hamm </w:t>
      </w:r>
      <w:r>
        <w:rPr>
          <w:rFonts w:ascii="Arial" w:cs="Arial" w:eastAsia="Arial" w:hAnsi="Arial"/>
          <w:sz w:val="12"/>
          <w:szCs w:val="12"/>
          <w:color w:val="auto"/>
        </w:rPr>
        <w:t>is our Chief Operating Officer and has served in that position since March 2009. Previously, Mr. Hamm served as Executive Vice President,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&amp; Technology from October 2007 to March 2009; Senior Vice President, Neurology Strategic Business Unit from January 2006 to October 2007; Senior Vice President, Immunology Business Unit from the merger until January 2006; and in the same capacity with Biogen, Inc. from November 2002 to November 2003. Before that, he served as Senior Vice President — Europe, Africa, Canada and Middle East from October 2001 to November 2002. Prior to that, Mr. Hamm served as Vice President — Sales and Marketing of Biogen, Inc. from October 2000 to October 2001. Mr. Hamm previously served as Vice President — Manufacturing from June 1999 to October 2000, Director, Northern Europe and Distributors from November 1996 until June 1999 and Associate Director, Logistics from April 1994 until November 1996. From 1987 until April 1994, Mr. Hamm held a variety of management positions at Syntex Laboratories Corporation, including Director of Operations and New Product Planning, and Manager of Materials, Logistics and Contract Manufacturing. Mr. Hamm has been a member of the board of managers of Progenitor Cell Therapy, LLC. since 2006 and was a director of Inhibitex, Inc. from 2005 to 2009.</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Michael Lytton </w:t>
      </w:r>
      <w:r>
        <w:rPr>
          <w:rFonts w:ascii="Arial" w:cs="Arial" w:eastAsia="Arial" w:hAnsi="Arial"/>
          <w:sz w:val="13"/>
          <w:szCs w:val="13"/>
          <w:color w:val="auto"/>
        </w:rPr>
        <w:t>is our Executive Vice President, Corporate and Business Development, and has served in that position since February 2009. From 2001 to January 2009, he was a</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Partner at Oxford Bioscience Partners, a venture capital firm. Prior to that, he was partner, chairman of the Technology Group and a member of the Executive Committee of the law firm Edwards, Angell, Palmer &amp; Dodge LLP. Prior to that, Mr. Lytton was a junior partner and co-chairman of the Biotechnology Practice of the law firm WilmerHale. Mr. Lytton was a member of the supervisory board of GPC Biotech AG from 2001 to 2009.</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Michael F. MacLean </w:t>
      </w:r>
      <w:r>
        <w:rPr>
          <w:rFonts w:ascii="Arial" w:cs="Arial" w:eastAsia="Arial" w:hAnsi="Arial"/>
          <w:sz w:val="13"/>
          <w:szCs w:val="13"/>
          <w:color w:val="auto"/>
        </w:rPr>
        <w:t>is our Senior Vice President and Chief Accounting Officer and has served in that position since December 2006. Mr. MacLean joined us in October 2006 as</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Prior to joining us, Mr. MacLean was a managing director of Huron Consulting, where he provided support regarding financial reporting to management and boards of directors of Fortune 500 companies. From June 2002 to October 2005, Mr. MacLean was a partner at KPMG and he was a partner of Arthur Andersen LLP from September 1999 to May 2002.</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Craig Eric Schneier, Ph.D. </w:t>
      </w:r>
      <w:r>
        <w:rPr>
          <w:rFonts w:ascii="Arial" w:cs="Arial" w:eastAsia="Arial" w:hAnsi="Arial"/>
          <w:sz w:val="12"/>
          <w:szCs w:val="12"/>
          <w:color w:val="auto"/>
        </w:rPr>
        <w:t>is our Executive Vice President, Human Resources, Public Affairs and Communications and has served in that position since October 2007. Prior to that</w:t>
      </w:r>
      <w:r>
        <w:rPr>
          <w:rFonts w:ascii="Arial" w:cs="Arial" w:eastAsia="Arial" w:hAnsi="Arial"/>
          <w:sz w:val="12"/>
          <w:szCs w:val="12"/>
          <w:i w:val="1"/>
          <w:iCs w:val="1"/>
          <w:color w:val="auto"/>
        </w:rPr>
        <w:t xml:space="preserve"> </w:t>
      </w:r>
      <w:r>
        <w:rPr>
          <w:rFonts w:ascii="Arial" w:cs="Arial" w:eastAsia="Arial" w:hAnsi="Arial"/>
          <w:sz w:val="12"/>
          <w:szCs w:val="12"/>
          <w:color w:val="auto"/>
        </w:rPr>
        <w:t>he was Executive Vice President, Human Resources from November 2003 to October 2007. Dr. Schneier served as Executive Vice President, Human Resources of Biogen, Inc., a position he held from January 2003 until the merger. He joined Biogen, Inc. in 2001 as Senior Vice President, Strategic Organization Design and Effectiveness, after having served as an external consultant to us for eight years. Prior to joining Biogen, Inc., Dr. Schneier was president of his own management consulting firm in Princeton, NJ, where he provided consulting services to over 70 of the Fortune 100 companies, as well as several of the largest European and Asian firms. Dr. Schneier held a tenured professorship at the University of Maryland’s Smith School of Business and has held teaching positions at the business schools of the University of Michigan, Columbia University, and at the Tuck School of Business, Dartmouth College.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substantially dependent on revenues from our three principal products.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Our current and future revenues depend upon continued sales of our three principal products, AVONEX, RITUXAN and TYSABRI, which represented substantially all of our total revenues during 2009. Although we have developed and continue to develop additional products for commercial introduction, we expect to be substantially dependent on sales from these three products for many years. Any negative developments relating to any of these products, such as safety or efficacy issues, the introduction or greater acceptance of competing products, including biosimilars, or adverse regulatory or legislative developments may reduce our revenues and adversely affect our results of operations.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acceptance and sales growth of TYSABRI are important to our success.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TYSABRI is expected to drive additional revenue growth over the next several years. If we are not successful in growing sales of TYSABRI, it would materially and adversely affect our growth and plans for the future.</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TYSABRI’s sales growth will depend upon its acceptance by the medical community and patients, which cannot be certain given the significant restrictions on use and the significant safety warnings in the label. Since we reintroduced TYSABRI to the market in July 2006, some patients taking TYSABRI have been diagnosed with progressive multifocal leukoencephalopathy (PML), a rare but serious brain infection described in the TYSABRI label. If the incidence of PML were to exceed the rate implied by the TYSABRI label, it could prompt regulatory review and result in significant changes to the label or market withdrawal. The recently revised prescribing information for TYSABRI indicates that the risk of developing PML increases with longer treatment duration, with limited experience beyond 3 years of treatment. This may cause prescribing physicians or patients to suspend treatment with TYSABRI to mitigate the duration risk, which could limit sales. Further increases in incidence rates at various durations of exposure could harm acceptance or limit sales growth. Additional regulatory restrictions on the use of TYSABRI or safety-related label changes, including enhanced risk management programs, whether as a result of additional cases of PML or otherwise, may significantly reduce expected revenues and require significant expense and management time to address the associated legal and regulatory issues.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a relatively new entrant to a maturing MS market, TYSABRI sales may be more sensitive to additional new competing products. A number of such products are expected to be approved for use in MS beginning in 2010. If these products have a similar or more attractive overall profile in terms of efficacy, convenience and safety, future sales of TYSABRI could be limited, which would reduce our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long-term success depends upon the successful development and commercialization of other product candidates.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long-term viability and growth will depend upon the successful development and commercialization of other products from our research and development activities. Product development and commercialization are very expensive and involve a high degree of risk. Only a small number of research and development programs result in the commercialization of a product. Success in preclinical work or early stage clinical trials does not ensure that later stage or larger scale clinical trials will be successful. Even if later stage clinical trials are successful, regulatory authorities may disagree with our view of the data or require additional studies.</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Conducting clinical trials is a complex, time-consuming and expensive process. Our ability to complete our clinical trials in a timely fashion depends in large part on a number of key factors including protocol design, regulatory and institutional review board approval, the rate of patient enrollment in clinical trials, and compliance with extensive current good clinical practice requirements. We have opened clinical sites and are enrolling patients in a number of new countries where our experience is more limited, and we are in many cases using the services of third-party clinical trial providers. If we fail to adequately manage the design, execution and regulatory aspects of our large, complex and diverse clinical trials, our studies and ultimately our regulatory approvals may be delayed or we may fail to gain approval for our product candidates altogether.</w:t>
      </w:r>
    </w:p>
    <w:p>
      <w:pPr>
        <w:spacing w:after="0" w:line="5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product pipeline includes several small molecule drug candidates. Our small molecule drug discovery platform is not as well developed as our biologics platform, and we will have to make a significant investment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time and resources to expand our capabilities in this area. Currently, third party manufacturers supply substantially all of our clinical requirements for small molecules. If these manufacturers fail to deliver sufficient quantities of such drug candidates in a timely and cost-effective manner, it could adversely affect our small molecule drug discovery efforts. If we decide to manufacture clinical or commercial supplies of any small molecule drugs in our own facilities, we will need to invest substantial additional funds and recruit qualified personnel to develop our small molecule manufacturing capabilities.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safety events can negatively affect our business and stock price.</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Adverse safety events involving our marketed products may have a negative impact on our commercialization efforts. Later discovery of safety issues with our products that were not known at the time of their approval by the FDA could cause product liability events, additional regulatory scrutiny and requirements for additional labeling, withdrawal of products from the market and the imposition of fines or criminal penalties. Any of these actions could result in, among other things, material write-offs of inventory and impairments of intangible assets, goodwill and fixed assets. In addition, the reporting of adverse safety events involving our products and public rumors about such events could cause our stock price to decline or experience periods of volatility.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effectively, our business and market position would suffer.</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receive patent protection that dominates, blocks or adversely affects our product development or business, may benefit from significantly greater sales and marketing capabilities, and may develop products that are accepted more widely than ours. The introduction of more efficacious, safer, cheaper, or more convenient alternatives to our products could reduce our revenues and the value of our product development efforts. Potential governmental action in the future could provide a means for competition from developers of follow-on biologics, which could compete on price and differentiation with products that we now or could in the future market.</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In addition to competing directly with products that are marketed by substantial pharmaceutical competitors, AVONEX, RITUXAN and TYSABRI also face competition from off-label uses of drugs approved for other indications. Some of our current competitors are also working to develop alternative formulations for delivery of their products, which may in the future compete with ours.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depend, to a significant extent, on reimbursement from third party payors and a reduction in the extent of reimbursement could reduce our product sales and revenue.</w:t>
      </w:r>
    </w:p>
    <w:p>
      <w:pPr>
        <w:spacing w:after="0" w:line="108"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Sales of our products are dependent, in large part, on the availability and extent of reimbursement from government health administration authorities, private health insurers and other organizations. Changes in government regulations or private third-party payors’ reimbursement policies may reduce reimbursement for our products and adversely affect our future results.</w:t>
      </w:r>
    </w:p>
    <w:p>
      <w:pPr>
        <w:spacing w:after="0" w:line="1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 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encounter similar regulatory and legislative issues in most other countries. In the European Union and some other international markets, the government provides health care at low cost to consumers and regulates pharmaceutical prices, patient eligibility or reimbursement levels to control costs for the government-sponsored health care system. This international system of price regulations may lead to inconsistent prices. Within the European Union and in other countries, the availability of our products in some markets at lower prices undermines our sales in some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This may create the opportunity for third party cross border trade or influence our decision to sell or not to sell a product, thus affecting our geographic expansion plans.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We depend on collaborators for both product and royalty revenue and the clinical development of future collaboration products, which are outside of our full control.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Collaborations between companies on products or programs are a common business practice in the biotechnology industry. Out-licensing typically allows a partner to collect up front payments and future milestone payments, share the costs of clinical development and risk of failure at various points, and access sales and marketing infrastructure and expertise in exchange for certain financial rights to the product or program going to the in-licensing partner. In addition, the obligation of in-licensees to pay royalties or share profits generally terminates upon expiration of the related patents. We have a number of collaborators and partners, and have both in-licensed and out-licensed several products and programs. These collaborations are subject to several risks:</w:t>
      </w:r>
    </w:p>
    <w:p>
      <w:pPr>
        <w:spacing w:after="0" w:line="71" w:lineRule="exact"/>
        <w:rPr>
          <w:sz w:val="20"/>
          <w:szCs w:val="20"/>
          <w:color w:val="auto"/>
        </w:rPr>
      </w:pPr>
    </w:p>
    <w:p>
      <w:pPr>
        <w:jc w:val="both"/>
        <w:ind w:left="1280" w:right="180" w:hanging="190"/>
        <w:spacing w:after="0" w:line="320"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are not fully in control of the royalty or profit sharing revenues we receive from collaborators, which may be adversely affected by patent expirations, pricing or health care reforms, other legal and regulatory developments, the introduction of competitive products, and new indication approvals which may affect the sales of collaboration products;</w:t>
      </w:r>
    </w:p>
    <w:p>
      <w:pPr>
        <w:spacing w:after="0" w:line="25"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where we co-promote and co-market products with our collaboration partners, any failure on their part to comply with applicable laws and regulatory requirements in the sale and marketing of our products could have an adverse effect on our revenues as well as involve us in possible legal proceedings; and</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collaborations often require the parties to cooperate, and failure to do so effectively could have an adverse impact on product sales by our collaborators and partners, and could adversely affect the clinical development of products or programs under joint control.</w:t>
      </w:r>
    </w:p>
    <w:p>
      <w:pPr>
        <w:spacing w:after="0" w:line="59"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In addition, under our collaboration agreement with Genentech, the successful development and commercialization of the first anti-CD20 product acquired or developed by Genentech will decrease our percentage of the collaboration’s co-promotion profits.</w:t>
      </w:r>
    </w:p>
    <w:p>
      <w:pPr>
        <w:spacing w:after="0" w:line="13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we do not successfully execute our growth initiatives through the acquisition, partnering and in-licensing of products, technologies or companies, our future performance could be adversely affected.</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anticipate growing through internal development projects as well as external opportunities, which include the acquisition, partnering and in-licensing of products, technologies and companies or the entry into strategic alliances and collaborations. The availability of high quality opportunities is limited and we are not certain that we will be able to identify candidates that we and our shareholders consider suitable or complete transactions on terms that are acceptable to us and our shareholders. In order to pursue such opportunities, we may require significant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additional financing, which may not be available to us on favorable terms, if at all. Even if we are able to successfully identify and complete acquisitions, we may not be able to integrate them or take full advantage of them and therefore may not realize the benefits that we expect. In addition, third parties may be reluctant to partner with us due to the uncertainty created by the presence on our Board of Directors of two individuals nominated by an activist shareholder and the possibility that activist shareholders may gain additional representation on or control of our Board of Directors. If we are unsuccessful in our external growth program, we may not be able to grow our business significantly and we may incur asset impairment charges as a result of acquisitions that are not successful.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comply with the extensive legal and regulatory requirements affecting the health care industry, we could face increased costs, penalties and a loss of business.</w:t>
      </w:r>
    </w:p>
    <w:p>
      <w:pPr>
        <w:spacing w:after="0" w:line="10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activities, and the activities of our collaborators and third 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 care companies. In addition,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federal or state health care business, submission of false claims for government reimbursement, antitrust violations, or violations related to environmental matters. Violations of governmental regulation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meet the stringent requirements of governmental regulation in the manufacture of our products, we could incur substantial remedial costs and a reduction in sales.</w:t>
      </w:r>
    </w:p>
    <w:p>
      <w:pPr>
        <w:spacing w:after="0" w:line="119"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We and our third party providers are generally required to maintain compliance with current Good Manufacturing Practice and are subject to inspections by the FDA or comparable agencies in other jurisdictions to confirm such compliance. In addition, the FDA must approve any significant changes to our suppliers or manufacturing methods. If we or our third party service providers cannot demonstrate ongoing current Good Manufacturing Practice compliance, we may be required to withdraw or recall product and interrupt commercial supply of our products.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This non-compliance could increase our costs, cause us to lose revenue or market share and damage our reputation.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laws affecting the health care industry could adversely affect our revenues and profitability.</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and our collaborators and third party providers operate in a highly regulated industry. As a result, governmental actions may adversely affect our business, operations or financial condition, including:</w:t>
      </w:r>
    </w:p>
    <w:p>
      <w:pPr>
        <w:spacing w:after="0" w:line="59" w:lineRule="exact"/>
        <w:rPr>
          <w:sz w:val="20"/>
          <w:szCs w:val="20"/>
          <w:color w:val="auto"/>
        </w:rPr>
      </w:pPr>
    </w:p>
    <w:p>
      <w:pPr>
        <w:ind w:left="1280" w:right="4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new laws, regulations or judicial decisions, or new interpretations of existing laws, regulations or decisions, related to health care availability, method of delivery and payment for health care products and services;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the FDA and foreign regulatory approval processes that may delay or prevent the approval of new products and result in lost market opportunity;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64"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new laws, regulations and judicial decisions affecting pricing or marketing practices;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the tax laws relating to our operations.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Problems with manufacturing or with inventory planning could result in inventory shortages, product recalls and increased costs.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Biologics manufacturing is extremely susceptible to product loss due to contamination, equipment failure, or vendor or operator error. In addition, we may need to close a manufacturing facility for an extended period of time due to microbial, viral or other contamination. Any of these events could result in shipment delays or product recalls, impairing our ability to supply products in existing markets or expand into new markets. In the past, we have taken inventory write-offs and incurred other charges and expenses for products that failed to meet specifications, and we may incur similar charges in the future.</w:t>
      </w:r>
    </w:p>
    <w:p>
      <w:pPr>
        <w:spacing w:after="0" w:line="70" w:lineRule="exact"/>
        <w:rPr>
          <w:sz w:val="20"/>
          <w:szCs w:val="20"/>
          <w:color w:val="auto"/>
        </w:rPr>
      </w:pPr>
    </w:p>
    <w:p>
      <w:pPr>
        <w:ind w:left="680" w:right="180" w:firstLine="399"/>
        <w:spacing w:after="0" w:line="316" w:lineRule="auto"/>
        <w:rPr>
          <w:sz w:val="20"/>
          <w:szCs w:val="20"/>
          <w:color w:val="auto"/>
        </w:rPr>
      </w:pPr>
      <w:r>
        <w:rPr>
          <w:rFonts w:ascii="Arial" w:cs="Arial" w:eastAsia="Arial" w:hAnsi="Arial"/>
          <w:sz w:val="11"/>
          <w:szCs w:val="11"/>
          <w:color w:val="auto"/>
        </w:rPr>
        <w:t>We rely solely on our manufacturing facility in Research Triangle Park, North Carolina for the production of TYSABRI. Our global bulk supply of TYSABRI depends on the uninterrupted and efficient operation of this facility, which could be adversely affected by equipment failures, labor shortages (whether as a result of pandemic flu outbreak or otherwise), natural disasters, power failures and numerous other factors. If we are unable to meet demand for TYSABRI for any reason, we would need to rely on a limited number of qualified third party contract manufacturers. We cannot be certain that we could reach agreement on reasonable terms, if at all, with those manufacturers or that the FDA would approve our use of such manufacturers on a timely basis, if at all. Moreover, the transition of our manufacturing process to a third party could take a significant amount of time and involve significant expense.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investments in properties, including our manufacturing facilities, may not be fully realizable</w:t>
      </w:r>
    </w:p>
    <w:p>
      <w:pPr>
        <w:spacing w:after="0" w:line="9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We own or lease real estate primarily consisting of buildings that contain research laboratories, office space, and biologic manufacturing operations, some of which are located in markets that are experiencing high vacancy rates and decreasing property values. If we decide to consolidate or co-locate certain aspects of our business operations, for strategic or other operational reasons, we may dispose of one or more of our properties.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Due to reduced expectations of product demand, improved yields on production and other factors, we may not fully utilize our manufacturing facilities at normal levels resulting in idle time at facilities or substantial excess manufacturing capacity. We are always evaluating our current manufacturing strategy, and may pursue alternatives that include delaying the completion of our Denmark facility or disposing of manufacturing facilities.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If any of our owned properties are held for sale, or disposed of, we may not realize the full investment in these properties and incur significant impairment charges if the fair value of the properties were determined to be lower than their book value. In addition, if we decide to fully or partially vacate a leased property, we may incur significant cost, including lease termination fees, rent expense in excess of sublease income and impairment of leasehold improvements.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parties to provide services in connection with the manufacture of our products and, in some instances, manufacture the product itself.</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rely on Genentech for all RITUXAN manufacturing. Genentech relies on a third party to manufacture certain bulk RITUXAN requirements. If Genentech or any third party upon which it relies does not manufacture or fill-finish RITUXAN in sufficient quantities and on a timely and cost-effective basis, or if Genentech or any third party does not obtain and maintain all required manufacturing approvals, our business could be harmed.</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also source all of our fill-finish and the majority of our final product storage operations, along with a substantial portion of our packaging operations, to a concentrated group of third party contractors. Any third party we use to fill-finish, package or store our products to be sold in the U.S. must be licensed by the FDA. As a result, alternative third party providers may not be readily available on a timely basis. The manufacture of products and product components, fill-finish, packaging and storage of our products require successful coordination among us and multiple third party providers. Our inability to coordinate these efforts, the lack of capacity available at a third party contractor or any other problems with the operations of these third party contractors could require us to delay shipment of saleable products; recall products previously shipped or impair our ability to supply products at all. This could increase our costs, cause us to lose revenue or market share, diminish our profitability or damage our reputation.</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Due to the unique manner in which our products are manufactured, we rely on single source providers of several raw materials. We make efforts to qualify new vendors and to develop contingency plans so that production is not impacted by short-term issues associated with single source providers. Nonetheless, our business could be materially impacted by long-term or chronic issues associated with single source providers.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effective tax rate may fluctuate and we may incur obligations in tax jurisdictions in excess of accrued amounts.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a global biotechnology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audits of our tax filings, changes in accounting for income taxes and changes in tax laws. Any of these factors could cause us to experience an effective tax rate significantly different from previous periods or our current expectations, which could have an effect on our business and results of operations.</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our inability to secure or sustain acceptable arrangements with tax authorities and previously enacted or future changes in the tax laws, among other things, may require us to accrue for future tax payments in excess of amounts accrued in our financial statements</w:t>
      </w:r>
    </w:p>
    <w:p>
      <w:pPr>
        <w:spacing w:after="0" w:line="59"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Obama administration announced several proposals to reform U.S. tax rules, including proposals that may reduce or eliminate the deferral of U.S. income tax on our unrepatriated earnings, potentially requiring those earnings to be taxed at the U.S. federal income tax rate, reduce or eliminate our ability to claim foreign tax credits, and eliminate various tax deductions until foreign earnings are repatriated to the U.S. Our future reported financial results may be adversely affected by tax rule changes which restrict or eliminate our ability to claim foreign tax credits or deduct expenses attributable to foreign earnings, or otherwise affect the treatment of our unrepatriated earnings.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growth of our business depends on our ability to attract and retain qualified personnel and key relationships.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achievement of our commercial, research and development and external growth objectives depends upon our ability to attract and retain qualified scientific, manufacturing, sales and marketing and executive personnel and develop and maintain relationships with qualified clinical researchers and key distributors. Competition for these people and relationships is intense and comes from a variety of sources, including pharmaceutical and biotechnology companies, universities and non-profit research organizations. It may be more difficult for us to attract and retain these people and relationships due to the uncertainty created by the presence on our Board of Directors of two</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individuals nominated by an activist shareholder and the possibility that activist shareholders may gain additional representation on or control of our Board of Directors. Our recruitment and retention efforts may also be adversely affected by the announcement that our Chief Executive Officer will retire from that position in June 2010 and the retirement of our President, Research and Development in October 2009. We are currently conducting searches for successors to our Chief Executive Officer and President, Research and Development.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sales and operations are subject to the risks of doing business internationally.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increasing our presence in international markets, which subjects us to many risks, such as:</w:t>
      </w:r>
    </w:p>
    <w:p>
      <w:pPr>
        <w:spacing w:after="0" w:line="96"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economic problems that disrupt foreign health care payment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difficulties in staffing and managing international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imposition of governmental controls;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less favorable intellectual property or other applicable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inability to obtain any necessary foreign regulatory or pricing approvals of products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restrictions on direct investments by foreign entities and trade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tax laws and tariffs;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official for purposes of the Foreign Corrupt Practices Act. Failure to comply with domestic or foreign laws could result in various adverse consequences, including possible delay in approval or refusal to approve a product, recalls, seizures, withdrawal of an approved product from the market, and the imposition of civil or criminal sanctions.</w:t>
      </w:r>
    </w:p>
    <w:p>
      <w:pPr>
        <w:spacing w:after="0" w:line="111" w:lineRule="exact"/>
        <w:rPr>
          <w:sz w:val="20"/>
          <w:szCs w:val="20"/>
          <w:color w:val="auto"/>
        </w:rPr>
      </w:pPr>
    </w:p>
    <w:p>
      <w:pPr>
        <w:ind w:left="880" w:right="420"/>
        <w:spacing w:after="0" w:line="276" w:lineRule="auto"/>
        <w:rPr>
          <w:sz w:val="20"/>
          <w:szCs w:val="20"/>
          <w:color w:val="auto"/>
        </w:rPr>
      </w:pPr>
      <w:r>
        <w:rPr>
          <w:rFonts w:ascii="Arial" w:cs="Arial" w:eastAsia="Arial" w:hAnsi="Arial"/>
          <w:sz w:val="13"/>
          <w:szCs w:val="13"/>
          <w:b w:val="1"/>
          <w:bCs w:val="1"/>
          <w:i w:val="1"/>
          <w:iCs w:val="1"/>
          <w:color w:val="auto"/>
        </w:rPr>
        <w:t>The presence of directors nominated by an activist shareholder, and the possibility that activist shareholders may gain additional representation on or control of our Board of Directors could cause uncertainty about the direction of our business.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During 2008 and 2009, proxy contests commenced by entities affiliated with Carl Icahn resulted in the 2009 election of two of the Icahn nominees to our Board of Directors. In November 2009, another activist shareholder publicly advocated for certain changes at our company. In January 2010, we received a notice from Icahn Partners and certain of its affiliates nominating three individuals for election to our Board of Directors at the 2010 annual meeting and proposing to amend our bylaws to set the number of directors at twelve. These and other existing or potential shareholders may attempt to gain additional representation on or control of our Board of Directors, the possibility of which may create uncertainty regarding the direction of our business. Perceived uncertainties as to our future direction may result in the loss of potential acquisitions, collaborations or in-licensing opportunities, and may make it more difficult to attract and retain qualified personnel and business partners. In addition, disagreement among our directors about the direction of our business could impair our ability to effectively execute our strategic plan.</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2008 and 2009 proxy contests were disruptive to our operations and caused us to incur substantial costs. The SEC has recently proposed to give shareholders the ability to include their director nominees and their proposals relating to a shareholder nomination process in company proxy materials, which would make it easier for activists to nominate directors to our Board of Directors. If the SEC implements its proxy access proposal, we may face an increase in the number of shareholder nominees for election to our Board of Directors. Future proxy contests and the presence of additional activist shareholder nominees on our Board of Directors could interfere with our ability to execute our strategic plan, be costly and time-consuming, disrupt our operations and divert the attention of management and our employees.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adequately protect and enforce our intellectual property rights, our competitors may take advantage of our development efforts or our acquired technology.</w:t>
      </w:r>
    </w:p>
    <w:p>
      <w:pPr>
        <w:spacing w:after="0" w:line="119"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We have filed numerous patent applications in the U.S. and various other countries seeking protection of the processes, products and other inventions originating from our research and development.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to us are challenged in court. In addition, pending legislation to reform the patent system and court decisions or patent office regulations that place additional restrictions on patent claims or that facilitate patent challenges could also reduce our ability to protect our intellectual property rights. If we cannot prevent others from exploiting our inventions, we will not derive the benefit from them that we currently expect.</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also rely upon unpatented trade secrets and other proprietary information, and we cannot assure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scientists whose research we sponsor and other advisers to execute confidentiality agreements upon the commencement of employment or consulting relationships with us. These agreements may not provide meaningful protection or adequate remedies for our unpatented proprietary information in the event of use or disclosure of such information.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infringe the intellectual property rights of others, we may incur damages and be required to incur the expense of obtaining a license.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 substantial number of patents have already been issued to other biotechnology and pharmaceutical companies. To the extent that valid third party patent rights cover our products or services, we or our strategic collaborators would be required to seek licenses from the holders of these patents in order to manufacture, use or sell these products and services, and payments under them would reduce our profits from these products and services. We are currently unable to predict the extent to which we may wish or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manufacture and market our products.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Uncertainty over intellectual property in the biotechnology industry has been the source of litigation, which is inherently costly and unpredictable.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aware that others, including various universities and companies working in the biotechnology field, have filed patent applications and have been granted patents in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and in other countries claiming subject matter potentially useful to our business. Some of those patents and patent applications claim only specific products or methods of making such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products, while others claim more general processes or techniques useful or now used in the biotechnology industry. There is considerable uncertainty within the biotechnology industry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about the validity, scope and enforceability of many issued patents in the U.S. and elsewhere in the world, and, to date, there is no consistent policy regarding the breadth of claims allowed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biotechnology patents. We cannot currently determine the ultimate scope and validity of patents which may be granted to third parties in the future or which patents might be asserted to be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infringed by the manufacture, use and sale of our products.</w:t>
      </w:r>
    </w:p>
    <w:p>
      <w:pPr>
        <w:spacing w:after="0" w:line="8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There has been, and we expect that there may continue to be, significant litigation in the industry regarding patents and other intellectual property rights. Litigation and administrative proceedings concerning patents and other intellectual property rights may be protracted, expensive and distracting to management. Competitors may sue us as a way of delaying the introduction of our products. Any litigation, including any interference proceedings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or hinder our ability to manufacture and market our products.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Pending and future product liability claims may adversely affect our business and our reputation.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w:t>
      </w:r>
    </w:p>
    <w:p>
      <w:pPr>
        <w:spacing w:after="0" w:line="67"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We are subject from time to time to lawsuits based on product liability and related claims. 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if in excess of our insurance coverage. Additionally, lawsuits can be expensive to defend, whether or not they have merit, and the defense of these actions may divert the attention of our management and other resources that would otherwise be engaged in managing our business.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are subject to significant fluctuations.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quarterly revenues, expenses and net income (loss) have fluctuated in the past and are likely to fluctuate significantly in the future due to the timing of charges and expenses that we may take. In recent periods, for instance, we have recorded charges that include:</w:t>
      </w:r>
    </w:p>
    <w:p>
      <w:pPr>
        <w:spacing w:after="0" w:line="5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investments;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fixed assets, including those that are recorded in connection with the sale of fixed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inventory write-downs for failed quality specifications, charges for excess or obsolete inventory and charges for inventory write downs relating to product suspensions;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milestone payments under license and collaboration agreements;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payments in connection with acquisitions and other business development activity;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cost of restructurings.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revenues are also subject to foreign exchange rate fluctuations due to the global nature of our operations. We recognize foreign currency gains or losses arising from our operations in the period in which we incur those gains or losses. Although we have foreign currency forward contracts to hedge specific forecasted transactions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 Additionally, our net income may fluctuate due to the impact of charges we may be required to take with respect to foreign currency hedge transactions. In particular, we may incur higher charges from hedge ineffectiveness than we expect or from the termination of a hedge relationship.</w:t>
      </w:r>
    </w:p>
    <w:p>
      <w:pPr>
        <w:spacing w:after="0" w:line="55"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These examples are only illustrative and other risks, including those discussed in these “Risk Factors,” could also cause fluctuations in our reported earnings. In addition, our operating results during any one period do not necessarily suggest the anticipated results of future periods.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and financial market conditions may exacerbate certain risks affecting our business.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Sales of our products are dependent on reimbursement from government health administration authorities, private health insurers, distribution partners and other organizations. As a result of credit and financial market conditions, these organizations may be unable to satisfy their reimbursement obligations or may delay payment. In addition, federal and state health authorities may reduce Medicare and Medicaid reimbursements, and private insurers may increase their scrutiny of claims. A reduction in the availability or extent of reimbursement could reduce our product sales and revenue.</w:t>
      </w:r>
    </w:p>
    <w:p>
      <w:pPr>
        <w:spacing w:after="0" w:line="7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rely on third parties for several important aspects of our business, including portions of our product manufacturing, royalty revenue, clinical development of future collaboration products, conduct of clinical trials, and raw materials. Such third parties may be unable to satisfy their commitments to us due to tightening of global credit from time to time, which would adversely affect our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portfolio of marketable securities is significant and subject to market, interest and credit risk that may reduce its value.</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maintain a significant portfolio of marketable securities. Changes in the value of this portfolio could adversely affect our earnings. In particular, the value of our investments may decline due to increases in interest rates, downgrades in the corporate bonds and other securities included in our portfolio, instability in the global financial markets that reduces the liquidity of securities included in our portfolio, declines in the value of collateral underlying the mortgage and asset-backed securities included in our portfolio, and other factors. Each of these events may cause us to record charges to reduce the carrying value of our investment portfolio or sell investments for less than our acquisition cost. Although we attempt to mitigate these risks by investing in high quality securities and continuously monitoring our portfolio’s overall risk profile, the value of our investments may nevertheless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level of indebtedness could adversely affect our business and limit our ability to plan for or respond to changes in our business.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As of December 31, 2009, we had $1.1 billion of outstanding indebtedness, and we may incur additional debt in the future. Our level of indebtedness could adversely affect our business by, among other things:</w:t>
      </w:r>
    </w:p>
    <w:p>
      <w:pPr>
        <w:spacing w:after="0" w:line="59" w:lineRule="exact"/>
        <w:rPr>
          <w:sz w:val="20"/>
          <w:szCs w:val="20"/>
          <w:color w:val="auto"/>
        </w:rPr>
      </w:pPr>
    </w:p>
    <w:p>
      <w:pPr>
        <w:ind w:left="1280" w:right="4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payments on our indebtedness, thereby reducing the availability of our cash flow for other purposes, including business development efforts and research and development;</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our business and the industry in which we operate, thereby placing us at a competitive disadvantage compared to our competitors that may have less debt;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increasing our vulnerability to general adverse economic and industry conditions.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involves environmental risks, which include the cost of compliance and the risk of contamination or injury.</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Our business and the business of several of our strategic partners, including Genentech and Elan, involves the controlled use of hazardous materials, chemicals, biologics and radioactive compounds. Although we believe that our safety procedures for handling and disposing of such materials comply with state and federal standards, there will always be the risk of accidental contamination or injury. By law, radioactive materials may only be disposed of at state-approved facilities. We currently store radioactive materials from our California laboratory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 Biologics manufacturing also requires permits from government agencies for water supply and wastewater discharge. If we do not obtain appropriate permits, or permits for sufficient quantities of water and wastewater, we could incur significant costs and limits on our manufacturing volumes that could harm our business.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Several aspects of our corporate governance and our collaboration agreements may discourage a third party from attempting to acquire us.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Several factors might discourage a takeover attempt that could be viewed as beneficial to shareholders who wish to receive a premium for their shares from a potential bidder. For example:</w:t>
      </w:r>
    </w:p>
    <w:p>
      <w:pPr>
        <w:spacing w:after="0" w:line="59" w:lineRule="exact"/>
        <w:rPr>
          <w:sz w:val="20"/>
          <w:szCs w:val="20"/>
          <w:color w:val="auto"/>
        </w:rPr>
      </w:pPr>
    </w:p>
    <w:p>
      <w:pPr>
        <w:ind w:left="1280" w:right="6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are subject to Section 203 of the Delaware General Corporation Law, which provides that we may not enter into a business combination with an interested shareholder for a period of three years after the date of the transaction in which the person became an interested shareholder, unless the business combination is approved in the manner prescribed in Section 203;</w:t>
      </w:r>
    </w:p>
    <w:p>
      <w:pPr>
        <w:spacing w:after="0" w:line="57"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board of directors has the authority to issue, without a vote or action of shareholders, shares of preferred stock and to fix the price, rights, preferences and privileges of those shares, each of which could be superior to the rights of holders of common stock;</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collaboration agreement with Elan provides Elan with the option to buy the rights to TYSABRI if we undergo a change of control, which may limit our attractiveness to potential acquirers;</w:t>
      </w:r>
    </w:p>
    <w:p>
      <w:pPr>
        <w:spacing w:after="0" w:line="49" w:lineRule="exact"/>
        <w:rPr>
          <w:rFonts w:ascii="Arial" w:cs="Arial" w:eastAsia="Arial" w:hAnsi="Arial"/>
          <w:sz w:val="13"/>
          <w:szCs w:val="13"/>
          <w:color w:val="auto"/>
        </w:rPr>
      </w:pPr>
    </w:p>
    <w:p>
      <w:pPr>
        <w:ind w:left="1280" w:hanging="190"/>
        <w:spacing w:after="0" w:line="258"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collaboration agreement with Genentech provides that, if we undergo a change of control, within 90 days Genentech may present an offer to us to purchase our rights to RITUXAN. If a change of control were to occur in the future and Genentech were to present an offer for the RITUXAN rights, we must either accept Genentech’s offer or purchase Genentech’s rights to RITUXAN on the same terms as its offer. If Genentech presents such an offer, then they will be deemed concurrently to have exercised a right, in exchange for a royalty on net sales in the U.S. of any anti-CD20 product acquired or developed by Genentech or any anti-CD20 product that Genentech licenses from a third party that is developed under the agreement, to purchase our interest in each such product;</w:t>
      </w:r>
    </w:p>
    <w:p>
      <w:pPr>
        <w:spacing w:after="0" w:line="61"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directors are elected to staggered terms, which prevents the entire board from being replaced in any single year;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advance notice is required for nomination of candidates for election as a director and for proposals to be brought before an annual meeting of shareholders.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Massachusetts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Our principal executive offices are located in Cambridge, Massachusetts. In Cambridge, we own approximately 525,000 square feet of real estate space, consisting of a building that houses a research laboratory, office space and a cogeneration plant which total approximately 280,000 square feet and an approximately 245,000 square foot building that contains research, development and quality laboratories.</w:t>
      </w:r>
    </w:p>
    <w:p>
      <w:pPr>
        <w:spacing w:after="0" w:line="67" w:lineRule="exact"/>
        <w:rPr>
          <w:sz w:val="20"/>
          <w:szCs w:val="20"/>
          <w:color w:val="auto"/>
        </w:rPr>
      </w:pPr>
    </w:p>
    <w:p>
      <w:pPr>
        <w:ind w:left="680" w:right="580" w:firstLine="399"/>
        <w:spacing w:after="0" w:line="334" w:lineRule="auto"/>
        <w:rPr>
          <w:sz w:val="20"/>
          <w:szCs w:val="20"/>
          <w:color w:val="auto"/>
        </w:rPr>
      </w:pPr>
      <w:r>
        <w:rPr>
          <w:rFonts w:ascii="Arial" w:cs="Arial" w:eastAsia="Arial" w:hAnsi="Arial"/>
          <w:sz w:val="11"/>
          <w:szCs w:val="11"/>
          <w:color w:val="auto"/>
        </w:rPr>
        <w:t>We lease a total of approximately 450,000 square feet, which includes a 70,000 square foot biologics manufacturing facility and additional laboratory and office space of 125,000 square feet and 255,000 square feet, respectively. In addition, we lease approximately 36,000 square feet of warehouse space in Somerville, Massachusetts, approximately 105,000 square feet of office space in Wellesley, Massachusetts, and approximately 25,000 square feet of office and laboratory space in Waltham, Massachusetts.</w:t>
      </w:r>
    </w:p>
    <w:p>
      <w:pPr>
        <w:spacing w:after="0" w:line="3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November 2008, we executed a fifteen year lease on a 356,000 square foot office building in Weston, Massachusetts, which will serve as the future location of our general and administrative offices with a planned occupancy around mid-year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expiration dates for our leased sites in Massachusetts range from 2010 to 2025.</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California</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San Diego, California, we own approximately 43 acres of land upon which we have our oncology research and development campus. The campus, which totals approximately 355,000 square feet, primarily consists of five interconnected buildings housing laboratory and office space.</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North Carolina</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Research Triangle Park, North Carolina, we own approximately 550,000 square feet of real estate space. This includes a biologics manufacturing facility of approximately 105,000 square feet, a large scale manufacturing plant of approximately 175,000 square feet, a warehouse comprising approximately 60,000 square feet, a large-scale purification facility of approximately 43,000 square feet, as well as approximately 167,000 square feet of laboratory and office space. We manufacture bulk AVONEX, TYSABRI and other products in our pipeline at this facility. In addition, we lease approximately 57,000 square feet of office space in Durham, North Carolina.</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Denmark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own approximately 60 acres of land in Hillerød, Denmark. We are in the final stages of constructing a large-scale biologics manufacturing facility of approximately</w:t>
      </w:r>
    </w:p>
    <w:p>
      <w:pPr>
        <w:spacing w:after="0" w:line="15"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215,000 square feet in Hillerød, Denmark to be used to manufacture large molecule products. An administrative building of approximately 50,000 square feet, label and packaging facility of approximately 65,000 square feet, warehouse, utilities and support space of approximately 135,000 square feet, and laboratory facility of approximately 50,000 square feet are currently in use. Additional information about this facility is set forth in the “Business — Manufacturing and Raw Materials” section of this report.</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International</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lease office and laboratory space in Zug, Switzerland, our international headquarters, the United Kingdom, Germany, France, Denmark, and numerous other countries. The expiration dates for our international leased sites range from 2010 to 2023.</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refer to Note 19,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to our Consolidated Financial Statements of this report, which is incorporated into this item by reference.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Our common stock trades on The NASDAQ Global Select Market under the symbol “BIIB.” The following table shows the high and low sales price for our common stock as reported by The NASDAQ Global Select Market for each quarter in the years ended December 31, 2009 and 2008:</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Common Stock Price</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w w:val="98"/>
              </w:rPr>
              <w:t>High</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53.66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42.92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64.49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54.50</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55.34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ind w:left="80"/>
              <w:spacing w:after="0"/>
              <w:rPr>
                <w:sz w:val="20"/>
                <w:szCs w:val="20"/>
                <w:color w:val="auto"/>
              </w:rPr>
            </w:pPr>
            <w:r>
              <w:rPr>
                <w:rFonts w:ascii="Arial" w:cs="Arial" w:eastAsia="Arial" w:hAnsi="Arial"/>
                <w:sz w:val="13"/>
                <w:szCs w:val="13"/>
                <w:color w:val="auto"/>
              </w:rPr>
              <w:t>44.56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67.45</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55.68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44.41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73.59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45.37</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54.00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ind w:left="80"/>
              <w:spacing w:after="0"/>
              <w:rPr>
                <w:sz w:val="20"/>
                <w:szCs w:val="20"/>
                <w:color w:val="auto"/>
              </w:rPr>
            </w:pPr>
            <w:r>
              <w:rPr>
                <w:rFonts w:ascii="Arial" w:cs="Arial" w:eastAsia="Arial" w:hAnsi="Arial"/>
                <w:sz w:val="13"/>
                <w:szCs w:val="13"/>
                <w:color w:val="auto"/>
              </w:rPr>
              <w:t>41.75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52.36</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37.21</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As of February 5, 2010, there were approximately 1,097 stockholders of record of our common stock. In addition, as of February 5, 2010, 270 stockholders of record of Biogen, Inc. common stock have yet to exchange their shares of Biogen, Inc. common stock for our common stock as contemplated by the merger of Biogen, Inc. and IDEC Pharmaceuticals Corporation in November 2003.</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not paid cash dividends since our inception. We do not anticipate paying any cash dividends in the near term.</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common stock repurchase activity during the fourth quarter of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Approximate Dollar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0"/>
              </w:rPr>
              <w:t>Value of Shares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2"/>
              </w:rPr>
              <w:t>Average Price</w:t>
            </w:r>
          </w:p>
        </w:tc>
        <w:tc>
          <w:tcPr>
            <w:tcW w:w="19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Purchased Under Our</w:t>
            </w:r>
          </w:p>
        </w:tc>
        <w:tc>
          <w:tcPr>
            <w:tcW w:w="0" w:type="dxa"/>
            <w:vAlign w:val="bottom"/>
          </w:tcPr>
          <w:p>
            <w:pPr>
              <w:spacing w:after="0"/>
              <w:rPr>
                <w:sz w:val="1"/>
                <w:szCs w:val="1"/>
                <w:color w:val="auto"/>
              </w:rPr>
            </w:pPr>
          </w:p>
        </w:tc>
      </w:tr>
      <w:tr>
        <w:trPr>
          <w:trHeight w:val="118"/>
        </w:trPr>
        <w:tc>
          <w:tcPr>
            <w:tcW w:w="35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6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Shares Purchased</w:t>
            </w:r>
          </w:p>
        </w:tc>
        <w:tc>
          <w:tcPr>
            <w:tcW w:w="13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Paid Per Share</w:t>
            </w:r>
          </w:p>
        </w:tc>
        <w:tc>
          <w:tcPr>
            <w:tcW w:w="1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Announced Programs</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125"/>
        </w:trPr>
        <w:tc>
          <w:tcPr>
            <w:tcW w:w="3500" w:type="dxa"/>
            <w:vAlign w:val="bottom"/>
            <w:gridSpan w:val="2"/>
            <w:vMerge w:val="continue"/>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 in millions)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2006 Repurchase Program(1)(2)</w:t>
            </w: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Nov-09</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6,000,000</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45.17</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6,000,000</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2009 Repurchase Program(3)(4)</w:t>
            </w: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Oct-09</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Nov-09</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2,286,748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46.33</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2,286,748</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894.0</w:t>
            </w:r>
          </w:p>
        </w:tc>
        <w:tc>
          <w:tcPr>
            <w:tcW w:w="0" w:type="dxa"/>
            <w:vAlign w:val="bottom"/>
          </w:tcPr>
          <w:p>
            <w:pPr>
              <w:spacing w:after="0"/>
              <w:rPr>
                <w:sz w:val="1"/>
                <w:szCs w:val="1"/>
                <w:color w:val="auto"/>
              </w:rPr>
            </w:pPr>
          </w:p>
        </w:tc>
      </w:tr>
      <w:tr>
        <w:trPr>
          <w:trHeight w:val="157"/>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Dec-09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6,471,899</w:t>
            </w:r>
          </w:p>
        </w:tc>
        <w:tc>
          <w:tcPr>
            <w:tcW w:w="4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48.87</w:t>
            </w:r>
          </w:p>
        </w:tc>
        <w:tc>
          <w:tcPr>
            <w:tcW w:w="3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6,471,899</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577.6</w:t>
            </w:r>
          </w:p>
        </w:tc>
        <w:tc>
          <w:tcPr>
            <w:tcW w:w="0" w:type="dxa"/>
            <w:vAlign w:val="bottom"/>
          </w:tcPr>
          <w:p>
            <w:pPr>
              <w:spacing w:after="0"/>
              <w:rPr>
                <w:sz w:val="1"/>
                <w:szCs w:val="1"/>
                <w:color w:val="auto"/>
              </w:rPr>
            </w:pPr>
          </w:p>
        </w:tc>
      </w:tr>
      <w:tr>
        <w:trPr>
          <w:trHeight w:val="166"/>
        </w:trPr>
        <w:tc>
          <w:tcPr>
            <w:tcW w:w="3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14,758,647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46.97</w:t>
            </w: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40" w:hanging="259"/>
        <w:spacing w:after="0" w:line="334" w:lineRule="auto"/>
        <w:tabs>
          <w:tab w:leader="none" w:pos="10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On October 31, 2006, we announced that our Board of Directors authorized the repurchase of up to 20.0 million shares of our common stock. Stock repurchased under this program will provide us with authorized shares for general corporate purposes, such as common stock to be issued under our employee equity and stock purchase plans. This repurchase program did not have an expiration date and was completed during the fourth quarter of 2009. We have used this share repurchase program principally for share stabilization.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tabs>
          <w:tab w:leader="none" w:pos="10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During the first quarter of 2009 we repurchased approximately 1.2 million shares of our common stock at a total cost of approximately $57.6 million under the 2006 Program.</w:t>
      </w:r>
    </w:p>
    <w:p>
      <w:pPr>
        <w:spacing w:after="0" w:line="58" w:lineRule="exact"/>
        <w:rPr>
          <w:rFonts w:ascii="Arial" w:cs="Arial" w:eastAsia="Arial" w:hAnsi="Arial"/>
          <w:sz w:val="12"/>
          <w:szCs w:val="12"/>
          <w:color w:val="auto"/>
        </w:rPr>
      </w:pPr>
    </w:p>
    <w:p>
      <w:pPr>
        <w:ind w:left="1000" w:right="60" w:hanging="259"/>
        <w:spacing w:after="0" w:line="289" w:lineRule="auto"/>
        <w:tabs>
          <w:tab w:leader="none" w:pos="10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 October 20, 2009, we announced that our Board of Directors authorized the repurchase of up to $1.0 billion of our common stock in addition to any shares remaining under our 2006 repurchase program. This repurchase program is intended to reduce our shares outstanding, with the objective of returning excess cash to shareholders, and we intend to retire repurchased shares. As of December 31, 2009 approximately 8.8 million shares, at a cost of $422.4 million, have been repurchased under this program, all of which were retired. The number of remaining shares that may yet be purchased under this program is subject to price fluctuations of our common stock.</w:t>
      </w:r>
    </w:p>
    <w:p>
      <w:pPr>
        <w:spacing w:after="0" w:line="3" w:lineRule="exact"/>
        <w:rPr>
          <w:rFonts w:ascii="Arial" w:cs="Arial" w:eastAsia="Arial" w:hAnsi="Arial"/>
          <w:sz w:val="12"/>
          <w:szCs w:val="12"/>
          <w:color w:val="auto"/>
        </w:rPr>
      </w:pPr>
    </w:p>
    <w:p>
      <w:pPr>
        <w:ind w:left="1000" w:hanging="259"/>
        <w:spacing w:after="0" w:line="276"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From January 1, 2010 through February 5, 2010, we repurchased approximately an additional 5.4 million shares under this program at a total cost of approximately $289.4 million, all of which were retired. Approximately $288.2 million remains available for the repurchase of our common stock under the 2009 program.</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The graph below compares the five-year cumulative total stockholder return on our common stock, the S&amp;P 500 Index and the Nasdaq Pharmaceutical Index, assuming the investment of $100.00 on December 31, 2004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13335</wp:posOffset>
            </wp:positionV>
            <wp:extent cx="3688715" cy="2602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8715" cy="260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financial data should be read in conjunction with our consolidated financial statements and related notes beginning on page F-1 of this report.</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SELECTED FINANCIAL DATA</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0"/>
                <w:szCs w:val="10"/>
                <w:b w:val="1"/>
                <w:bCs w:val="1"/>
                <w:color w:val="auto"/>
              </w:rPr>
              <w:t>For the Years Ended December 31,</w:t>
            </w: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 except per share amounts)</w:t>
            </w:r>
          </w:p>
        </w:tc>
        <w:tc>
          <w:tcPr>
            <w:tcW w:w="100" w:type="dxa"/>
            <w:vAlign w:val="bottom"/>
          </w:tcPr>
          <w:p>
            <w:pPr>
              <w:spacing w:after="0"/>
              <w:rPr>
                <w:sz w:val="7"/>
                <w:szCs w:val="7"/>
                <w:color w:val="auto"/>
              </w:rPr>
            </w:pPr>
          </w:p>
        </w:tc>
        <w:tc>
          <w:tcPr>
            <w:tcW w:w="620" w:type="dxa"/>
            <w:vAlign w:val="bottom"/>
          </w:tcPr>
          <w:p>
            <w:pPr>
              <w:jc w:val="right"/>
              <w:ind w:right="196"/>
              <w:spacing w:after="0" w:line="81" w:lineRule="exact"/>
              <w:rPr>
                <w:sz w:val="20"/>
                <w:szCs w:val="20"/>
                <w:color w:val="auto"/>
              </w:rPr>
            </w:pPr>
            <w:r>
              <w:rPr>
                <w:rFonts w:ascii="Arial" w:cs="Arial" w:eastAsia="Arial" w:hAnsi="Arial"/>
                <w:sz w:val="9"/>
                <w:szCs w:val="9"/>
                <w:b w:val="1"/>
                <w:bCs w:val="1"/>
                <w:color w:val="auto"/>
              </w:rPr>
              <w:t>2009</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ind w:right="196"/>
              <w:spacing w:after="0" w:line="81" w:lineRule="exact"/>
              <w:rPr>
                <w:sz w:val="20"/>
                <w:szCs w:val="20"/>
                <w:color w:val="auto"/>
              </w:rPr>
            </w:pPr>
            <w:r>
              <w:rPr>
                <w:rFonts w:ascii="Arial" w:cs="Arial" w:eastAsia="Arial" w:hAnsi="Arial"/>
                <w:sz w:val="9"/>
                <w:szCs w:val="9"/>
                <w:b w:val="1"/>
                <w:bCs w:val="1"/>
                <w:color w:val="auto"/>
              </w:rPr>
              <w:t>2008</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76"/>
              <w:spacing w:after="0" w:line="81" w:lineRule="exact"/>
              <w:rPr>
                <w:sz w:val="20"/>
                <w:szCs w:val="20"/>
                <w:color w:val="auto"/>
              </w:rPr>
            </w:pPr>
            <w:r>
              <w:rPr>
                <w:rFonts w:ascii="Arial" w:cs="Arial" w:eastAsia="Arial" w:hAnsi="Arial"/>
                <w:sz w:val="9"/>
                <w:szCs w:val="9"/>
                <w:b w:val="1"/>
                <w:bCs w:val="1"/>
                <w:color w:val="auto"/>
              </w:rPr>
              <w:t>2007</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76"/>
              <w:spacing w:after="0" w:line="81" w:lineRule="exact"/>
              <w:rPr>
                <w:sz w:val="20"/>
                <w:szCs w:val="20"/>
                <w:color w:val="auto"/>
              </w:rPr>
            </w:pPr>
            <w:r>
              <w:rPr>
                <w:rFonts w:ascii="Arial" w:cs="Arial" w:eastAsia="Arial" w:hAnsi="Arial"/>
                <w:sz w:val="9"/>
                <w:szCs w:val="9"/>
                <w:b w:val="1"/>
                <w:bCs w:val="1"/>
                <w:color w:val="auto"/>
              </w:rPr>
              <w:t>2006</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ind w:right="176"/>
              <w:spacing w:after="0" w:line="81" w:lineRule="exact"/>
              <w:rPr>
                <w:sz w:val="20"/>
                <w:szCs w:val="20"/>
                <w:color w:val="auto"/>
              </w:rPr>
            </w:pPr>
            <w:r>
              <w:rPr>
                <w:rFonts w:ascii="Arial" w:cs="Arial" w:eastAsia="Arial" w:hAnsi="Arial"/>
                <w:sz w:val="9"/>
                <w:szCs w:val="9"/>
                <w:b w:val="1"/>
                <w:bCs w:val="1"/>
                <w:color w:val="auto"/>
              </w:rPr>
              <w:t>2005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56"/>
              <w:spacing w:after="0"/>
              <w:rPr>
                <w:sz w:val="20"/>
                <w:szCs w:val="20"/>
                <w:color w:val="auto"/>
              </w:rPr>
            </w:pPr>
            <w:r>
              <w:rPr>
                <w:rFonts w:ascii="Arial" w:cs="Arial" w:eastAsia="Arial" w:hAnsi="Arial"/>
                <w:sz w:val="10"/>
                <w:szCs w:val="10"/>
                <w:b w:val="1"/>
                <w:bCs w:val="1"/>
                <w:color w:val="auto"/>
              </w:rPr>
              <w:t>(7), (8), (9)</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36"/>
              <w:spacing w:after="0"/>
              <w:rPr>
                <w:sz w:val="20"/>
                <w:szCs w:val="20"/>
                <w:color w:val="auto"/>
              </w:rPr>
            </w:pPr>
            <w:r>
              <w:rPr>
                <w:rFonts w:ascii="Arial" w:cs="Arial" w:eastAsia="Arial" w:hAnsi="Arial"/>
                <w:sz w:val="10"/>
                <w:szCs w:val="10"/>
                <w:b w:val="1"/>
                <w:bCs w:val="1"/>
                <w:color w:val="auto"/>
              </w:rPr>
              <w:t>(6)</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36"/>
              <w:spacing w:after="0"/>
              <w:rPr>
                <w:sz w:val="20"/>
                <w:szCs w:val="20"/>
                <w:color w:val="auto"/>
              </w:rPr>
            </w:pPr>
            <w:r>
              <w:rPr>
                <w:rFonts w:ascii="Arial" w:cs="Arial" w:eastAsia="Arial" w:hAnsi="Arial"/>
                <w:sz w:val="10"/>
                <w:szCs w:val="10"/>
                <w:b w:val="1"/>
                <w:bCs w:val="1"/>
                <w:color w:val="auto"/>
              </w:rPr>
              <w:t>(4),(5)</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36"/>
              <w:spacing w:after="0"/>
              <w:rPr>
                <w:sz w:val="20"/>
                <w:szCs w:val="20"/>
                <w:color w:val="auto"/>
              </w:rPr>
            </w:pPr>
            <w:r>
              <w:rPr>
                <w:rFonts w:ascii="Arial" w:cs="Arial" w:eastAsia="Arial" w:hAnsi="Arial"/>
                <w:sz w:val="10"/>
                <w:szCs w:val="10"/>
                <w:b w:val="1"/>
                <w:bCs w:val="1"/>
                <w:color w:val="auto"/>
              </w:rPr>
              <w:t>(2),(3)</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216"/>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3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Results of Operations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Product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3,152.9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2,839.7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2,136.8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1,781.3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1,617.0</w:t>
            </w:r>
          </w:p>
        </w:tc>
        <w:tc>
          <w:tcPr>
            <w:tcW w:w="0" w:type="dxa"/>
            <w:vAlign w:val="bottom"/>
          </w:tcPr>
          <w:p>
            <w:pPr>
              <w:spacing w:after="0"/>
              <w:rPr>
                <w:sz w:val="1"/>
                <w:szCs w:val="1"/>
                <w:color w:val="auto"/>
              </w:rPr>
            </w:pPr>
          </w:p>
        </w:tc>
      </w:tr>
      <w:tr>
        <w:trPr>
          <w:trHeight w:val="157"/>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Revenues from unconsolidated joint business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1,094.9</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1,128.2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926.1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810.9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708.9</w:t>
            </w: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Other revenues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108.7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90.8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revenues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3,171.6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2,683.0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2,422.5</w:t>
            </w: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(3,081.9)</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(2,883.9)</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(2,391.8)</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(2,243.0)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(2,186.5)</w:t>
            </w:r>
          </w:p>
        </w:tc>
        <w:tc>
          <w:tcPr>
            <w:tcW w:w="0" w:type="dxa"/>
            <w:vAlign w:val="bottom"/>
          </w:tcPr>
          <w:p>
            <w:pPr>
              <w:spacing w:after="0"/>
              <w:rPr>
                <w:sz w:val="1"/>
                <w:szCs w:val="1"/>
                <w:color w:val="auto"/>
              </w:rPr>
            </w:pPr>
          </w:p>
        </w:tc>
      </w:tr>
      <w:tr>
        <w:trPr>
          <w:trHeight w:val="157"/>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3"/>
                <w:szCs w:val="13"/>
                <w:color w:val="auto"/>
                <w:w w:val="97"/>
              </w:rPr>
              <w:t>Income (loss) before income tax expense and cumulative effect of accounting change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1,332.7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1,155.9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852.2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498.9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256.2</w:t>
            </w:r>
          </w:p>
        </w:tc>
        <w:tc>
          <w:tcPr>
            <w:tcW w:w="0" w:type="dxa"/>
            <w:vAlign w:val="bottom"/>
          </w:tcPr>
          <w:p>
            <w:pPr>
              <w:spacing w:after="0"/>
              <w:rPr>
                <w:sz w:val="1"/>
                <w:szCs w:val="1"/>
                <w:color w:val="auto"/>
              </w:rPr>
            </w:pPr>
          </w:p>
        </w:tc>
      </w:tr>
      <w:tr>
        <w:trPr>
          <w:trHeight w:val="158"/>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(355.6)</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(365.8)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(272.4)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(278.4)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160.7</w:t>
            </w:r>
          </w:p>
        </w:tc>
        <w:tc>
          <w:tcPr>
            <w:tcW w:w="0" w:type="dxa"/>
            <w:vAlign w:val="bottom"/>
          </w:tcPr>
          <w:p>
            <w:pPr>
              <w:spacing w:after="0"/>
              <w:rPr>
                <w:sz w:val="1"/>
                <w:szCs w:val="1"/>
                <w:color w:val="auto"/>
              </w:rPr>
            </w:pPr>
          </w:p>
        </w:tc>
      </w:tr>
      <w:tr>
        <w:trPr>
          <w:trHeight w:val="157"/>
        </w:trPr>
        <w:tc>
          <w:tcPr>
            <w:tcW w:w="4800" w:type="dxa"/>
            <w:vAlign w:val="bottom"/>
            <w:gridSpan w:val="3"/>
          </w:tcPr>
          <w:p>
            <w:pPr>
              <w:ind w:left="280"/>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(58.4)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Net income attributable to Biogen Idec Inc.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970.1</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783.2</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160.7</w:t>
            </w:r>
          </w:p>
        </w:tc>
        <w:tc>
          <w:tcPr>
            <w:tcW w:w="0" w:type="dxa"/>
            <w:vAlign w:val="bottom"/>
          </w:tcPr>
          <w:p>
            <w:pPr>
              <w:spacing w:after="0"/>
              <w:rPr>
                <w:sz w:val="1"/>
                <w:szCs w:val="1"/>
                <w:color w:val="auto"/>
              </w:rPr>
            </w:pPr>
          </w:p>
        </w:tc>
      </w:tr>
      <w:tr>
        <w:trPr>
          <w:trHeight w:val="166"/>
        </w:trPr>
        <w:tc>
          <w:tcPr>
            <w:tcW w:w="4800" w:type="dxa"/>
            <w:vAlign w:val="bottom"/>
            <w:gridSpan w:val="3"/>
          </w:tcPr>
          <w:p>
            <w:pPr>
              <w:spacing w:after="0"/>
              <w:rPr>
                <w:sz w:val="20"/>
                <w:szCs w:val="20"/>
                <w:color w:val="auto"/>
              </w:rPr>
            </w:pPr>
            <w:r>
              <w:rPr>
                <w:rFonts w:ascii="Arial" w:cs="Arial" w:eastAsia="Arial" w:hAnsi="Arial"/>
                <w:sz w:val="13"/>
                <w:szCs w:val="13"/>
                <w:b w:val="1"/>
                <w:bCs w:val="1"/>
                <w:color w:val="auto"/>
              </w:rPr>
              <w:t>Diluted earnings per share</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Income before cumulative effect of accounting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29"/>
        </w:trPr>
        <w:tc>
          <w:tcPr>
            <w:tcW w:w="4800" w:type="dxa"/>
            <w:vAlign w:val="bottom"/>
            <w:gridSpan w:val="3"/>
            <w:vMerge w:val="restart"/>
          </w:tcPr>
          <w:p>
            <w:pPr>
              <w:spacing w:after="0"/>
              <w:rPr>
                <w:sz w:val="20"/>
                <w:szCs w:val="20"/>
                <w:color w:val="auto"/>
              </w:rPr>
            </w:pPr>
            <w:r>
              <w:rPr>
                <w:rFonts w:ascii="Arial" w:cs="Arial" w:eastAsia="Arial" w:hAnsi="Arial"/>
                <w:sz w:val="13"/>
                <w:szCs w:val="13"/>
                <w:color w:val="auto"/>
              </w:rPr>
              <w:t>Shares used in calculating diluted earnings per share</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8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295.0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320.2</w:t>
            </w:r>
          </w:p>
        </w:tc>
        <w:tc>
          <w:tcPr>
            <w:tcW w:w="1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345.3</w:t>
            </w:r>
          </w:p>
        </w:tc>
        <w:tc>
          <w:tcPr>
            <w:tcW w:w="1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346.2</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Financial Condition</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Cash, cash equivalents and marketable securities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2,457.8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2,262.8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2,115.8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2,314.9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2,055.1</w:t>
            </w:r>
          </w:p>
        </w:tc>
        <w:tc>
          <w:tcPr>
            <w:tcW w:w="0" w:type="dxa"/>
            <w:vAlign w:val="bottom"/>
          </w:tcPr>
          <w:p>
            <w:pPr>
              <w:spacing w:after="0"/>
              <w:rPr>
                <w:sz w:val="1"/>
                <w:szCs w:val="1"/>
                <w:color w:val="auto"/>
              </w:rPr>
            </w:pPr>
          </w:p>
        </w:tc>
      </w:tr>
      <w:tr>
        <w:trPr>
          <w:trHeight w:val="157"/>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8,551.9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8,479.0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8,628.8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8,552.8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8,381.7</w:t>
            </w:r>
          </w:p>
        </w:tc>
        <w:tc>
          <w:tcPr>
            <w:tcW w:w="0" w:type="dxa"/>
            <w:vAlign w:val="bottom"/>
          </w:tcPr>
          <w:p>
            <w:pPr>
              <w:spacing w:after="0"/>
              <w:rPr>
                <w:sz w:val="1"/>
                <w:szCs w:val="1"/>
                <w:color w:val="auto"/>
              </w:rPr>
            </w:pPr>
          </w:p>
        </w:tc>
      </w:tr>
      <w:tr>
        <w:trPr>
          <w:trHeight w:val="157"/>
        </w:trPr>
        <w:tc>
          <w:tcPr>
            <w:tcW w:w="4800" w:type="dxa"/>
            <w:vAlign w:val="bottom"/>
            <w:gridSpan w:val="3"/>
          </w:tcPr>
          <w:p>
            <w:pPr>
              <w:spacing w:after="0"/>
              <w:rPr>
                <w:sz w:val="20"/>
                <w:szCs w:val="20"/>
                <w:color w:val="auto"/>
              </w:rPr>
            </w:pPr>
            <w:r>
              <w:rPr>
                <w:rFonts w:ascii="Arial" w:cs="Arial" w:eastAsia="Arial" w:hAnsi="Arial"/>
                <w:sz w:val="13"/>
                <w:szCs w:val="13"/>
                <w:color w:val="auto"/>
              </w:rPr>
              <w:t>Notes payable and line of credit, less current portion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1,080.2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1,085.4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51.8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96.7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57"/>
        </w:trPr>
        <w:tc>
          <w:tcPr>
            <w:tcW w:w="4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Biogen Idec Inc.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6,221.5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5,806.1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5,534.3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6,905.9</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Included in costs and expenses in 2005 is a charge of $118.1 million related to facility impairment charges.</w:t>
      </w:r>
    </w:p>
    <w:p>
      <w:pPr>
        <w:spacing w:after="0" w:line="47"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Included in total costs and expenses in 2006 is a charge of $207.4 million for in-process research and development from the acquisition of Fumapharm AG, a net gain of $6.1 million on the settlement of license agreements associated with Fumapharm AG and Fumedica GmbH and a charge of $123.1 million for in process research and development related to the acquisition of Conforma Therapeutics, Inc.</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52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Upon adoption of a new accounting standard, which provided guidance for the accounting of our share-based compensation programs, we recorded the cumulative effect of an accounting change of $3.8 million, net, as of January 1, 2006.</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Included in total costs and expenses in 2007 is a charge of $18.4 million for in-process research and development related to the acquisition of Syntonix Pharmaceuticals Inc. and</w:t>
      </w:r>
    </w:p>
    <w:p>
      <w:pPr>
        <w:spacing w:after="0" w:line="26" w:lineRule="exact"/>
        <w:rPr>
          <w:rFonts w:ascii="Arial" w:cs="Arial" w:eastAsia="Arial" w:hAnsi="Arial"/>
          <w:sz w:val="12"/>
          <w:szCs w:val="12"/>
          <w:color w:val="auto"/>
        </w:rPr>
      </w:pPr>
    </w:p>
    <w:p>
      <w:pPr>
        <w:ind w:left="1000" w:right="220"/>
        <w:spacing w:after="0" w:line="301" w:lineRule="auto"/>
        <w:rPr>
          <w:rFonts w:ascii="Arial" w:cs="Arial" w:eastAsia="Arial" w:hAnsi="Arial"/>
          <w:sz w:val="12"/>
          <w:szCs w:val="12"/>
          <w:color w:val="auto"/>
        </w:rPr>
      </w:pPr>
      <w:r>
        <w:rPr>
          <w:rFonts w:ascii="Arial" w:cs="Arial" w:eastAsia="Arial" w:hAnsi="Arial"/>
          <w:sz w:val="12"/>
          <w:szCs w:val="12"/>
          <w:color w:val="auto"/>
        </w:rPr>
        <w:t xml:space="preserve">$64.3 million related to our collaborations with Cardiokine Biopharma LLC and Neurimmune SubOne AG, which we consolidated in accordance with the guidance provided by the </w:t>
      </w:r>
      <w:r>
        <w:rPr>
          <w:rFonts w:ascii="Arial" w:cs="Arial" w:eastAsia="Arial" w:hAnsi="Arial"/>
          <w:sz w:val="12"/>
          <w:szCs w:val="12"/>
          <w:i w:val="1"/>
          <w:iCs w:val="1"/>
          <w:color w:val="auto"/>
        </w:rPr>
        <w:t xml:space="preserve">Consolidation </w:t>
      </w:r>
      <w:r>
        <w:rPr>
          <w:rFonts w:ascii="Arial" w:cs="Arial" w:eastAsia="Arial" w:hAnsi="Arial"/>
          <w:sz w:val="12"/>
          <w:szCs w:val="12"/>
          <w:color w:val="auto"/>
        </w:rPr>
        <w:t>Topic of the Codification. The $64.3 million was offset by an equal amount of noncontrolling interest, resulting in no net impact to the results of our operations.</w:t>
      </w:r>
    </w:p>
    <w:p>
      <w:pPr>
        <w:ind w:left="100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July 2007, we purchased 56,424,155 shares of our common stock pursuant to a tender offer. We funded the transaction through existing cash and cash equivalents of $1,490.5 million and a short term loan of $1,500.0 million.</w:t>
      </w:r>
    </w:p>
    <w:p>
      <w:pPr>
        <w:spacing w:after="0" w:line="10"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Included in total cost and expenses in 2008 is $25.0 million for in process research and development related to a milestone payment made to the former shareholders of Conforma Therapeutics pursuant to the terms of our acquisition of Conforma Therapeutics in 2006.</w:t>
      </w:r>
    </w:p>
    <w:p>
      <w:pPr>
        <w:spacing w:after="0" w:line="10" w:lineRule="exact"/>
        <w:rPr>
          <w:rFonts w:ascii="Arial" w:cs="Arial" w:eastAsia="Arial" w:hAnsi="Arial"/>
          <w:sz w:val="13"/>
          <w:szCs w:val="13"/>
          <w:color w:val="auto"/>
        </w:rPr>
      </w:pPr>
    </w:p>
    <w:p>
      <w:pPr>
        <w:ind w:left="1000" w:right="10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Total costs and expenses in 2009 includes the $110.0 million upfront payment made to Acorda Therapeutics, Inc. pursuant to our June 30, 2009 collaboration and license agreement to develop and commercialize products containing fampridine in markets outside the U.S.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2009, we repurchased 16.0 million shares of our common stock at a cost of $751.2 million under our 2006 and 2009 share repurchase programs.</w:t>
      </w:r>
    </w:p>
    <w:p>
      <w:pPr>
        <w:spacing w:after="0" w:line="47" w:lineRule="exact"/>
        <w:rPr>
          <w:rFonts w:ascii="Arial" w:cs="Arial" w:eastAsia="Arial" w:hAnsi="Arial"/>
          <w:sz w:val="13"/>
          <w:szCs w:val="13"/>
          <w:color w:val="auto"/>
        </w:rPr>
      </w:pPr>
    </w:p>
    <w:p>
      <w:pPr>
        <w:ind w:left="1000" w:right="28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tax law in certain state jurisdictions in which we operate and the resolution of multiple federal, state and foreign tax audits, including the effective settlement of several uncertain tax positions resulted in a $58.3 million reduction to our 2009 income tax expense.</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should be read in conjunction with our consolidated financial statements and related notes beginning on page F-1 of this report.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Introduction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Biogen Idec is a global biotechnology company that creates new standards of care in therapeutic areas with high unmet medical needs. Our business strategy is focused on discovering and developing first-in-class or best-in-class products that we can deliver to specialty markets globally. Patients around the world benefit from Biogen Idec’s significant products that address medical needs in the areas of neurology, oncology and immunology.</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the near term, we are dependent on continued sales of AVONEX, RITUXAN and TYSABRI to drive our revenue growth. In the longer term, our revenue growth is also dependent on the successful clinical development, regulatory approval and launch of new commercial products.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part of our ongoing research and development efforts, we have incurred significant expenditures related to conducting clinical studies to develop new pharmaceutical products and explore the utility of our existing products in treating disorders beyond those currently approved in their labels. We continue to focus our research and development efforts within our core and emergent areas of neurology, oncology, immunology, cardiopulmonary and hemophilia.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Highlights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is a summary of financial results achieved: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5"/>
            <w:vMerge w:val="restart"/>
          </w:tcPr>
          <w:p>
            <w:pPr>
              <w:ind w:left="200"/>
              <w:spacing w:after="0"/>
              <w:rPr>
                <w:sz w:val="20"/>
                <w:szCs w:val="20"/>
                <w:color w:val="auto"/>
              </w:rPr>
            </w:pPr>
            <w:r>
              <w:rPr>
                <w:rFonts w:ascii="Arial" w:cs="Arial" w:eastAsia="Arial" w:hAnsi="Arial"/>
                <w:sz w:val="10"/>
                <w:szCs w:val="10"/>
                <w:b w:val="1"/>
                <w:bCs w:val="1"/>
                <w:color w:val="auto"/>
              </w:rPr>
              <w:t>For the Years Ended</w:t>
            </w:r>
          </w:p>
        </w:tc>
        <w:tc>
          <w:tcPr>
            <w:tcW w:w="1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9"/>
              </w:rPr>
              <w:t>% Change</w:t>
            </w:r>
          </w:p>
        </w:tc>
        <w:tc>
          <w:tcPr>
            <w:tcW w:w="0" w:type="dxa"/>
            <w:vAlign w:val="bottom"/>
          </w:tcPr>
          <w:p>
            <w:pPr>
              <w:spacing w:after="0"/>
              <w:rPr>
                <w:sz w:val="1"/>
                <w:szCs w:val="1"/>
                <w:color w:val="auto"/>
              </w:rPr>
            </w:pPr>
          </w:p>
        </w:tc>
      </w:tr>
      <w:tr>
        <w:trPr>
          <w:trHeight w:val="81"/>
        </w:trPr>
        <w:tc>
          <w:tcPr>
            <w:tcW w:w="6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684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 share amounts and percentages)</w:t>
            </w:r>
          </w:p>
        </w:tc>
        <w:tc>
          <w:tcPr>
            <w:tcW w:w="120" w:type="dxa"/>
            <w:vAlign w:val="bottom"/>
          </w:tcPr>
          <w:p>
            <w:pPr>
              <w:spacing w:after="0"/>
              <w:rPr>
                <w:sz w:val="8"/>
                <w:szCs w:val="8"/>
                <w:color w:val="auto"/>
              </w:rPr>
            </w:pPr>
          </w:p>
        </w:tc>
        <w:tc>
          <w:tcPr>
            <w:tcW w:w="460" w:type="dxa"/>
            <w:vAlign w:val="bottom"/>
          </w:tcPr>
          <w:p>
            <w:pPr>
              <w:jc w:val="right"/>
              <w:ind w:right="12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1180" w:type="dxa"/>
            <w:vAlign w:val="bottom"/>
            <w:gridSpan w:val="2"/>
          </w:tcPr>
          <w:p>
            <w:pPr>
              <w:jc w:val="center"/>
              <w:ind w:right="580"/>
              <w:spacing w:after="0" w:line="98" w:lineRule="exact"/>
              <w:rPr>
                <w:sz w:val="20"/>
                <w:szCs w:val="20"/>
                <w:color w:val="auto"/>
              </w:rPr>
            </w:pPr>
            <w:r>
              <w:rPr>
                <w:rFonts w:ascii="Arial" w:cs="Arial" w:eastAsia="Arial" w:hAnsi="Arial"/>
                <w:sz w:val="10"/>
                <w:szCs w:val="10"/>
                <w:b w:val="1"/>
                <w:bCs w:val="1"/>
                <w:color w:val="auto"/>
                <w:w w:val="92"/>
              </w:rPr>
              <w:t>to 2008</w:t>
            </w:r>
          </w:p>
        </w:tc>
        <w:tc>
          <w:tcPr>
            <w:tcW w:w="0" w:type="dxa"/>
            <w:vAlign w:val="bottom"/>
          </w:tcPr>
          <w:p>
            <w:pPr>
              <w:spacing w:after="0"/>
              <w:rPr>
                <w:sz w:val="1"/>
                <w:szCs w:val="1"/>
                <w:color w:val="auto"/>
              </w:rPr>
            </w:pPr>
          </w:p>
        </w:tc>
      </w:tr>
      <w:tr>
        <w:trPr>
          <w:trHeight w:val="29"/>
        </w:trPr>
        <w:tc>
          <w:tcPr>
            <w:tcW w:w="66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4,377.3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4,097.5</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6840" w:type="dxa"/>
            <w:vAlign w:val="bottom"/>
            <w:gridSpan w:val="2"/>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1,295.4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1,213.6</w:t>
            </w: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6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Biogen Idec Inc.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783.2</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5"/>
        </w:trPr>
        <w:tc>
          <w:tcPr>
            <w:tcW w:w="6840" w:type="dxa"/>
            <w:vAlign w:val="bottom"/>
            <w:gridSpan w:val="2"/>
          </w:tcPr>
          <w:p>
            <w:pPr>
              <w:spacing w:after="0"/>
              <w:rPr>
                <w:sz w:val="20"/>
                <w:szCs w:val="20"/>
                <w:color w:val="auto"/>
              </w:rPr>
            </w:pPr>
            <w:r>
              <w:rPr>
                <w:rFonts w:ascii="Arial" w:cs="Arial" w:eastAsia="Arial" w:hAnsi="Arial"/>
                <w:sz w:val="13"/>
                <w:szCs w:val="13"/>
                <w:color w:val="auto"/>
              </w:rPr>
              <w:t>Diluted earnings per share attributable to Biogen Idec Inc.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2.65</w:t>
            </w: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described below under Results of Operations, our operating results for the year ended December 31, 2009, were primarily driven by:</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Increased AVONEX worldwide revenue. </w:t>
      </w:r>
      <w:r>
        <w:rPr>
          <w:rFonts w:ascii="Arial" w:cs="Arial" w:eastAsia="Arial" w:hAnsi="Arial"/>
          <w:sz w:val="13"/>
          <w:szCs w:val="13"/>
          <w:color w:val="auto"/>
        </w:rPr>
        <w:t>Total AVONEX revenues were $2,322.9 million in 2009, representing a 5.5% increase over 2008.</w:t>
      </w:r>
    </w:p>
    <w:p>
      <w:pPr>
        <w:spacing w:after="0" w:line="86"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Continued TYSABRI growth. </w:t>
      </w:r>
      <w:r>
        <w:rPr>
          <w:rFonts w:ascii="Arial" w:cs="Arial" w:eastAsia="Arial" w:hAnsi="Arial"/>
          <w:sz w:val="13"/>
          <w:szCs w:val="13"/>
          <w:color w:val="auto"/>
        </w:rPr>
        <w:t>Global in-market net sales of TYSABRI totaled $1,059.2 million in 2009. Our share of TYSABRI revenues totaled $776.0 million in 2009,</w:t>
      </w:r>
      <w:r>
        <w:rPr>
          <w:rFonts w:ascii="Arial" w:cs="Arial" w:eastAsia="Arial" w:hAnsi="Arial"/>
          <w:sz w:val="13"/>
          <w:szCs w:val="13"/>
          <w:i w:val="1"/>
          <w:iCs w:val="1"/>
          <w:color w:val="auto"/>
        </w:rPr>
        <w:t xml:space="preserve"> </w:t>
      </w:r>
      <w:r>
        <w:rPr>
          <w:rFonts w:ascii="Arial" w:cs="Arial" w:eastAsia="Arial" w:hAnsi="Arial"/>
          <w:sz w:val="13"/>
          <w:szCs w:val="13"/>
          <w:color w:val="auto"/>
        </w:rPr>
        <w:t>representing an increase of 31.8% over 2008.</w:t>
      </w:r>
    </w:p>
    <w:p>
      <w:pPr>
        <w:spacing w:after="0" w:line="49"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U.S. in market net sales of RITUXAN totaled $2,665.5 million in 2009, representing an increase of 3.0% over 2008. Our share of RITUXAN revenues totaled $1,094.9 million in 2009, which is inclusive of our share of co-promotion profits in the U.S. totaling $773.6 million, representing an increase of 5.5% over 2008. This increase was offset by a $79.3 million decrease in our share of revenue on sales of RITUXAN in the rest of world.</w:t>
      </w:r>
    </w:p>
    <w:p>
      <w:pPr>
        <w:spacing w:after="0" w:line="57"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Total costs and expenses increased 6.9% as compared to 2008. This increase was driven by a 19.7% increase in research and development spending and a 58.8% increase in collaboration profit sharing expense due to TYSABRI growth. These increases were offset by a 5.0% decrease in costs of sales, a reduction in selling, general and administrative expense of 1.5%, and a decrease in amortization of acquired intangible assets of 12.9%.</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addition to the strong operating results achieved, we generated $1,074.9 million of net cash flows from operations during 2009, which were primarily driven by increases in our earnings.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and marketable securities totaled approximately $2,457.8 million as of December 31,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Highlights</w:t>
      </w:r>
    </w:p>
    <w:p>
      <w:pPr>
        <w:spacing w:after="0" w:line="96" w:lineRule="exact"/>
        <w:rPr>
          <w:sz w:val="20"/>
          <w:szCs w:val="20"/>
          <w:color w:val="auto"/>
        </w:rPr>
      </w:pPr>
    </w:p>
    <w:p>
      <w:pPr>
        <w:ind w:left="1280" w:right="8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October 2009, our Board of Directors authorized the repurchase of up to $1.0 billion of our common stock, with repurchased shares being retired. During 2009, approximately 16.0 million shares at a cost of $751.2 million were repurchased under this and our 2006 share repurchase programs.</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June 2009, we entered into a collaboration and license agreement with Acorda Therapeutics, Inc. (Acorda) to develop and commercialize products containing fampridine in markets outside the U.S. In July 2009, we made a $110.0 million upfront payment pursuant to this agreement.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1"/>
        </w:trPr>
        <w:tc>
          <w:tcPr>
            <w:tcW w:w="4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0" w:type="dxa"/>
            <w:vAlign w:val="bottom"/>
            <w:gridSpan w:val="6"/>
            <w:vMerge w:val="restart"/>
          </w:tcPr>
          <w:p>
            <w:pPr>
              <w:jc w:val="center"/>
              <w:ind w:right="40"/>
              <w:spacing w:after="0"/>
              <w:rPr>
                <w:sz w:val="20"/>
                <w:szCs w:val="20"/>
                <w:color w:val="auto"/>
              </w:rPr>
            </w:pPr>
            <w:r>
              <w:rPr>
                <w:rFonts w:ascii="Arial" w:cs="Arial" w:eastAsia="Arial" w:hAnsi="Arial"/>
                <w:sz w:val="10"/>
                <w:szCs w:val="10"/>
                <w:b w:val="1"/>
                <w:bCs w:val="1"/>
                <w:color w:val="auto"/>
                <w:w w:val="94"/>
              </w:rPr>
              <w:t>For the Years Ended December 31,</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2009</w:t>
            </w:r>
          </w:p>
        </w:tc>
        <w:tc>
          <w:tcPr>
            <w:tcW w:w="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tcPr>
          <w:p>
            <w:pPr>
              <w:jc w:val="center"/>
              <w:ind w:right="300"/>
              <w:spacing w:after="0" w:line="98" w:lineRule="exact"/>
              <w:rPr>
                <w:sz w:val="20"/>
                <w:szCs w:val="20"/>
                <w:color w:val="auto"/>
              </w:rPr>
            </w:pPr>
            <w:r>
              <w:rPr>
                <w:rFonts w:ascii="Arial" w:cs="Arial" w:eastAsia="Arial" w:hAnsi="Arial"/>
                <w:sz w:val="10"/>
                <w:szCs w:val="10"/>
                <w:b w:val="1"/>
                <w:bCs w:val="1"/>
                <w:color w:val="auto"/>
                <w:w w:val="92"/>
              </w:rPr>
              <w:t>to 2008</w:t>
            </w:r>
          </w:p>
        </w:tc>
        <w:tc>
          <w:tcPr>
            <w:tcW w:w="80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80" w:type="dxa"/>
            <w:vAlign w:val="bottom"/>
            <w:gridSpan w:val="2"/>
          </w:tcPr>
          <w:p>
            <w:pPr>
              <w:ind w:left="140"/>
              <w:spacing w:after="0"/>
              <w:rPr>
                <w:sz w:val="20"/>
                <w:szCs w:val="20"/>
                <w:color w:val="auto"/>
              </w:rPr>
            </w:pPr>
            <w:r>
              <w:rPr>
                <w:rFonts w:ascii="Arial" w:cs="Arial" w:eastAsia="Arial" w:hAnsi="Arial"/>
                <w:sz w:val="13"/>
                <w:szCs w:val="13"/>
                <w:color w:val="auto"/>
              </w:rPr>
              <w:t>United States</w:t>
            </w:r>
          </w:p>
        </w:tc>
        <w:tc>
          <w:tcPr>
            <w:tcW w:w="180" w:type="dxa"/>
            <w:vAlign w:val="bottom"/>
            <w:gridSpan w:val="2"/>
          </w:tcPr>
          <w:p>
            <w:pPr>
              <w:jc w:val="right"/>
              <w:ind w:right="34"/>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1,638.0</w:t>
            </w:r>
          </w:p>
        </w:tc>
        <w:tc>
          <w:tcPr>
            <w:tcW w:w="380" w:type="dxa"/>
            <w:vAlign w:val="bottom"/>
          </w:tcPr>
          <w:p>
            <w:pPr>
              <w:spacing w:after="0"/>
              <w:rPr>
                <w:sz w:val="13"/>
                <w:szCs w:val="13"/>
                <w:color w:val="auto"/>
              </w:rPr>
            </w:pPr>
          </w:p>
        </w:tc>
        <w:tc>
          <w:tcPr>
            <w:tcW w:w="140" w:type="dxa"/>
            <w:vAlign w:val="bottom"/>
          </w:tcPr>
          <w:p>
            <w:pPr>
              <w:jc w:val="right"/>
              <w:ind w:right="6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1,472.9</w:t>
            </w:r>
          </w:p>
        </w:tc>
        <w:tc>
          <w:tcPr>
            <w:tcW w:w="480" w:type="dxa"/>
            <w:vAlign w:val="bottom"/>
          </w:tcPr>
          <w:p>
            <w:pPr>
              <w:spacing w:after="0"/>
              <w:rPr>
                <w:sz w:val="13"/>
                <w:szCs w:val="13"/>
                <w:color w:val="auto"/>
              </w:rPr>
            </w:pPr>
          </w:p>
        </w:tc>
        <w:tc>
          <w:tcPr>
            <w:tcW w:w="140" w:type="dxa"/>
            <w:vAlign w:val="bottom"/>
          </w:tcPr>
          <w:p>
            <w:pPr>
              <w:jc w:val="right"/>
              <w:ind w:right="6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1,203.6</w:t>
            </w:r>
          </w:p>
        </w:tc>
        <w:tc>
          <w:tcPr>
            <w:tcW w:w="20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11.2%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5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1,514.9</w:t>
            </w:r>
          </w:p>
        </w:tc>
        <w:tc>
          <w:tcPr>
            <w:tcW w:w="4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1,366.8</w:t>
            </w:r>
          </w:p>
        </w:tc>
        <w:tc>
          <w:tcPr>
            <w:tcW w:w="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933.2</w:t>
            </w:r>
          </w:p>
        </w:tc>
        <w:tc>
          <w:tcPr>
            <w:tcW w:w="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product revenues</w:t>
            </w: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3,152.9</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2,839.7</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2,136.8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11.0%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8"/>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Unconsolidated joint business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1,094.9</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1,128.2</w:t>
            </w: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926.1</w:t>
            </w:r>
          </w:p>
        </w:tc>
        <w:tc>
          <w:tcPr>
            <w:tcW w:w="20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129.5</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129.6</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108.7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revenues</w:t>
            </w:r>
          </w:p>
        </w:tc>
        <w:tc>
          <w:tcPr>
            <w:tcW w:w="1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w:t>
            </w:r>
            <w:r>
              <w:rPr>
                <w:rFonts w:ascii="Arial" w:cs="Arial" w:eastAsia="Arial" w:hAnsi="Arial"/>
                <w:sz w:val="13"/>
                <w:szCs w:val="13"/>
                <w:u w:val="single" w:color="auto"/>
                <w:color w:val="auto"/>
              </w:rPr>
              <w:t>3</w:t>
            </w:r>
          </w:p>
        </w:tc>
        <w:tc>
          <w:tcPr>
            <w:tcW w:w="4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4,097.5</w:t>
            </w:r>
          </w:p>
        </w:tc>
        <w:tc>
          <w:tcPr>
            <w:tcW w:w="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3,171.</w:t>
            </w:r>
            <w:r>
              <w:rPr>
                <w:rFonts w:ascii="Arial" w:cs="Arial" w:eastAsia="Arial" w:hAnsi="Arial"/>
                <w:sz w:val="13"/>
                <w:szCs w:val="13"/>
                <w:u w:val="single" w:color="auto"/>
                <w:color w:val="auto"/>
              </w:rPr>
              <w:t>6</w:t>
            </w: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333"/>
        </w:trPr>
        <w:tc>
          <w:tcPr>
            <w:tcW w:w="508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Product Revenues</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80" w:type="dxa"/>
            <w:vAlign w:val="bottom"/>
            <w:gridSpan w:val="2"/>
          </w:tcPr>
          <w:p>
            <w:pPr>
              <w:ind w:left="400"/>
              <w:spacing w:after="0"/>
              <w:rPr>
                <w:sz w:val="20"/>
                <w:szCs w:val="20"/>
                <w:color w:val="auto"/>
              </w:rPr>
            </w:pPr>
            <w:r>
              <w:rPr>
                <w:rFonts w:ascii="Arial" w:cs="Arial" w:eastAsia="Arial" w:hAnsi="Arial"/>
                <w:sz w:val="13"/>
                <w:szCs w:val="13"/>
                <w:color w:val="auto"/>
              </w:rPr>
              <w:t>Product revenues are summarized as follows: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1"/>
        </w:trPr>
        <w:tc>
          <w:tcPr>
            <w:tcW w:w="4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40" w:type="dxa"/>
            <w:vAlign w:val="bottom"/>
            <w:gridSpan w:val="7"/>
            <w:vMerge w:val="restart"/>
          </w:tcPr>
          <w:p>
            <w:pPr>
              <w:jc w:val="right"/>
              <w:ind w:right="100"/>
              <w:spacing w:after="0"/>
              <w:rPr>
                <w:sz w:val="20"/>
                <w:szCs w:val="20"/>
                <w:color w:val="auto"/>
              </w:rPr>
            </w:pPr>
            <w:r>
              <w:rPr>
                <w:rFonts w:ascii="Arial" w:cs="Arial" w:eastAsia="Arial" w:hAnsi="Arial"/>
                <w:sz w:val="10"/>
                <w:szCs w:val="10"/>
                <w:b w:val="1"/>
                <w:bCs w:val="1"/>
                <w:color w:val="auto"/>
                <w:w w:val="95"/>
              </w:rPr>
              <w:t>For the Years Ended December 31,</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2009</w:t>
            </w:r>
          </w:p>
        </w:tc>
        <w:tc>
          <w:tcPr>
            <w:tcW w:w="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7"/>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57"/>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center"/>
              <w:ind w:right="37"/>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tcPr>
          <w:p>
            <w:pPr>
              <w:jc w:val="center"/>
              <w:ind w:right="220"/>
              <w:spacing w:after="0" w:line="98" w:lineRule="exact"/>
              <w:rPr>
                <w:sz w:val="20"/>
                <w:szCs w:val="20"/>
                <w:color w:val="auto"/>
              </w:rPr>
            </w:pPr>
            <w:r>
              <w:rPr>
                <w:rFonts w:ascii="Arial" w:cs="Arial" w:eastAsia="Arial" w:hAnsi="Arial"/>
                <w:sz w:val="10"/>
                <w:szCs w:val="10"/>
                <w:b w:val="1"/>
                <w:bCs w:val="1"/>
                <w:color w:val="auto"/>
                <w:w w:val="92"/>
              </w:rPr>
              <w:t>to 2008</w:t>
            </w:r>
          </w:p>
        </w:tc>
        <w:tc>
          <w:tcPr>
            <w:tcW w:w="80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AVONEX</w:t>
            </w: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2,322.9</w:t>
            </w: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2,202.6</w:t>
            </w: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1,867.8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TYSABRI</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3"/>
                <w:szCs w:val="13"/>
                <w:color w:val="auto"/>
              </w:rPr>
              <w:t>776.0</w:t>
            </w:r>
          </w:p>
        </w:tc>
        <w:tc>
          <w:tcPr>
            <w:tcW w:w="140" w:type="dxa"/>
            <w:vAlign w:val="bottom"/>
          </w:tcPr>
          <w:p>
            <w:pPr>
              <w:spacing w:after="0"/>
              <w:rPr>
                <w:sz w:val="13"/>
                <w:szCs w:val="13"/>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3"/>
                <w:szCs w:val="13"/>
                <w:color w:val="auto"/>
              </w:rPr>
              <w:t>588.6</w:t>
            </w:r>
          </w:p>
        </w:tc>
        <w:tc>
          <w:tcPr>
            <w:tcW w:w="140" w:type="dxa"/>
            <w:vAlign w:val="bottom"/>
          </w:tcPr>
          <w:p>
            <w:pPr>
              <w:spacing w:after="0"/>
              <w:rPr>
                <w:sz w:val="13"/>
                <w:szCs w:val="1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229.9</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20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product revenues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3,152.9</w:t>
            </w:r>
          </w:p>
        </w:tc>
        <w:tc>
          <w:tcPr>
            <w:tcW w:w="38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2,839.7</w:t>
            </w:r>
          </w:p>
        </w:tc>
        <w:tc>
          <w:tcPr>
            <w:tcW w:w="48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2,136.8</w:t>
            </w:r>
          </w:p>
        </w:tc>
        <w:tc>
          <w:tcPr>
            <w:tcW w:w="20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333"/>
        </w:trPr>
        <w:tc>
          <w:tcPr>
            <w:tcW w:w="508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AVONEX</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80" w:type="dxa"/>
            <w:vAlign w:val="bottom"/>
            <w:gridSpan w:val="2"/>
          </w:tcPr>
          <w:p>
            <w:pPr>
              <w:ind w:left="400"/>
              <w:spacing w:after="0"/>
              <w:rPr>
                <w:sz w:val="20"/>
                <w:szCs w:val="20"/>
                <w:color w:val="auto"/>
              </w:rPr>
            </w:pPr>
            <w:r>
              <w:rPr>
                <w:rFonts w:ascii="Arial" w:cs="Arial" w:eastAsia="Arial" w:hAnsi="Arial"/>
                <w:sz w:val="13"/>
                <w:szCs w:val="13"/>
                <w:color w:val="auto"/>
              </w:rPr>
              <w:t>Revenues from AVONEX are summarized as follows: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1"/>
        </w:trPr>
        <w:tc>
          <w:tcPr>
            <w:tcW w:w="4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0" w:type="dxa"/>
            <w:vAlign w:val="bottom"/>
            <w:gridSpan w:val="6"/>
            <w:vMerge w:val="restart"/>
          </w:tcPr>
          <w:p>
            <w:pPr>
              <w:jc w:val="center"/>
              <w:ind w:right="40"/>
              <w:spacing w:after="0"/>
              <w:rPr>
                <w:sz w:val="20"/>
                <w:szCs w:val="20"/>
                <w:color w:val="auto"/>
              </w:rPr>
            </w:pPr>
            <w:r>
              <w:rPr>
                <w:rFonts w:ascii="Arial" w:cs="Arial" w:eastAsia="Arial" w:hAnsi="Arial"/>
                <w:sz w:val="10"/>
                <w:szCs w:val="10"/>
                <w:b w:val="1"/>
                <w:bCs w:val="1"/>
                <w:color w:val="auto"/>
                <w:w w:val="94"/>
              </w:rPr>
              <w:t>For the Years Ended December 31,</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2009</w:t>
            </w:r>
          </w:p>
        </w:tc>
        <w:tc>
          <w:tcPr>
            <w:tcW w:w="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tcPr>
          <w:p>
            <w:pPr>
              <w:jc w:val="center"/>
              <w:ind w:right="300"/>
              <w:spacing w:after="0" w:line="98" w:lineRule="exact"/>
              <w:rPr>
                <w:sz w:val="20"/>
                <w:szCs w:val="20"/>
                <w:color w:val="auto"/>
              </w:rPr>
            </w:pPr>
            <w:r>
              <w:rPr>
                <w:rFonts w:ascii="Arial" w:cs="Arial" w:eastAsia="Arial" w:hAnsi="Arial"/>
                <w:sz w:val="10"/>
                <w:szCs w:val="10"/>
                <w:b w:val="1"/>
                <w:bCs w:val="1"/>
                <w:color w:val="auto"/>
                <w:w w:val="92"/>
              </w:rPr>
              <w:t>to 2008</w:t>
            </w:r>
          </w:p>
        </w:tc>
        <w:tc>
          <w:tcPr>
            <w:tcW w:w="80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1,406.2</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1,276.5</w:t>
            </w: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1,085.0</w:t>
            </w:r>
          </w:p>
        </w:tc>
        <w:tc>
          <w:tcPr>
            <w:tcW w:w="20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Rest of world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916.7</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926.1</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782.8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AVONEX revenues</w:t>
            </w:r>
          </w:p>
        </w:tc>
        <w:tc>
          <w:tcPr>
            <w:tcW w:w="1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2,322.9</w:t>
            </w:r>
          </w:p>
        </w:tc>
        <w:tc>
          <w:tcPr>
            <w:tcW w:w="4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2,202.6</w:t>
            </w:r>
          </w:p>
        </w:tc>
        <w:tc>
          <w:tcPr>
            <w:tcW w:w="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1,867.8</w:t>
            </w:r>
          </w:p>
        </w:tc>
        <w:tc>
          <w:tcPr>
            <w:tcW w:w="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2009 compared to 2008, as well as for 2008 compared to 2007, the increase in U.S. AVONEX revenue was due to price increases, offset by decreased patient demand. Decreased commercial demand resulted in a 7.6% and a 6.0% decline in U.S. AVONEX sales volume in 2009 and 2008, respectively, over their prior year comparative periods. In addition, during 2009, we experienced higher participation in our Access Program, which provides free product to eligible patients.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2009 compared to 2008, the decrease in rest of world AVONEX revenue was primarily due to the negative impact of foreign exchange rate changes resulting from the strengthening of the U.S. dollar against relevant foreign currencies, primarily the Euro, offset by increased patient demand and price increases in some countries. For 2008 compared to 2007, rest of world sales of AVONEX increased due to increased patient demand, the impact of foreign exchange rate changes and the establishment of additional direct market affiliates. Increased commercial demand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resulted in increases of 6.3% and 8.6% in rest of world AVONEX sales volume in 2009 and 2008, respectively, over their prior year comparative periods.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AVONEX rest of world revenues for 2009, 2008 and 2007 also include losses of $39.5 million, $8.5 million and $13.1 million, respectively, recognized in relation to the settlement of certain cash flow hedge instruments.</w:t>
      </w:r>
    </w:p>
    <w:p>
      <w:pPr>
        <w:spacing w:after="0" w:line="59"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Continued growth of AVONEX revenue is primarily dependent on maintaining AVONEX’s position as one of the most prescribed MS therapies in the world. We expect to face increasing competition in the MS marketplace in both the U.S. and rest of world from existing and new MS treatments, including oral and other alternative formulations developed by our competitors, the continued growth of TYSABRI and the commercialization of our other pipeline product candidates, which may have a continued negative impact on the unit sales of AVONEX as well as increasing price pressure. We continue to generate data showing AVONEX to be an effective and safe choice for MS patients and physicians.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We collaborate with Elan Pharma International, Ltd (Elan) an affiliate of Elan Corporation, plc, on the development and commercialization of TYSABRI. Please read Note 17, </w:t>
      </w:r>
      <w:r>
        <w:rPr>
          <w:rFonts w:ascii="Arial" w:cs="Arial" w:eastAsia="Arial" w:hAnsi="Arial"/>
          <w:sz w:val="13"/>
          <w:szCs w:val="13"/>
          <w:i w:val="1"/>
          <w:iCs w:val="1"/>
          <w:color w:val="auto"/>
        </w:rPr>
        <w:t xml:space="preserve">Collaborations </w:t>
      </w:r>
      <w:r>
        <w:rPr>
          <w:rFonts w:ascii="Arial" w:cs="Arial" w:eastAsia="Arial" w:hAnsi="Arial"/>
          <w:sz w:val="13"/>
          <w:szCs w:val="13"/>
          <w:color w:val="auto"/>
        </w:rPr>
        <w:t>to our Consolidated Financial Statements for a description of this collaboration.</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U.S., we sell TYSABRI to Elan who sells the product to third party distributors. Our sales price to Elan in the U.S. is set prior to the beginning of each quarterly period to effect an approximate equal sharing of the gross margin on sales in the U.S. between Elan and us. We recognize revenue for sales of TYSABRI in the U.S. upon Elan’s shipment of the product to the third party distributors. In the rest of world markets, we are responsible for distributing TYSABRI to customers and are primarily responsible for all operating activities. We recognize revenue for sales of TYSABRI in the rest of world at the time of product delivery to our customers.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Revenues from TYSABRI include (1) our share of net U.S. sales of TYSABRI from Elan to third-party customers; (2) revenue on sales of TYSABRI in rest of world markets;</w:t>
      </w:r>
    </w:p>
    <w:p>
      <w:pPr>
        <w:spacing w:after="0" w:line="27" w:lineRule="exact"/>
        <w:rPr>
          <w:sz w:val="20"/>
          <w:szCs w:val="20"/>
          <w:color w:val="auto"/>
        </w:rPr>
      </w:pPr>
    </w:p>
    <w:p>
      <w:pPr>
        <w:ind w:left="680" w:right="320" w:firstLine="7"/>
        <w:spacing w:after="0" w:line="264" w:lineRule="auto"/>
        <w:tabs>
          <w:tab w:leader="none" w:pos="866"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amortization of deferred revenue amounts related to Elan milestone payments made to us; and (4) gains or losses recognized in relation to the settlement of foreign currency forward contracts that were entered into to hedge forecasted revenues.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TYSABRI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gridSpan w:val="4"/>
            <w:vMerge w:val="restart"/>
          </w:tcPr>
          <w:p>
            <w:pPr>
              <w:jc w:val="center"/>
              <w:ind w:right="440"/>
              <w:spacing w:after="0"/>
              <w:rPr>
                <w:sz w:val="20"/>
                <w:szCs w:val="20"/>
                <w:color w:val="auto"/>
              </w:rPr>
            </w:pPr>
            <w:r>
              <w:rPr>
                <w:rFonts w:ascii="Arial" w:cs="Arial" w:eastAsia="Arial" w:hAnsi="Arial"/>
                <w:sz w:val="10"/>
                <w:szCs w:val="10"/>
                <w:b w:val="1"/>
                <w:bCs w:val="1"/>
                <w:color w:val="auto"/>
                <w:w w:val="94"/>
              </w:rPr>
              <w:t>For the Years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442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00" w:type="dxa"/>
            <w:vAlign w:val="bottom"/>
          </w:tcPr>
          <w:p>
            <w:pPr>
              <w:spacing w:after="0"/>
              <w:rPr>
                <w:sz w:val="8"/>
                <w:szCs w:val="8"/>
                <w:color w:val="auto"/>
              </w:rPr>
            </w:pPr>
          </w:p>
        </w:tc>
        <w:tc>
          <w:tcPr>
            <w:tcW w:w="40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center"/>
              <w:ind w:right="38"/>
              <w:spacing w:after="0" w:line="98" w:lineRule="exact"/>
              <w:rPr>
                <w:sz w:val="20"/>
                <w:szCs w:val="20"/>
                <w:color w:val="auto"/>
              </w:rPr>
            </w:pPr>
            <w:r>
              <w:rPr>
                <w:rFonts w:ascii="Arial" w:cs="Arial" w:eastAsia="Arial" w:hAnsi="Arial"/>
                <w:sz w:val="10"/>
                <w:szCs w:val="10"/>
                <w:b w:val="1"/>
                <w:bCs w:val="1"/>
                <w:color w:val="auto"/>
                <w:w w:val="98"/>
              </w:rPr>
              <w:t>2008</w:t>
            </w: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900" w:type="dxa"/>
            <w:vAlign w:val="bottom"/>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2"/>
              </w:rPr>
              <w:t>to 2008</w:t>
            </w:r>
          </w:p>
        </w:tc>
        <w:tc>
          <w:tcPr>
            <w:tcW w:w="80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1080"/>
              <w:spacing w:after="0"/>
              <w:rPr>
                <w:sz w:val="20"/>
                <w:szCs w:val="20"/>
                <w:color w:val="auto"/>
              </w:rPr>
            </w:pPr>
            <w:r>
              <w:rPr>
                <w:rFonts w:ascii="Arial" w:cs="Arial" w:eastAsia="Arial" w:hAnsi="Arial"/>
                <w:sz w:val="13"/>
                <w:szCs w:val="13"/>
                <w:color w:val="auto"/>
              </w:rPr>
              <w:t>196.4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104.4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157"/>
        </w:trPr>
        <w:tc>
          <w:tcPr>
            <w:tcW w:w="4420" w:type="dxa"/>
            <w:vAlign w:val="bottom"/>
            <w:gridSpan w:val="2"/>
          </w:tcPr>
          <w:p>
            <w:pPr>
              <w:spacing w:after="0"/>
              <w:rPr>
                <w:sz w:val="20"/>
                <w:szCs w:val="20"/>
                <w:color w:val="auto"/>
              </w:rPr>
            </w:pPr>
            <w:r>
              <w:rPr>
                <w:rFonts w:ascii="Arial" w:cs="Arial" w:eastAsia="Arial" w:hAnsi="Arial"/>
                <w:sz w:val="13"/>
                <w:szCs w:val="13"/>
                <w:color w:val="auto"/>
              </w:rPr>
              <w:t>Rest of world</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544.2</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392.2</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125.5</w:t>
            </w:r>
          </w:p>
        </w:tc>
        <w:tc>
          <w:tcPr>
            <w:tcW w:w="2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TYSABRI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776.0</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588.6</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2009 compared to 2008, as well as for 2008 compared to 2007, the increase in U.S. TYSABRI revenue was due to the continued increase in the number of patients using TYSABRI in the U.S. Increased commercial demand resulted in increases of 16.3% and 88.7% in U.S. TYSABRI sales volume for 2009 and 2008, respectively, over their prior year comparative periods. Net sales of TYSABRI from our collaboration partner, Elan, to third-party customers in the U.S. for each of the years ended December 31, 2009, 2008 and 2007 totaled $508.5 million, $421.6 million and $217.4 million, respectively.</w:t>
      </w:r>
    </w:p>
    <w:p>
      <w:pPr>
        <w:spacing w:after="0" w:line="70"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For 2009 compared to 2008, as well as for 2008 compared to 2007, the increase in rest of world TYSABRI revenue was due to the continued increase in the number of patients using TYSABRI in our rest of world markets. Increased commercial demand resulted in increases of 49.0% and 203.8% in U.S. TYSABRI sales volume for 2009 and 2008, respectively, over their prior year comparative periods. The increase in TYSABRI revenues in 2009 was offset by the negative impact of foreign currency exchange rate changes resulting from the strengthening of the U.S. dollar against foreign currencies, primarily the Euro.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TYSABRI rest of world revenues for 2009 also include losses of $10.1 million recognized in relation to the settlement of certain cash flow hedge instruments; no such losses were recognized in 2008 or 2007 as we did not designate hedges against TYSABRI rest of world revenues in those periods.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2009 and 2008, we recognized $7.1 million and $1.5 million respectively of product revenue related to the amortization of the Elan milestone payments.</w:t>
      </w:r>
    </w:p>
    <w:p>
      <w:pPr>
        <w:spacing w:after="0" w:line="96" w:lineRule="exact"/>
        <w:rPr>
          <w:sz w:val="20"/>
          <w:szCs w:val="20"/>
          <w:color w:val="auto"/>
        </w:rPr>
      </w:pPr>
    </w:p>
    <w:p>
      <w:pPr>
        <w:ind w:left="680" w:right="260" w:firstLine="399"/>
        <w:spacing w:after="0" w:line="277" w:lineRule="auto"/>
        <w:rPr>
          <w:sz w:val="20"/>
          <w:szCs w:val="20"/>
          <w:color w:val="auto"/>
        </w:rPr>
      </w:pPr>
      <w:r>
        <w:rPr>
          <w:rFonts w:ascii="Arial" w:cs="Arial" w:eastAsia="Arial" w:hAnsi="Arial"/>
          <w:sz w:val="12"/>
          <w:szCs w:val="12"/>
          <w:color w:val="auto"/>
        </w:rPr>
        <w:t>Since we reintroduced TYSABRI to the market in July 2006, some patients taking TYSABRI have been diagnosed with PML, a rare but serious brain infection described in the TYSABRI label. In November 2009, the U.S. prescribing information for TYSABRI was revised to reflect that the risk of PML increases with longer treatment duration, and for patients treated for 24 to 36 months is generally similar to the rates seen in clinical trials. The revised label also reflects that there is limited experience beyond three years of treatment. In</w:t>
      </w:r>
    </w:p>
    <w:p>
      <w:pPr>
        <w:spacing w:after="0" w:line="1"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January 2010, the EMA recommended updating the TYSABRI label in the E.U. to reflect that the risk of PML increases after two years of therapy. The EMA also recommended that patients have regular MRI scans and be reinformed of the risk of PML after two years of therapy.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continue to monitor the growth of TYSABRI unit sales, which may be further impacted by the updated prescribing information. We continue to research and develop protocols that may reduce risk and improve outcomes of PML in patients being treated with TYSABRI. We are working to identify patient or viral characteristics which contribute to the risk of developing PML, including the presence of asymptomatic JC virus infection with a serological assay for antibodies against the JC virus. Our efforts to improve management by physicians of PML and to improve patient outcomes have included researching plasma exchange to more rapidly remove TYSABRI from a patient, and drug screening that identified mefloquine as an anti-JC virus drug candidate.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Product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product revenues represent revenues derived from FUMADERM, ZEVALIN and AMEVIVE and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vMerge w:val="restart"/>
          </w:tcPr>
          <w:p>
            <w:pPr>
              <w:jc w:val="center"/>
              <w:ind w:right="240"/>
              <w:spacing w:after="0"/>
              <w:rPr>
                <w:sz w:val="20"/>
                <w:szCs w:val="20"/>
                <w:color w:val="auto"/>
              </w:rPr>
            </w:pPr>
            <w:r>
              <w:rPr>
                <w:rFonts w:ascii="Arial" w:cs="Arial" w:eastAsia="Arial" w:hAnsi="Arial"/>
                <w:sz w:val="10"/>
                <w:szCs w:val="10"/>
                <w:b w:val="1"/>
                <w:bCs w:val="1"/>
                <w:color w:val="auto"/>
                <w:w w:val="94"/>
              </w:rPr>
              <w:t>For the Years Ended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 Change</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520" w:type="dxa"/>
            <w:vAlign w:val="bottom"/>
          </w:tcPr>
          <w:p>
            <w:pPr>
              <w:spacing w:after="0"/>
              <w:rPr>
                <w:sz w:val="7"/>
                <w:szCs w:val="7"/>
                <w:color w:val="auto"/>
              </w:rPr>
            </w:pPr>
          </w:p>
        </w:tc>
        <w:tc>
          <w:tcPr>
            <w:tcW w:w="6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w w:val="99"/>
              </w:rPr>
              <w:t>2008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Compared</w:t>
            </w: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108"/>
        </w:trPr>
        <w:tc>
          <w:tcPr>
            <w:tcW w:w="504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(In millions, except percentages)</w:t>
            </w:r>
          </w:p>
        </w:tc>
        <w:tc>
          <w:tcPr>
            <w:tcW w:w="12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2009</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center"/>
              <w:ind w:right="17"/>
              <w:spacing w:after="0" w:line="108" w:lineRule="exact"/>
              <w:rPr>
                <w:sz w:val="20"/>
                <w:szCs w:val="20"/>
                <w:color w:val="auto"/>
              </w:rPr>
            </w:pPr>
            <w:r>
              <w:rPr>
                <w:rFonts w:ascii="Arial" w:cs="Arial" w:eastAsia="Arial" w:hAnsi="Arial"/>
                <w:sz w:val="10"/>
                <w:szCs w:val="10"/>
                <w:b w:val="1"/>
                <w:bCs w:val="1"/>
                <w:color w:val="auto"/>
                <w:w w:val="98"/>
              </w:rPr>
              <w:t>2008</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ind w:right="17"/>
              <w:spacing w:after="0" w:line="10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2"/>
              </w:rPr>
              <w:t>to 2008</w:t>
            </w: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8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FUMADERM</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w:t>
            </w: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57"/>
        </w:trPr>
        <w:tc>
          <w:tcPr>
            <w:tcW w:w="5040" w:type="dxa"/>
            <w:vAlign w:val="bottom"/>
            <w:gridSpan w:val="2"/>
          </w:tcPr>
          <w:p>
            <w:pPr>
              <w:spacing w:after="0"/>
              <w:rPr>
                <w:sz w:val="20"/>
                <w:szCs w:val="20"/>
                <w:color w:val="auto"/>
              </w:rPr>
            </w:pPr>
            <w:r>
              <w:rPr>
                <w:rFonts w:ascii="Arial" w:cs="Arial" w:eastAsia="Arial" w:hAnsi="Arial"/>
                <w:sz w:val="13"/>
                <w:szCs w:val="13"/>
                <w:color w:val="auto"/>
              </w:rPr>
              <w:t>ZEVALIN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700"/>
              <w:spacing w:after="0"/>
              <w:rPr>
                <w:sz w:val="20"/>
                <w:szCs w:val="20"/>
                <w:color w:val="auto"/>
              </w:rPr>
            </w:pPr>
            <w:r>
              <w:rPr>
                <w:rFonts w:ascii="Arial" w:cs="Arial" w:eastAsia="Arial" w:hAnsi="Arial"/>
                <w:sz w:val="13"/>
                <w:szCs w:val="13"/>
                <w:color w:val="auto"/>
              </w:rPr>
              <w:t>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16.9</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(8.3)%</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57"/>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AMEVIVE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w:t>
            </w: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other product revenues</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54.0</w:t>
            </w:r>
          </w:p>
        </w:tc>
        <w:tc>
          <w:tcPr>
            <w:tcW w:w="2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700"/>
              <w:spacing w:after="0"/>
              <w:rPr>
                <w:sz w:val="20"/>
                <w:szCs w:val="20"/>
                <w:color w:val="auto"/>
              </w:rPr>
            </w:pPr>
            <w:r>
              <w:rPr>
                <w:rFonts w:ascii="Arial" w:cs="Arial" w:eastAsia="Arial" w:hAnsi="Arial"/>
                <w:sz w:val="13"/>
                <w:szCs w:val="13"/>
                <w:color w:val="auto"/>
              </w:rPr>
              <w:t>48.5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30"/>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Unconsolidated Joint Business Revenues</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 xml:space="preserve">We collaborate with Genentech on the development and commercialization of RITUXAN.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of this collaboration.</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majority of RITUXAN unit sales are for use in oncology as a treatment for certain types of B-cell NHL. We believe there is opportunity for RITUXAN unit sales growth in the immunology setting, where RITUXAN is used as a treatment for certain types of RA. Additional immunology indications for RITUXAN that we are investigating include ANCA-associated vasculitis.</w:t>
      </w:r>
    </w:p>
    <w:p>
      <w:pPr>
        <w:spacing w:after="0" w:line="67"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Revenues from unconsolidated joint business consist of (1) our share of pretax co-promotion profits in the U.S.; (2) reimbursement of our selling and development expense in the U.S.; and (3) revenue on sales of RITUXAN in the rest of world, which consist of our share of pretax co-promotion profits in Canada and royalty revenue on sales of RITUXAN outside the U.S. and Canada by F. Hoffmann-La Roche Ltd.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and joint development expenses incurred by Genentech, Roche and us.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summary of revenues from unconsolidated joint business: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vMerge w:val="restart"/>
          </w:tcPr>
          <w:p>
            <w:pPr>
              <w:jc w:val="center"/>
              <w:ind w:right="300"/>
              <w:spacing w:after="0"/>
              <w:rPr>
                <w:sz w:val="20"/>
                <w:szCs w:val="20"/>
                <w:color w:val="auto"/>
              </w:rPr>
            </w:pPr>
            <w:r>
              <w:rPr>
                <w:rFonts w:ascii="Arial" w:cs="Arial" w:eastAsia="Arial" w:hAnsi="Arial"/>
                <w:sz w:val="10"/>
                <w:szCs w:val="10"/>
                <w:b w:val="1"/>
                <w:bCs w:val="1"/>
                <w:color w:val="auto"/>
                <w:w w:val="94"/>
              </w:rPr>
              <w:t>For the Years Ended</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 Change</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50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0"/>
                <w:szCs w:val="10"/>
                <w:b w:val="1"/>
                <w:bCs w:val="1"/>
                <w:color w:val="auto"/>
                <w:w w:val="92"/>
              </w:rPr>
              <w:t>December 31,</w:t>
            </w: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Compared</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Compared</w:t>
            </w:r>
          </w:p>
        </w:tc>
        <w:tc>
          <w:tcPr>
            <w:tcW w:w="0" w:type="dxa"/>
            <w:vAlign w:val="bottom"/>
          </w:tcPr>
          <w:p>
            <w:pPr>
              <w:spacing w:after="0"/>
              <w:rPr>
                <w:sz w:val="1"/>
                <w:szCs w:val="1"/>
                <w:color w:val="auto"/>
              </w:rPr>
            </w:pPr>
          </w:p>
        </w:tc>
      </w:tr>
      <w:tr>
        <w:trPr>
          <w:trHeight w:val="98"/>
        </w:trPr>
        <w:tc>
          <w:tcPr>
            <w:tcW w:w="52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Pr>
          <w:p>
            <w:pPr>
              <w:spacing w:after="0"/>
              <w:rPr>
                <w:sz w:val="8"/>
                <w:szCs w:val="8"/>
                <w:color w:val="auto"/>
              </w:rPr>
            </w:pPr>
          </w:p>
        </w:tc>
        <w:tc>
          <w:tcPr>
            <w:tcW w:w="46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480" w:type="dxa"/>
            <w:vAlign w:val="bottom"/>
          </w:tcPr>
          <w:p>
            <w:pPr>
              <w:spacing w:after="0"/>
              <w:rPr>
                <w:sz w:val="8"/>
                <w:szCs w:val="8"/>
                <w:color w:val="auto"/>
              </w:rPr>
            </w:pPr>
          </w:p>
        </w:tc>
        <w:tc>
          <w:tcPr>
            <w:tcW w:w="400" w:type="dxa"/>
            <w:vAlign w:val="bottom"/>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8"/>
              </w:rPr>
              <w:t>to 2008</w:t>
            </w:r>
          </w:p>
        </w:tc>
        <w:tc>
          <w:tcPr>
            <w:tcW w:w="66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Biogen Idec’s share of co-promotion profits in the U.S.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733.5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$ 616.8</w:t>
            </w:r>
          </w:p>
        </w:tc>
        <w:tc>
          <w:tcPr>
            <w:tcW w:w="10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57"/>
        </w:trPr>
        <w:tc>
          <w:tcPr>
            <w:tcW w:w="5280" w:type="dxa"/>
            <w:vAlign w:val="bottom"/>
            <w:gridSpan w:val="2"/>
          </w:tcPr>
          <w:p>
            <w:pPr>
              <w:spacing w:after="0"/>
              <w:rPr>
                <w:sz w:val="20"/>
                <w:szCs w:val="20"/>
                <w:color w:val="auto"/>
              </w:rPr>
            </w:pPr>
            <w:r>
              <w:rPr>
                <w:rFonts w:ascii="Arial" w:cs="Arial" w:eastAsia="Arial" w:hAnsi="Arial"/>
                <w:sz w:val="13"/>
                <w:szCs w:val="13"/>
                <w:color w:val="auto"/>
              </w:rPr>
              <w:t>Reimbursement of selling and development expenses in the U.S.</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59.7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58.5</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on sales of RITUXAN in the rest of world</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250.8</w:t>
            </w:r>
          </w:p>
        </w:tc>
        <w:tc>
          <w:tcPr>
            <w:tcW w:w="10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unconsolidated joint business revenues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1,094.9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1,128.2</w:t>
            </w:r>
          </w:p>
        </w:tc>
        <w:tc>
          <w:tcPr>
            <w:tcW w:w="4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$ 926.1</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30"/>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Biogen Idec’s Share of Co-Promotion Profits in the U.S.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summary of amounts comprising our share of co-promotion profits in the U.S.: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gridSpan w:val="4"/>
            <w:vMerge w:val="restart"/>
          </w:tcPr>
          <w:p>
            <w:pPr>
              <w:ind w:left="220"/>
              <w:spacing w:after="0"/>
              <w:rPr>
                <w:sz w:val="20"/>
                <w:szCs w:val="20"/>
                <w:color w:val="auto"/>
              </w:rPr>
            </w:pPr>
            <w:r>
              <w:rPr>
                <w:rFonts w:ascii="Arial" w:cs="Arial" w:eastAsia="Arial" w:hAnsi="Arial"/>
                <w:sz w:val="10"/>
                <w:szCs w:val="10"/>
                <w:b w:val="1"/>
                <w:bCs w:val="1"/>
                <w:color w:val="auto"/>
              </w:rPr>
              <w:t>For the Years Ended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 Change</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50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3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Compared</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Compared</w:t>
            </w:r>
          </w:p>
        </w:tc>
        <w:tc>
          <w:tcPr>
            <w:tcW w:w="0" w:type="dxa"/>
            <w:vAlign w:val="bottom"/>
          </w:tcPr>
          <w:p>
            <w:pPr>
              <w:spacing w:after="0"/>
              <w:rPr>
                <w:sz w:val="1"/>
                <w:szCs w:val="1"/>
                <w:color w:val="auto"/>
              </w:rPr>
            </w:pPr>
          </w:p>
        </w:tc>
      </w:tr>
      <w:tr>
        <w:trPr>
          <w:trHeight w:val="98"/>
        </w:trPr>
        <w:tc>
          <w:tcPr>
            <w:tcW w:w="52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Pr>
          <w:p>
            <w:pPr>
              <w:spacing w:after="0"/>
              <w:rPr>
                <w:sz w:val="8"/>
                <w:szCs w:val="8"/>
                <w:color w:val="auto"/>
              </w:rPr>
            </w:pPr>
          </w:p>
        </w:tc>
        <w:tc>
          <w:tcPr>
            <w:tcW w:w="46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8"/>
              </w:rPr>
              <w:t>to 2008</w:t>
            </w:r>
          </w:p>
        </w:tc>
        <w:tc>
          <w:tcPr>
            <w:tcW w:w="66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 revenues,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2,284.8</w:t>
            </w:r>
          </w:p>
        </w:tc>
        <w:tc>
          <w:tcPr>
            <w:tcW w:w="10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7"/>
        </w:trPr>
        <w:tc>
          <w:tcPr>
            <w:tcW w:w="528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724.1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730.2</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Co-promotion profits in the 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1,554.6</w:t>
            </w:r>
          </w:p>
        </w:tc>
        <w:tc>
          <w:tcPr>
            <w:tcW w:w="10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9"/>
        </w:trPr>
        <w:tc>
          <w:tcPr>
            <w:tcW w:w="5280" w:type="dxa"/>
            <w:vAlign w:val="bottom"/>
            <w:gridSpan w:val="2"/>
            <w:vMerge w:val="restart"/>
          </w:tcPr>
          <w:p>
            <w:pPr>
              <w:spacing w:after="0"/>
              <w:rPr>
                <w:sz w:val="20"/>
                <w:szCs w:val="20"/>
                <w:color w:val="auto"/>
              </w:rPr>
            </w:pPr>
            <w:r>
              <w:rPr>
                <w:rFonts w:ascii="Arial" w:cs="Arial" w:eastAsia="Arial" w:hAnsi="Arial"/>
                <w:sz w:val="13"/>
                <w:szCs w:val="13"/>
                <w:color w:val="auto"/>
              </w:rPr>
              <w:t>Biogen Idec Inc.’s share of co-promotion profits in the United States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28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773.6</w:t>
            </w:r>
          </w:p>
        </w:tc>
        <w:tc>
          <w:tcPr>
            <w:tcW w:w="3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733.5</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616.8</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30"/>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For 2009 compared to 2008, the increase in U.S. RITUXAN product revenue on sales recorded by Genentech resulted from continued growth for treatment of B-cell NHL and RA, and price increases. For 2008 compared to 2007 the increase in U.S. RITUXAN product revenue was primarily due to increased unit sales in treatments of B-cell NHL, CLL (an unapproved and unpromoted use of RITUXAN) and RA, and price increases. Collaboration costs and expenses for 2009 as compared to 2008 decreased primarily due to higher costs incurred in development of RITUXAN for use in other indications during 2008.</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our collaboration agreement, our current pretax co-promotion profit-sharing formula, which resets annually, provides for a 30% share of co-promotion profits on the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of co-promotion operating profit with our share increasing to 40% if co-promotion operating profits exceed $50.0 million. In 2009, 2008, and 2007, the 40% threshold was met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the first quarter.</w:t>
      </w:r>
    </w:p>
    <w:p>
      <w:pPr>
        <w:spacing w:after="0" w:line="89"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In addition, under our collaboration agreement, we have rights to collaborate with Genentech on the development and commercialization of (1) anti-CD20 products that Genentech acquires or develops, which we refer to as New Anti-CD20 Products, and (2) anti-CD20 products that Genentech licenses from a third party, which we refer to as Third Party Anti-CD20 Products. Our collaboration rights for New Anti-CD20 Products are limited to the U.S. and our collaboration rights for Third Party Anti-CD20 Products are dependent upon Genentech’s underlying license rights. There is only one New Anti-CD20 Product, ocrelizumab, and only one Third Party Anti-CD20 Product, GA101.</w:t>
      </w:r>
    </w:p>
    <w:p>
      <w:pPr>
        <w:spacing w:after="0" w:line="5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Our agreement with Genentech also provides that the successful development and commercialization of the first New Anti-CD20 Product will decrease our percentage of co-promotion profits of the collaboration.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additional information regarding the pretax co-promotion profit sharing formula for RITUXAN and New Anti-CD20 Products sold by us and Genentech following the approval date of the first New Anti-CD20 Product. We will participate in Third Party Anti-CD20 Products on similar financial terms as for ocrelizumab.</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Reimbursement of Selling and Development Expense in the U.S.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As discussed within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Genentech incurs the majority of continuing development costs for RITUXAN. Expenses incurred by Genentech in the development of RITUXAN are not recorded as research and development expense, but rather reduce our share of co-promotion profits recorded as a component of unconsolidated joint business revenue.</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Selling and development expenses, incurred by us in the U.S. and reimbursed by Genentech, increased in 2009 as compared 2008 due to an increase in sales and marketing expense associated with CLL and legal fees.</w:t>
      </w:r>
    </w:p>
    <w:p>
      <w:pPr>
        <w:spacing w:after="0" w:line="59" w:lineRule="exact"/>
        <w:rPr>
          <w:sz w:val="20"/>
          <w:szCs w:val="20"/>
          <w:color w:val="auto"/>
        </w:rPr>
      </w:pPr>
    </w:p>
    <w:p>
      <w:pPr>
        <w:ind w:left="880" w:right="200" w:firstLine="200"/>
        <w:spacing w:after="0" w:line="426" w:lineRule="auto"/>
        <w:rPr>
          <w:sz w:val="20"/>
          <w:szCs w:val="20"/>
          <w:color w:val="auto"/>
        </w:rPr>
      </w:pPr>
      <w:r>
        <w:rPr>
          <w:rFonts w:ascii="Arial" w:cs="Arial" w:eastAsia="Arial" w:hAnsi="Arial"/>
          <w:sz w:val="13"/>
          <w:szCs w:val="13"/>
          <w:color w:val="auto"/>
        </w:rPr>
        <w:t xml:space="preserve">The increase in selling and development expenses in 2008 compared to 2007 was primarily due to development costs we incurred related to the development of RITUXAN in RA. </w:t>
      </w:r>
      <w:r>
        <w:rPr>
          <w:rFonts w:ascii="Arial" w:cs="Arial" w:eastAsia="Arial" w:hAnsi="Arial"/>
          <w:sz w:val="13"/>
          <w:szCs w:val="13"/>
          <w:b w:val="1"/>
          <w:bCs w:val="1"/>
          <w:i w:val="1"/>
          <w:iCs w:val="1"/>
          <w:color w:val="auto"/>
        </w:rPr>
        <w:t>Revenue on Sales of RITUXAN in the Rest of World</w:t>
      </w:r>
    </w:p>
    <w:p>
      <w:pPr>
        <w:ind w:left="680" w:right="360" w:firstLine="399"/>
        <w:spacing w:after="0" w:line="320" w:lineRule="auto"/>
        <w:rPr>
          <w:sz w:val="20"/>
          <w:szCs w:val="20"/>
          <w:color w:val="auto"/>
        </w:rPr>
      </w:pPr>
      <w:r>
        <w:rPr>
          <w:rFonts w:ascii="Arial" w:cs="Arial" w:eastAsia="Arial" w:hAnsi="Arial"/>
          <w:sz w:val="12"/>
          <w:szCs w:val="12"/>
          <w:color w:val="auto"/>
        </w:rPr>
        <w:t>We record our royalty revenue and co-promotion profit revenue on sales of RITUXAN in the rest of world on a cash basis. Revenues on sales of RITUXAN in the rest of world decreased in 2009 compared to 2008 primarily due to royalty expirations in certain of these markets and the negative impact of foreign exchange rate changes.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Revenues on sales of RITUXAN in the rest of world increased in 2008 compared to 2007 due to several factors, including increased market penetration in NHL and increased use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w:t>
      </w:r>
    </w:p>
    <w:p>
      <w:pPr>
        <w:spacing w:after="0" w:line="8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royalty period for sales in the rest of world with respect to all products is 11 years from the first commercial sale of such product on a country-by-country basis. For the majority of European countries, the first commercial sale of RITUXAN occurred in the second half of 1998. Specifically, the royalty periods with respect to sales in France, Spain, Germany and the United Kingdom expired in 2009. The royalty period with respect to sales in Italy will expire in 2010. The royalty periods with respect to sales in other countries will subsequently expire through 2012. As a result of these expirations, we expect royalty revenues derived from sales of RITUXAN in the rest of world to continue to decline in future years.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Revenues</w:t>
      </w:r>
    </w:p>
    <w:p>
      <w:pPr>
        <w:spacing w:after="0" w:line="100"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Our product line previously included ZEVALIN (</w:t>
      </w:r>
      <w:r>
        <w:rPr>
          <w:rFonts w:ascii="Arial" w:cs="Arial" w:eastAsia="Arial" w:hAnsi="Arial"/>
          <w:sz w:val="12"/>
          <w:szCs w:val="12"/>
          <w:i w:val="1"/>
          <w:iCs w:val="1"/>
          <w:color w:val="auto"/>
        </w:rPr>
        <w:t>ibritumomab tiuxetan</w:t>
      </w:r>
      <w:r>
        <w:rPr>
          <w:rFonts w:ascii="Arial" w:cs="Arial" w:eastAsia="Arial" w:hAnsi="Arial"/>
          <w:sz w:val="12"/>
          <w:szCs w:val="12"/>
          <w:color w:val="auto"/>
        </w:rPr>
        <w:t>) which is part of a treatment regimen for certain B-cell NHL, and AMEVIVE (</w:t>
      </w:r>
      <w:r>
        <w:rPr>
          <w:rFonts w:ascii="Arial" w:cs="Arial" w:eastAsia="Arial" w:hAnsi="Arial"/>
          <w:sz w:val="12"/>
          <w:szCs w:val="12"/>
          <w:i w:val="1"/>
          <w:iCs w:val="1"/>
          <w:color w:val="auto"/>
        </w:rPr>
        <w:t>alefacept</w:t>
      </w:r>
      <w:r>
        <w:rPr>
          <w:rFonts w:ascii="Arial" w:cs="Arial" w:eastAsia="Arial" w:hAnsi="Arial"/>
          <w:sz w:val="12"/>
          <w:szCs w:val="12"/>
          <w:color w:val="auto"/>
        </w:rPr>
        <w:t>), a treatment for certain moderate to severe psoriasis. We have sold or exclusively licensed the rights to these products to third parties and continue to receive supply agreement revenues based on those products which are included in corporate partner revenues. We also receive royalties on sales by our licensees of a number of other products under patents that we own.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revenues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4"/>
              </w:rPr>
              <w:t>For the Years Ended</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 Change</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50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2"/>
              </w:rPr>
              <w:t>December 31,</w:t>
            </w: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Compared</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Compared</w:t>
            </w:r>
          </w:p>
        </w:tc>
        <w:tc>
          <w:tcPr>
            <w:tcW w:w="0" w:type="dxa"/>
            <w:vAlign w:val="bottom"/>
          </w:tcPr>
          <w:p>
            <w:pPr>
              <w:spacing w:after="0"/>
              <w:rPr>
                <w:sz w:val="1"/>
                <w:szCs w:val="1"/>
                <w:color w:val="auto"/>
              </w:rPr>
            </w:pPr>
          </w:p>
        </w:tc>
      </w:tr>
      <w:tr>
        <w:trPr>
          <w:trHeight w:val="98"/>
        </w:trPr>
        <w:tc>
          <w:tcPr>
            <w:tcW w:w="56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400" w:type="dxa"/>
            <w:vAlign w:val="bottom"/>
          </w:tcPr>
          <w:p>
            <w:pPr>
              <w:jc w:val="right"/>
              <w:ind w:right="3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780" w:type="dxa"/>
            <w:vAlign w:val="bottom"/>
            <w:gridSpan w:val="2"/>
          </w:tcPr>
          <w:p>
            <w:pPr>
              <w:jc w:val="center"/>
              <w:ind w:left="324"/>
              <w:spacing w:after="0" w:line="98" w:lineRule="exact"/>
              <w:rPr>
                <w:sz w:val="20"/>
                <w:szCs w:val="20"/>
                <w:color w:val="auto"/>
              </w:rPr>
            </w:pPr>
            <w:r>
              <w:rPr>
                <w:rFonts w:ascii="Arial" w:cs="Arial" w:eastAsia="Arial" w:hAnsi="Arial"/>
                <w:sz w:val="10"/>
                <w:szCs w:val="10"/>
                <w:b w:val="1"/>
                <w:bCs w:val="1"/>
                <w:color w:val="auto"/>
                <w:w w:val="89"/>
              </w:rPr>
              <w:t>2008</w:t>
            </w:r>
          </w:p>
        </w:tc>
        <w:tc>
          <w:tcPr>
            <w:tcW w:w="480" w:type="dxa"/>
            <w:vAlign w:val="bottom"/>
          </w:tcPr>
          <w:p>
            <w:pPr>
              <w:spacing w:after="0"/>
              <w:rPr>
                <w:sz w:val="8"/>
                <w:szCs w:val="8"/>
                <w:color w:val="auto"/>
              </w:rPr>
            </w:pPr>
          </w:p>
        </w:tc>
        <w:tc>
          <w:tcPr>
            <w:tcW w:w="400" w:type="dxa"/>
            <w:vAlign w:val="bottom"/>
          </w:tcPr>
          <w:p>
            <w:pPr>
              <w:jc w:val="right"/>
              <w:ind w:right="1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8"/>
              </w:rPr>
              <w:t>to 2008</w:t>
            </w:r>
          </w:p>
        </w:tc>
        <w:tc>
          <w:tcPr>
            <w:tcW w:w="66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Royalty revenues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$ 124.4</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$ 116.2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$ 102.1</w:t>
            </w:r>
          </w:p>
        </w:tc>
        <w:tc>
          <w:tcPr>
            <w:tcW w:w="10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Corporate partner revenues</w:t>
            </w:r>
          </w:p>
        </w:tc>
        <w:tc>
          <w:tcPr>
            <w:tcW w:w="4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13.4</w:t>
            </w:r>
          </w:p>
        </w:tc>
        <w:tc>
          <w:tcPr>
            <w:tcW w:w="4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6.6</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$ 129.5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$ 129.6</w:t>
            </w: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$ 108.7</w:t>
            </w:r>
          </w:p>
        </w:tc>
        <w:tc>
          <w:tcPr>
            <w:tcW w:w="10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receive royalties on sales by our licensees of products covered under patents that we own. Sales of licensed products could vary significantly due to competition, manufacturing difficulties and other factors that are not within our control. In addition, the expiration or invalidation of any underlying patents could reduce or eliminate the royalty revenues derived from such patents.</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increase in royalty revenues in 2009 as compared to 2008, as well as in 2008 as compared to 2007, was primarily due to increased sales of ANGIOMAX (bivalirudin) licensed to The Medicines Company (TMC) offset by a decline in royalties from sales of other licensed product and the expiration of certain contracts and license agreements.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Our most significant source of royalty revenue is derived from sales of ANGIOMAX by TMC. TMC sells ANGIOMAX in the U.S., Europe, Canada, and Latin America for use as an anticoagulant in combination with aspirin in patients with unstable angina undergoing percutaneous transluminal coronary angioplasty. Royalty revenues related to the sales of ANGIOMAX are recognized in an amount equal to the level of net sales achieved during a calendar year multiplied by the royalty rate in effect for that tier under our agreement with TMC. The royalty rate increases based upon which tier of total net sales are earned in any calendar year. The increased royalty rate is applied retroactively to the first dollar of net sales achieved during the year. This formula has the effect of increasing the amount of royalty revenue to be recognized in later quarters. Accordingly, an adjustment is recorded in the period in which an increase in royalty rate has been achieved.</w:t>
      </w:r>
    </w:p>
    <w:p>
      <w:pPr>
        <w:spacing w:after="0" w:line="72"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Under the terms of our agreement, TMC is obligated to pay us royalties earned, on a country-by-country basis, until the later of (1) twelve years from the date of the first commercial sale of ANGIOMAX in such country and (2) the date upon which the product is no longer covered by a patent in such country. The annual royalty rate is reduced by a specified percentage in any country where the product is no longer covered by a patent and where sales have been reduced to a certain volume-based market share. TMC began selling ANGIOMAX in the U.S. in January 2001. The principal U.S. patent that covers ANGIOMAX expires in March 2010. The FDA has granted TMC an additional period of marketing exclusivity for ANGIOMAX in order to investigate its use in pediatric patients. This period expires in September 2010. In the event that third parties sell products comparable to ANGIOMAX after the period of marketing exclusivity expires, we would expect a significant decrease in royalty revenues due to lower royalty rates and increased competition.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for Discounts and Allowances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Revenues from product sales are recorded net of applicable allowances for trade term discounts, wholesaler incentives, Medicaid rebates, Veterans Administration (VA) rebates, managed care rebates, product returns, and other applicable allowances. Reserves established for these discounts and allowances are classified as reductions of accounts receivable (if the amount is payable to our customer) or a liability (if the amount is payable to a party other than our customer). For 2009 compared to 2008, as well as 2008 compared to 2007, the increases in total allowances were primarily due to price increases.</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Our product revenue reserves are based on estimates of the amounts earned or to be claimed on the related sales. These estimates take into consideration our historical experience, current contractual requirements, statutory requirements, specific known market events and trends and forecasted customer buying patterns. If actual results vary, we may need to adjust these estimates, which could have an effect on earnings in the period of the adjustment.</w:t>
      </w:r>
    </w:p>
    <w:p>
      <w:pPr>
        <w:spacing w:after="0" w:line="67"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Reserves for product returns are recorded in the period the related revenue is recognized, resulting in a reduction to product sales. The majority of wholesaler returns are due to product expiration. Expired product return reserves are estimated through a comparison of historical return data, as adjusted, to their related sales on a production lot basis. Historical rates of return are determined for each product and are adjusted for known or expected changes in the marketplace specific to each product.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Reserves for discounts, contractual adjustments and returns that reduced gross product revenues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vMerge w:val="restart"/>
          </w:tcPr>
          <w:p>
            <w:pPr>
              <w:jc w:val="right"/>
              <w:ind w:right="260"/>
              <w:spacing w:after="0"/>
              <w:rPr>
                <w:sz w:val="20"/>
                <w:szCs w:val="20"/>
                <w:color w:val="auto"/>
              </w:rPr>
            </w:pPr>
            <w:r>
              <w:rPr>
                <w:rFonts w:ascii="Arial" w:cs="Arial" w:eastAsia="Arial" w:hAnsi="Arial"/>
                <w:sz w:val="10"/>
                <w:szCs w:val="10"/>
                <w:b w:val="1"/>
                <w:bCs w:val="1"/>
                <w:color w:val="auto"/>
                <w:w w:val="98"/>
              </w:rPr>
              <w:t>For the Years Ended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 Change</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46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Compared</w:t>
            </w: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60" w:type="dxa"/>
            <w:vAlign w:val="bottom"/>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36"/>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040" w:type="dxa"/>
            <w:vAlign w:val="bottom"/>
            <w:gridSpan w:val="2"/>
          </w:tcPr>
          <w:p>
            <w:pPr>
              <w:jc w:val="center"/>
              <w:ind w:right="460"/>
              <w:spacing w:after="0" w:line="98" w:lineRule="exact"/>
              <w:rPr>
                <w:sz w:val="20"/>
                <w:szCs w:val="20"/>
                <w:color w:val="auto"/>
              </w:rPr>
            </w:pPr>
            <w:r>
              <w:rPr>
                <w:rFonts w:ascii="Arial" w:cs="Arial" w:eastAsia="Arial" w:hAnsi="Arial"/>
                <w:sz w:val="10"/>
                <w:szCs w:val="10"/>
                <w:b w:val="1"/>
                <w:bCs w:val="1"/>
                <w:color w:val="auto"/>
                <w:w w:val="98"/>
              </w:rPr>
              <w:t>to 2008</w:t>
            </w:r>
          </w:p>
        </w:tc>
        <w:tc>
          <w:tcPr>
            <w:tcW w:w="7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2"/>
              </w:rPr>
              <w:t>to 2007</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Discounts</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45.7</w:t>
            </w: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Contractual adjustments</w:t>
            </w: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192.5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149.0</w:t>
            </w: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105.2</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29.2%</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Returns</w:t>
            </w:r>
          </w:p>
        </w:tc>
        <w:tc>
          <w:tcPr>
            <w:tcW w:w="1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22.1</w:t>
            </w: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vMerge w:val="restart"/>
          </w:tcPr>
          <w:p>
            <w:pPr>
              <w:ind w:left="140"/>
              <w:spacing w:after="0"/>
              <w:rPr>
                <w:sz w:val="20"/>
                <w:szCs w:val="20"/>
                <w:color w:val="auto"/>
              </w:rPr>
            </w:pPr>
            <w:r>
              <w:rPr>
                <w:rFonts w:ascii="Arial" w:cs="Arial" w:eastAsia="Arial" w:hAnsi="Arial"/>
                <w:sz w:val="13"/>
                <w:szCs w:val="13"/>
                <w:color w:val="auto"/>
              </w:rPr>
              <w:t>Total allowances</w:t>
            </w:r>
          </w:p>
        </w:tc>
        <w:tc>
          <w:tcPr>
            <w:tcW w:w="18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1860" w:type="dxa"/>
            <w:vAlign w:val="bottom"/>
            <w:gridSpan w:val="2"/>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228.3</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173.0</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24.0%</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Gross product revenues</w:t>
            </w:r>
          </w:p>
        </w:tc>
        <w:tc>
          <w:tcPr>
            <w:tcW w:w="18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2,309.8</w:t>
            </w: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10.8%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3"/>
                <w:szCs w:val="13"/>
                <w:color w:val="auto"/>
              </w:rPr>
              <w:t>41</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Discount reserves include trade term discounts and wholesaler incentives. For 2009 compared to 2008, as well as for 2008 compared to 2007, the increase in discounts was primarily driven by increases in trade term discounts and wholesaler incentives as a result of price increases.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Contractual adjustment reserves relate to Medicaid, VA and managed care rebates and other applicable allowances. For 2009 compared to 2008, as well as for 2008 compared to 2007, contractual adjustments increased primarily due to the impact of higher reserves for managed care (associated with higher level of activity with respect to rebates and price increases in the U.S.) and Medicaid and VA programs (associated with price increases in the U.S.).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Product return reserves are established for returns made by wholesalers. In accordance with contractual terms, wholesalers are permitted to return product for reasons such as damaged or expired product. We also accept returns from our patients for various reasons. For 2009 compared to 2008, return reserves remained relatively unchanged. For 2008 compared to 2007, return reserves decreased primarily due to a decrease in estimated product returns based on historical trends.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Costs and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total costs and expenses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8"/>
            <w:vMerge w:val="restart"/>
          </w:tcPr>
          <w:p>
            <w:pPr>
              <w:ind w:left="220"/>
              <w:spacing w:after="0"/>
              <w:rPr>
                <w:sz w:val="20"/>
                <w:szCs w:val="20"/>
                <w:color w:val="auto"/>
              </w:rPr>
            </w:pPr>
            <w:r>
              <w:rPr>
                <w:rFonts w:ascii="Arial" w:cs="Arial" w:eastAsia="Arial" w:hAnsi="Arial"/>
                <w:sz w:val="10"/>
                <w:szCs w:val="10"/>
                <w:b w:val="1"/>
                <w:bCs w:val="1"/>
                <w:color w:val="auto"/>
              </w:rPr>
              <w:t>For the Years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 Change</w:t>
            </w: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52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508"/>
              <w:spacing w:after="0"/>
              <w:rPr>
                <w:sz w:val="20"/>
                <w:szCs w:val="20"/>
                <w:color w:val="auto"/>
              </w:rPr>
            </w:pPr>
            <w:r>
              <w:rPr>
                <w:rFonts w:ascii="Arial" w:cs="Arial" w:eastAsia="Arial" w:hAnsi="Arial"/>
                <w:sz w:val="10"/>
                <w:szCs w:val="10"/>
                <w:b w:val="1"/>
                <w:bCs w:val="1"/>
                <w:color w:val="auto"/>
                <w:w w:val="92"/>
              </w:rPr>
              <w:t>Compared</w:t>
            </w: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24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Pr>
          <w:p>
            <w:pPr>
              <w:spacing w:after="0"/>
              <w:rPr>
                <w:sz w:val="8"/>
                <w:szCs w:val="8"/>
                <w:color w:val="auto"/>
              </w:rPr>
            </w:pPr>
          </w:p>
        </w:tc>
        <w:tc>
          <w:tcPr>
            <w:tcW w:w="300" w:type="dxa"/>
            <w:vAlign w:val="bottom"/>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8"/>
                <w:szCs w:val="8"/>
                <w:color w:val="auto"/>
              </w:rPr>
            </w:pPr>
          </w:p>
        </w:tc>
        <w:tc>
          <w:tcPr>
            <w:tcW w:w="1060" w:type="dxa"/>
            <w:vAlign w:val="bottom"/>
            <w:gridSpan w:val="2"/>
          </w:tcPr>
          <w:p>
            <w:pPr>
              <w:jc w:val="center"/>
              <w:ind w:right="508"/>
              <w:spacing w:after="0" w:line="98" w:lineRule="exact"/>
              <w:rPr>
                <w:sz w:val="20"/>
                <w:szCs w:val="20"/>
                <w:color w:val="auto"/>
              </w:rPr>
            </w:pPr>
            <w:r>
              <w:rPr>
                <w:rFonts w:ascii="Arial" w:cs="Arial" w:eastAsia="Arial" w:hAnsi="Arial"/>
                <w:sz w:val="10"/>
                <w:szCs w:val="10"/>
                <w:b w:val="1"/>
                <w:bCs w:val="1"/>
                <w:color w:val="auto"/>
                <w:w w:val="98"/>
              </w:rPr>
              <w:t>to 2008</w:t>
            </w:r>
          </w:p>
        </w:tc>
        <w:tc>
          <w:tcPr>
            <w:tcW w:w="6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0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4"/>
            <w:shd w:val="clear" w:color="auto" w:fill="CCEEFF"/>
          </w:tcPr>
          <w:p>
            <w:pPr>
              <w:jc w:val="right"/>
              <w:ind w:right="188"/>
              <w:spacing w:after="0"/>
              <w:rPr>
                <w:sz w:val="20"/>
                <w:szCs w:val="20"/>
                <w:color w:val="auto"/>
              </w:rPr>
            </w:pPr>
            <w:r>
              <w:rPr>
                <w:rFonts w:ascii="Arial" w:cs="Arial" w:eastAsia="Arial" w:hAnsi="Arial"/>
                <w:sz w:val="13"/>
                <w:szCs w:val="13"/>
                <w:color w:val="auto"/>
              </w:rPr>
              <w:t>382.1</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402.0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3"/>
                <w:szCs w:val="13"/>
                <w:color w:val="auto"/>
              </w:rPr>
            </w:pPr>
          </w:p>
        </w:tc>
        <w:tc>
          <w:tcPr>
            <w:tcW w:w="700" w:type="dxa"/>
            <w:vAlign w:val="bottom"/>
            <w:gridSpan w:val="4"/>
          </w:tcPr>
          <w:p>
            <w:pPr>
              <w:jc w:val="right"/>
              <w:ind w:right="188"/>
              <w:spacing w:after="0"/>
              <w:rPr>
                <w:sz w:val="20"/>
                <w:szCs w:val="20"/>
                <w:color w:val="auto"/>
              </w:rPr>
            </w:pPr>
            <w:r>
              <w:rPr>
                <w:rFonts w:ascii="Arial" w:cs="Arial" w:eastAsia="Arial" w:hAnsi="Arial"/>
                <w:sz w:val="13"/>
                <w:szCs w:val="13"/>
                <w:color w:val="auto"/>
              </w:rPr>
              <w:t>1,283.1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1,072.1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925.2</w:t>
            </w:r>
          </w:p>
        </w:tc>
        <w:tc>
          <w:tcPr>
            <w:tcW w:w="4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19.7%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188"/>
              <w:spacing w:after="0"/>
              <w:rPr>
                <w:sz w:val="20"/>
                <w:szCs w:val="20"/>
                <w:color w:val="auto"/>
              </w:rPr>
            </w:pPr>
            <w:r>
              <w:rPr>
                <w:rFonts w:ascii="Arial" w:cs="Arial" w:eastAsia="Arial" w:hAnsi="Arial"/>
                <w:sz w:val="13"/>
                <w:szCs w:val="13"/>
                <w:color w:val="auto"/>
              </w:rPr>
              <w:t>911.0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925.3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Collaboration profit sharing</w:t>
            </w:r>
          </w:p>
        </w:tc>
        <w:tc>
          <w:tcPr>
            <w:tcW w:w="140" w:type="dxa"/>
            <w:vAlign w:val="bottom"/>
          </w:tcPr>
          <w:p>
            <w:pPr>
              <w:spacing w:after="0"/>
              <w:rPr>
                <w:sz w:val="13"/>
                <w:szCs w:val="13"/>
                <w:color w:val="auto"/>
              </w:rPr>
            </w:pPr>
          </w:p>
        </w:tc>
        <w:tc>
          <w:tcPr>
            <w:tcW w:w="700" w:type="dxa"/>
            <w:vAlign w:val="bottom"/>
            <w:gridSpan w:val="4"/>
          </w:tcPr>
          <w:p>
            <w:pPr>
              <w:jc w:val="right"/>
              <w:ind w:right="188"/>
              <w:spacing w:after="0"/>
              <w:rPr>
                <w:sz w:val="20"/>
                <w:szCs w:val="20"/>
                <w:color w:val="auto"/>
              </w:rPr>
            </w:pPr>
            <w:r>
              <w:rPr>
                <w:rFonts w:ascii="Arial" w:cs="Arial" w:eastAsia="Arial" w:hAnsi="Arial"/>
                <w:sz w:val="13"/>
                <w:szCs w:val="13"/>
                <w:color w:val="auto"/>
              </w:rPr>
              <w:t>215.9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136.0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14.0</w:t>
            </w:r>
          </w:p>
        </w:tc>
        <w:tc>
          <w:tcPr>
            <w:tcW w:w="4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58.8%</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871.4%</w:t>
            </w:r>
          </w:p>
        </w:tc>
        <w:tc>
          <w:tcPr>
            <w:tcW w:w="0" w:type="dxa"/>
            <w:vAlign w:val="bottom"/>
          </w:tcPr>
          <w:p>
            <w:pPr>
              <w:spacing w:after="0"/>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acquired intangible assets</w:t>
            </w:r>
          </w:p>
        </w:tc>
        <w:tc>
          <w:tcPr>
            <w:tcW w:w="14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188"/>
              <w:spacing w:after="0"/>
              <w:rPr>
                <w:sz w:val="20"/>
                <w:szCs w:val="20"/>
                <w:color w:val="auto"/>
              </w:rPr>
            </w:pPr>
            <w:r>
              <w:rPr>
                <w:rFonts w:ascii="Arial" w:cs="Arial" w:eastAsia="Arial" w:hAnsi="Arial"/>
                <w:sz w:val="13"/>
                <w:szCs w:val="13"/>
                <w:color w:val="auto"/>
              </w:rPr>
              <w:t>289.8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332.7</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257.5</w:t>
            </w:r>
          </w:p>
        </w:tc>
        <w:tc>
          <w:tcPr>
            <w:tcW w:w="440" w:type="dxa"/>
            <w:vAlign w:val="bottom"/>
            <w:tcBorders>
              <w:left w:val="single" w:sz="8" w:color="CCEEFF"/>
              <w:right w:val="single" w:sz="8" w:color="CCEEFF"/>
            </w:tcBorders>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25.0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84.2</w:t>
            </w:r>
          </w:p>
        </w:tc>
        <w:tc>
          <w:tcPr>
            <w:tcW w:w="440" w:type="dxa"/>
            <w:vAlign w:val="bottom"/>
          </w:tcPr>
          <w:p>
            <w:pPr>
              <w:spacing w:after="0"/>
              <w:rPr>
                <w:sz w:val="13"/>
                <w:szCs w:val="13"/>
                <w:color w:val="auto"/>
              </w:rPr>
            </w:pPr>
          </w:p>
        </w:tc>
        <w:tc>
          <w:tcPr>
            <w:tcW w:w="1060" w:type="dxa"/>
            <w:vAlign w:val="bottom"/>
            <w:gridSpan w:val="2"/>
          </w:tcPr>
          <w:p>
            <w:pPr>
              <w:jc w:val="right"/>
              <w:ind w:right="308"/>
              <w:spacing w:after="0"/>
              <w:rPr>
                <w:sz w:val="20"/>
                <w:szCs w:val="20"/>
                <w:color w:val="auto"/>
              </w:rPr>
            </w:pPr>
            <w:r>
              <w:rPr>
                <w:rFonts w:ascii="Arial" w:cs="Arial" w:eastAsia="Arial" w:hAnsi="Arial"/>
                <w:sz w:val="13"/>
                <w:szCs w:val="13"/>
                <w:color w:val="auto"/>
              </w:rPr>
              <w:t>(100.0)%</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Facility impairments and (gain) loss on disposition, net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106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40"/>
              <w:spacing w:after="0"/>
              <w:rPr>
                <w:sz w:val="20"/>
                <w:szCs w:val="20"/>
                <w:color w:val="auto"/>
              </w:rPr>
            </w:pPr>
            <w:r>
              <w:rPr>
                <w:rFonts w:ascii="Arial" w:cs="Arial" w:eastAsia="Arial" w:hAnsi="Arial"/>
                <w:sz w:val="13"/>
                <w:szCs w:val="13"/>
                <w:color w:val="auto"/>
              </w:rPr>
              <w:t>Costs and expenses</w:t>
            </w: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4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3,081.9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2,883.9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2,391.8</w:t>
            </w:r>
          </w:p>
        </w:tc>
        <w:tc>
          <w:tcPr>
            <w:tcW w:w="440" w:type="dxa"/>
            <w:vAlign w:val="bottom"/>
          </w:tcPr>
          <w:p>
            <w:pPr>
              <w:spacing w:after="0"/>
              <w:rPr>
                <w:sz w:val="14"/>
                <w:szCs w:val="14"/>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6.9%</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333"/>
        </w:trPr>
        <w:tc>
          <w:tcPr>
            <w:tcW w:w="52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Cost of Sales, Excluding Amortization of Acquired Intangible Assets (Cost of Sales)</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240" w:type="dxa"/>
            <w:vAlign w:val="bottom"/>
            <w:gridSpan w:val="2"/>
          </w:tcPr>
          <w:p>
            <w:pPr>
              <w:ind w:left="400"/>
              <w:spacing w:after="0"/>
              <w:rPr>
                <w:sz w:val="20"/>
                <w:szCs w:val="20"/>
                <w:color w:val="auto"/>
              </w:rPr>
            </w:pPr>
            <w:r>
              <w:rPr>
                <w:rFonts w:ascii="Arial" w:cs="Arial" w:eastAsia="Arial" w:hAnsi="Arial"/>
                <w:sz w:val="13"/>
                <w:szCs w:val="13"/>
                <w:color w:val="auto"/>
              </w:rPr>
              <w:t>Components of cost of sales are summarized as follows: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vMerge w:val="restart"/>
          </w:tcPr>
          <w:p>
            <w:pPr>
              <w:jc w:val="center"/>
              <w:ind w:right="71"/>
              <w:spacing w:after="0"/>
              <w:rPr>
                <w:sz w:val="20"/>
                <w:szCs w:val="20"/>
                <w:color w:val="auto"/>
              </w:rPr>
            </w:pPr>
            <w:r>
              <w:rPr>
                <w:rFonts w:ascii="Arial" w:cs="Arial" w:eastAsia="Arial" w:hAnsi="Arial"/>
                <w:sz w:val="10"/>
                <w:szCs w:val="10"/>
                <w:b w:val="1"/>
                <w:bCs w:val="1"/>
                <w:color w:val="auto"/>
                <w:w w:val="94"/>
              </w:rPr>
              <w:t>For the Years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9"/>
              </w:rPr>
              <w:t>% Change</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52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2"/>
              </w:rPr>
              <w:t>Compared</w:t>
            </w:r>
          </w:p>
        </w:tc>
        <w:tc>
          <w:tcPr>
            <w:tcW w:w="6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2"/>
              </w:rPr>
              <w:t>Compared</w:t>
            </w:r>
          </w:p>
        </w:tc>
        <w:tc>
          <w:tcPr>
            <w:tcW w:w="0" w:type="dxa"/>
            <w:vAlign w:val="bottom"/>
          </w:tcPr>
          <w:p>
            <w:pPr>
              <w:spacing w:after="0"/>
              <w:rPr>
                <w:sz w:val="1"/>
                <w:szCs w:val="1"/>
                <w:color w:val="auto"/>
              </w:rPr>
            </w:pPr>
          </w:p>
        </w:tc>
      </w:tr>
      <w:tr>
        <w:trPr>
          <w:trHeight w:val="98"/>
        </w:trPr>
        <w:tc>
          <w:tcPr>
            <w:tcW w:w="524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center"/>
              <w:ind w:left="198"/>
              <w:spacing w:after="0" w:line="98" w:lineRule="exact"/>
              <w:rPr>
                <w:sz w:val="20"/>
                <w:szCs w:val="20"/>
                <w:color w:val="auto"/>
              </w:rPr>
            </w:pPr>
            <w:r>
              <w:rPr>
                <w:rFonts w:ascii="Arial" w:cs="Arial" w:eastAsia="Arial" w:hAnsi="Arial"/>
                <w:sz w:val="10"/>
                <w:szCs w:val="10"/>
                <w:b w:val="1"/>
                <w:bCs w:val="1"/>
                <w:color w:val="auto"/>
                <w:w w:val="89"/>
              </w:rPr>
              <w:t>2008</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8"/>
                <w:szCs w:val="8"/>
                <w:color w:val="auto"/>
              </w:rPr>
            </w:pPr>
          </w:p>
        </w:tc>
        <w:tc>
          <w:tcPr>
            <w:tcW w:w="1060" w:type="dxa"/>
            <w:vAlign w:val="bottom"/>
            <w:gridSpan w:val="2"/>
          </w:tcPr>
          <w:p>
            <w:pPr>
              <w:jc w:val="center"/>
              <w:ind w:right="428"/>
              <w:spacing w:after="0" w:line="98" w:lineRule="exact"/>
              <w:rPr>
                <w:sz w:val="20"/>
                <w:szCs w:val="20"/>
                <w:color w:val="auto"/>
              </w:rPr>
            </w:pPr>
            <w:r>
              <w:rPr>
                <w:rFonts w:ascii="Arial" w:cs="Arial" w:eastAsia="Arial" w:hAnsi="Arial"/>
                <w:sz w:val="10"/>
                <w:szCs w:val="10"/>
                <w:b w:val="1"/>
                <w:bCs w:val="1"/>
                <w:color w:val="auto"/>
                <w:w w:val="98"/>
              </w:rPr>
              <w:t>to 2008</w:t>
            </w:r>
          </w:p>
        </w:tc>
        <w:tc>
          <w:tcPr>
            <w:tcW w:w="68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0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40" w:type="dxa"/>
            <w:vAlign w:val="bottom"/>
            <w:shd w:val="clear" w:color="auto" w:fill="CCEEFF"/>
          </w:tcPr>
          <w:p>
            <w:pPr>
              <w:spacing w:after="0"/>
              <w:rPr>
                <w:sz w:val="13"/>
                <w:szCs w:val="13"/>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$ 378.1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$ 397.0</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$ 330.5</w:t>
            </w:r>
          </w:p>
        </w:tc>
        <w:tc>
          <w:tcPr>
            <w:tcW w:w="10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Cost of royalty revenues</w:t>
            </w:r>
          </w:p>
        </w:tc>
        <w:tc>
          <w:tcPr>
            <w:tcW w:w="1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060" w:type="dxa"/>
            <w:vAlign w:val="bottom"/>
            <w:gridSpan w:val="2"/>
          </w:tcPr>
          <w:p>
            <w:pPr>
              <w:jc w:val="right"/>
              <w:ind w:right="268"/>
              <w:spacing w:after="0"/>
              <w:rPr>
                <w:sz w:val="20"/>
                <w:szCs w:val="20"/>
                <w:color w:val="auto"/>
              </w:rPr>
            </w:pPr>
            <w:r>
              <w:rPr>
                <w:rFonts w:ascii="Arial" w:cs="Arial" w:eastAsia="Arial" w:hAnsi="Arial"/>
                <w:sz w:val="13"/>
                <w:szCs w:val="13"/>
                <w:color w:val="auto"/>
              </w:rPr>
              <w:t>(20.0)%</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Cost of sales</w:t>
            </w:r>
          </w:p>
        </w:tc>
        <w:tc>
          <w:tcPr>
            <w:tcW w:w="140" w:type="dxa"/>
            <w:vAlign w:val="bottom"/>
            <w:shd w:val="clear" w:color="auto" w:fill="CCEEFF"/>
          </w:tcPr>
          <w:p>
            <w:pPr>
              <w:spacing w:after="0"/>
              <w:rPr>
                <w:sz w:val="13"/>
                <w:szCs w:val="13"/>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$ 382.1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$ 402.0</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$ 335.2</w:t>
            </w:r>
          </w:p>
        </w:tc>
        <w:tc>
          <w:tcPr>
            <w:tcW w:w="10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Borders>
              <w:left w:val="single" w:sz="8" w:color="auto"/>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2009 compared to 2008, the decrease in cost of sales was primarily due to a decrease in write-downs from unmarketable inventory of $12.9 million, decreased production costs of approximately $10.9 million resulting from the implementation of a new high-titer production process which produces higher yields of TYSABRI and an $8.8 million decrease in royalty payments on sales of licensed product due mainly to the expiration of certain contracts and license agreements. These decreases were offset by a $17.0 million increase in costs associated with higher TYSABRI sales volume. In addition, during 2008 we also incurred a $4.3 million period expense related to the shutdown of our manufacturing facility in Research Triangle Park, North Carolina for the implementation of the high-titer production process upgrades.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2008 as compared to 2007, the overall increase in cost of sales was primarily due to higher sales volume offset by decreased write-downs from unmarketable inventory.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Write-downs from Unmarketable Inventory</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products are subject to strict quality control and monitoring which we perform throughout the manufacturing process. Periodically, certain batches or units of product may no longer meet quality specifications or may expire. The shelf life associated with our products is generally between 3 and 48 months, depending on the product. Obsolescence due to expiration has historically been insignificant.</w:t>
      </w:r>
    </w:p>
    <w:p>
      <w:pPr>
        <w:spacing w:after="0" w:line="6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Amounts written down related to unmarketable inventory are charged to cost of sales, and totaled $16.9 million, $29.8 million and $21.6 million for the years ended December 31, 2009, 2008 and 2007,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0"/>
                <w:szCs w:val="10"/>
                <w:b w:val="1"/>
                <w:bCs w:val="1"/>
                <w:color w:val="auto"/>
                <w:w w:val="99"/>
              </w:rPr>
              <w:t>% Change</w:t>
            </w: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center"/>
              <w:ind w:left="86"/>
              <w:spacing w:after="0" w:line="81" w:lineRule="exact"/>
              <w:rPr>
                <w:sz w:val="20"/>
                <w:szCs w:val="20"/>
                <w:color w:val="auto"/>
              </w:rPr>
            </w:pPr>
            <w:r>
              <w:rPr>
                <w:rFonts w:ascii="Arial" w:cs="Arial" w:eastAsia="Arial" w:hAnsi="Arial"/>
                <w:sz w:val="9"/>
                <w:szCs w:val="9"/>
                <w:b w:val="1"/>
                <w:bCs w:val="1"/>
                <w:color w:val="auto"/>
              </w:rPr>
              <w:t>2009</w:t>
            </w:r>
          </w:p>
        </w:tc>
        <w:tc>
          <w:tcPr>
            <w:tcW w:w="1200" w:type="dxa"/>
            <w:vAlign w:val="bottom"/>
            <w:gridSpan w:val="3"/>
          </w:tcPr>
          <w:p>
            <w:pPr>
              <w:jc w:val="center"/>
              <w:ind w:left="345"/>
              <w:spacing w:after="0" w:line="81" w:lineRule="exact"/>
              <w:rPr>
                <w:sz w:val="20"/>
                <w:szCs w:val="20"/>
                <w:color w:val="auto"/>
              </w:rPr>
            </w:pPr>
            <w:r>
              <w:rPr>
                <w:rFonts w:ascii="Arial" w:cs="Arial" w:eastAsia="Arial" w:hAnsi="Arial"/>
                <w:sz w:val="9"/>
                <w:szCs w:val="9"/>
                <w:b w:val="1"/>
                <w:bCs w:val="1"/>
                <w:color w:val="auto"/>
                <w:w w:val="99"/>
              </w:rPr>
              <w:t>2008</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208"/>
              <w:spacing w:after="0"/>
              <w:rPr>
                <w:sz w:val="20"/>
                <w:szCs w:val="20"/>
                <w:color w:val="auto"/>
              </w:rPr>
            </w:pPr>
            <w:r>
              <w:rPr>
                <w:rFonts w:ascii="Arial" w:cs="Arial" w:eastAsia="Arial" w:hAnsi="Arial"/>
                <w:sz w:val="10"/>
                <w:szCs w:val="10"/>
                <w:b w:val="1"/>
                <w:bCs w:val="1"/>
                <w:color w:val="auto"/>
                <w:w w:val="95"/>
              </w:rPr>
              <w:t>December 31,</w:t>
            </w: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center"/>
              <w:ind w:left="86"/>
              <w:spacing w:after="0"/>
              <w:rPr>
                <w:sz w:val="20"/>
                <w:szCs w:val="20"/>
                <w:color w:val="auto"/>
              </w:rPr>
            </w:pPr>
            <w:r>
              <w:rPr>
                <w:rFonts w:ascii="Arial" w:cs="Arial" w:eastAsia="Arial" w:hAnsi="Arial"/>
                <w:sz w:val="10"/>
                <w:szCs w:val="10"/>
                <w:b w:val="1"/>
                <w:bCs w:val="1"/>
                <w:color w:val="auto"/>
                <w:w w:val="92"/>
              </w:rPr>
              <w:t>Compared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468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80" w:type="dxa"/>
            <w:vAlign w:val="bottom"/>
          </w:tcPr>
          <w:p>
            <w:pPr>
              <w:spacing w:after="0"/>
              <w:rPr>
                <w:sz w:val="8"/>
                <w:szCs w:val="8"/>
                <w:color w:val="auto"/>
              </w:rPr>
            </w:pPr>
          </w:p>
        </w:tc>
        <w:tc>
          <w:tcPr>
            <w:tcW w:w="900" w:type="dxa"/>
            <w:vAlign w:val="bottom"/>
            <w:tcBorders>
              <w:bottom w:val="single" w:sz="8" w:color="auto"/>
            </w:tcBorders>
          </w:tcPr>
          <w:p>
            <w:pPr>
              <w:jc w:val="right"/>
              <w:ind w:right="281"/>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64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8"/>
                <w:szCs w:val="8"/>
                <w:color w:val="auto"/>
              </w:rPr>
            </w:pPr>
          </w:p>
        </w:tc>
        <w:tc>
          <w:tcPr>
            <w:tcW w:w="680" w:type="dxa"/>
            <w:vAlign w:val="bottom"/>
            <w:tcBorders>
              <w:bottom w:val="single" w:sz="8" w:color="auto"/>
            </w:tcBorders>
          </w:tcPr>
          <w:p>
            <w:pPr>
              <w:jc w:val="center"/>
              <w:ind w:left="86"/>
              <w:spacing w:after="0" w:line="98" w:lineRule="exact"/>
              <w:rPr>
                <w:sz w:val="20"/>
                <w:szCs w:val="20"/>
                <w:color w:val="auto"/>
              </w:rPr>
            </w:pPr>
            <w:r>
              <w:rPr>
                <w:rFonts w:ascii="Arial" w:cs="Arial" w:eastAsia="Arial" w:hAnsi="Arial"/>
                <w:sz w:val="10"/>
                <w:szCs w:val="10"/>
                <w:b w:val="1"/>
                <w:bCs w:val="1"/>
                <w:color w:val="auto"/>
                <w:w w:val="98"/>
              </w:rPr>
              <w:t>to 2008</w:t>
            </w: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900" w:type="dxa"/>
            <w:vAlign w:val="bottom"/>
          </w:tcPr>
          <w:p>
            <w:pPr>
              <w:jc w:val="right"/>
              <w:ind w:right="181"/>
              <w:spacing w:after="0"/>
              <w:rPr>
                <w:sz w:val="20"/>
                <w:szCs w:val="20"/>
                <w:color w:val="auto"/>
              </w:rPr>
            </w:pPr>
            <w:r>
              <w:rPr>
                <w:rFonts w:ascii="Arial" w:cs="Arial" w:eastAsia="Arial" w:hAnsi="Arial"/>
                <w:sz w:val="13"/>
                <w:szCs w:val="13"/>
                <w:color w:val="auto"/>
              </w:rPr>
              <w:t>$1,283.1</w:t>
            </w:r>
          </w:p>
        </w:tc>
        <w:tc>
          <w:tcPr>
            <w:tcW w:w="1180" w:type="dxa"/>
            <w:vAlign w:val="bottom"/>
            <w:gridSpan w:val="2"/>
          </w:tcPr>
          <w:p>
            <w:pPr>
              <w:jc w:val="right"/>
              <w:ind w:right="208"/>
              <w:spacing w:after="0"/>
              <w:rPr>
                <w:sz w:val="20"/>
                <w:szCs w:val="20"/>
                <w:color w:val="auto"/>
              </w:rPr>
            </w:pPr>
            <w:r>
              <w:rPr>
                <w:rFonts w:ascii="Arial" w:cs="Arial" w:eastAsia="Arial" w:hAnsi="Arial"/>
                <w:sz w:val="13"/>
                <w:szCs w:val="13"/>
                <w:color w:val="auto"/>
              </w:rPr>
              <w:t>$1,072.1</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$925.2</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w:t>
            </w:r>
          </w:p>
        </w:tc>
        <w:tc>
          <w:tcPr>
            <w:tcW w:w="1200" w:type="dxa"/>
            <w:vAlign w:val="bottom"/>
            <w:gridSpan w:val="3"/>
          </w:tcPr>
          <w:p>
            <w:pPr>
              <w:jc w:val="right"/>
              <w:ind w:right="128"/>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devote significant resources to research and development programs focusing our efforts on finding novel therapeutics in areas of high unmet medical need within our core and emergent focus areas of neurology, oncology, immunology, cardiopulmonary and hemophilia. Over the past few years, we have incurred significant expenditures related to the development of new product candidates and exploring the utility of our existing products in treating disorders in addition to those currently approved in their labels. Costs associated with later stage clinical trials are, in most cases, more significant than those incurred in earlier stages of our pipeline.</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including compensation and benefits, facilities expenses, overhead expenses, clinical trial and related clinical manufacturing expenses, fees paid to clinical research organizations (CROs) and other outside expenses. Research and development expenses are expensed as incurred. The timing of upfront fees and milestone payments in the future may cause variability in future research and development expense.</w:t>
      </w:r>
    </w:p>
    <w:p>
      <w:pPr>
        <w:spacing w:after="0" w:line="7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For 2009 compared to 2008, research and development expenses increased by $211.0 million, driven primarily by the $110.0 million upfront payment made to Acorda, as well as a net increase of $100.2 million related to the ramp up of clinical trial activity for certain development stage product candidates including lixivaptan, BG-12, humanized anti-CD20 and ADENTRI. In addition, in 2009, we initiated registrational trials in our PEGylated interferon program. The aforementioned increases were offset by a reduction of spending across several programs including baminercept in RA, lumiliximab and volociximab.</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For 2008 compared to 2007, research and development expenses increased by $146.9 million, driven by an increase of $56.4 million related to the continued advancement of our pipeline into Phase 3 clinical trials. In 2008, we initiated a registrational trial in our lixivaptan program, a Phase 2 trial in our ADENTRI program, and continued to develop our BG-12, anti-CD80 MAb (galiximab) and anti-CD23 MAb (lumiliximab) programs. In 2008, we had 8 programs in Phase 3 clinical trials as compared to 5 in 2007. We also increased spending in our anti-CD20 programs in both Phase 2 and Phase 3 clinical trials by $46.2 million primarily due to a $31.5 million opt-in payment to participate in the Roche-led GA101 program. The balance of the increase of $44.3 million was due to other research and development investments, primarily in our pre clinical and early stage pipeline programs including HSP90, BIIB014, BART and LINGO programs.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total research and development expense in 2010 to be between 24% and 27% of total revenue.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Milestone and Upfront 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Milestone and upfront payments made to our collaboration partners and included within research and development expense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4"/>
              </w:rPr>
              <w:t>For the Years Ended</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9"/>
              </w:rPr>
              <w:t>% Change</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center"/>
              <w:ind w:right="6"/>
              <w:spacing w:after="0" w:line="81" w:lineRule="exact"/>
              <w:rPr>
                <w:sz w:val="20"/>
                <w:szCs w:val="20"/>
                <w:color w:val="auto"/>
              </w:rPr>
            </w:pPr>
            <w:r>
              <w:rPr>
                <w:rFonts w:ascii="Arial" w:cs="Arial" w:eastAsia="Arial" w:hAnsi="Arial"/>
                <w:sz w:val="9"/>
                <w:szCs w:val="9"/>
                <w:b w:val="1"/>
                <w:bCs w:val="1"/>
                <w:color w:val="auto"/>
                <w:w w:val="99"/>
              </w:rPr>
              <w:t>2008</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3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6"/>
              </w:rPr>
              <w:t>Compared</w:t>
            </w: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496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2008</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2008</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6"/>
              <w:spacing w:after="0" w:line="98" w:lineRule="exact"/>
              <w:rPr>
                <w:sz w:val="20"/>
                <w:szCs w:val="20"/>
                <w:color w:val="auto"/>
              </w:rPr>
            </w:pPr>
            <w:r>
              <w:rPr>
                <w:rFonts w:ascii="Arial" w:cs="Arial" w:eastAsia="Arial" w:hAnsi="Arial"/>
                <w:sz w:val="10"/>
                <w:szCs w:val="10"/>
                <w:b w:val="1"/>
                <w:bCs w:val="1"/>
                <w:color w:val="auto"/>
                <w:w w:val="92"/>
              </w:rPr>
              <w:t>to 2007</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rPr>
                <w:sz w:val="20"/>
                <w:szCs w:val="20"/>
                <w:color w:val="auto"/>
              </w:rPr>
            </w:pPr>
            <w:r>
              <w:rPr>
                <w:rFonts w:ascii="Arial" w:cs="Arial" w:eastAsia="Arial" w:hAnsi="Arial"/>
                <w:sz w:val="13"/>
                <w:szCs w:val="13"/>
                <w:color w:val="auto"/>
                <w:w w:val="98"/>
              </w:rPr>
              <w:t>Total milestone and upfront payments reflected within research and development expense</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w w:val="87"/>
              </w:rPr>
              <w:t>$ 151.5</w:t>
            </w:r>
          </w:p>
        </w:tc>
        <w:tc>
          <w:tcPr>
            <w:tcW w:w="1360" w:type="dxa"/>
            <w:vAlign w:val="bottom"/>
            <w:gridSpan w:val="3"/>
          </w:tcPr>
          <w:p>
            <w:pPr>
              <w:jc w:val="right"/>
              <w:ind w:right="580"/>
              <w:spacing w:after="0"/>
              <w:rPr>
                <w:sz w:val="20"/>
                <w:szCs w:val="20"/>
                <w:color w:val="auto"/>
              </w:rPr>
            </w:pPr>
            <w:r>
              <w:rPr>
                <w:rFonts w:ascii="Arial" w:cs="Arial" w:eastAsia="Arial" w:hAnsi="Arial"/>
                <w:sz w:val="13"/>
                <w:szCs w:val="13"/>
                <w:color w:val="auto"/>
              </w:rPr>
              <w:t>$ 47.6</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w w:val="88"/>
              </w:rPr>
              <w:t>$ 52.0</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218.3%</w:t>
            </w:r>
          </w:p>
        </w:tc>
        <w:tc>
          <w:tcPr>
            <w:tcW w:w="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2009 as compared to 2008, the increase in milestone and upfront payments was primarily the result of the $110.0 million upfront payment made to Acorda.</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6"/>
              </w:rPr>
              <w:t>For the Years Ended</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3"/>
          </w:tcPr>
          <w:p>
            <w:pPr>
              <w:ind w:left="580"/>
              <w:spacing w:after="0"/>
              <w:rPr>
                <w:sz w:val="20"/>
                <w:szCs w:val="20"/>
                <w:color w:val="auto"/>
              </w:rPr>
            </w:pPr>
            <w:r>
              <w:rPr>
                <w:rFonts w:ascii="Arial" w:cs="Arial" w:eastAsia="Arial" w:hAnsi="Arial"/>
                <w:sz w:val="10"/>
                <w:szCs w:val="10"/>
                <w:b w:val="1"/>
                <w:bCs w:val="1"/>
                <w:color w:val="auto"/>
                <w:w w:val="99"/>
              </w:rPr>
              <w:t>% Change</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5"/>
              </w:rPr>
              <w:t>December 31,</w:t>
            </w: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6"/>
              </w:rPr>
              <w:t>Compared</w:t>
            </w: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2008</w:t>
            </w: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20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87"/>
              </w:rPr>
              <w:t>$ 911.0</w:t>
            </w:r>
          </w:p>
        </w:tc>
        <w:tc>
          <w:tcPr>
            <w:tcW w:w="1260" w:type="dxa"/>
            <w:vAlign w:val="bottom"/>
            <w:gridSpan w:val="3"/>
          </w:tcPr>
          <w:p>
            <w:pPr>
              <w:jc w:val="right"/>
              <w:ind w:right="500"/>
              <w:spacing w:after="0"/>
              <w:rPr>
                <w:sz w:val="20"/>
                <w:szCs w:val="20"/>
                <w:color w:val="auto"/>
              </w:rPr>
            </w:pPr>
            <w:r>
              <w:rPr>
                <w:rFonts w:ascii="Arial" w:cs="Arial" w:eastAsia="Arial" w:hAnsi="Arial"/>
                <w:sz w:val="13"/>
                <w:szCs w:val="13"/>
                <w:color w:val="auto"/>
              </w:rPr>
              <w:t>$ 925.3</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87"/>
              </w:rPr>
              <w:t>$ 776.1</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Selling, general and administrative expenses are primarily comprised of compensation and benefits associated with sales and marketing, finance, legal and other administrative personnel, outside marketing and legal expenses and other general and administrative costs.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2009 compared to 2008, the decrease in selling, general and administrative expenses was primarily driven by the positive impact of foreign currency exchange rate changes and a reduction of expenses reimbursed to Elan for their marketing of TYSABRI for Crohn’s disease in the U.S. These decreases were offset by costs incurred associated with our geographic expansion into new markets.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2008 compared to 2007, selling, general and administrative expenses increased primarily due to a $90.0 million increase in sales and marketing, of which $55.3 million related to international sales and marketing activities primarily for AVONEX and TYSABRI and $43.6 million related to an increase in compensation and benefits for general and administrative personnel as well as increases in fees and services.</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expect that selling, general and administrative expenses will increase in 2010 as compared to the total amount incurred in 2009 primarily due to increased sales and marketing activities in support of AVONEX and TYSABRI. In addition, under the transition agreement entered into with James C. Mullen, we will incur approximately $21 million of expense in the first half of 2010 all of which relates to the modification of his existing equity based compensation awards. The substantial portion of this charge is due to the incremental value attributable to the extension of Mr. Mullen’s stock option awards.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Profit Sharing</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0"/>
                <w:szCs w:val="10"/>
                <w:b w:val="1"/>
                <w:bCs w:val="1"/>
                <w:color w:val="auto"/>
                <w:w w:val="94"/>
              </w:rPr>
              <w:t>For the Years Ended</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9"/>
              </w:rPr>
              <w:t>% Change</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6"/>
              <w:spacing w:after="0" w:line="81" w:lineRule="exact"/>
              <w:rPr>
                <w:sz w:val="20"/>
                <w:szCs w:val="20"/>
                <w:color w:val="auto"/>
              </w:rPr>
            </w:pPr>
            <w:r>
              <w:rPr>
                <w:rFonts w:ascii="Arial" w:cs="Arial" w:eastAsia="Arial" w:hAnsi="Arial"/>
                <w:sz w:val="9"/>
                <w:szCs w:val="9"/>
                <w:b w:val="1"/>
                <w:bCs w:val="1"/>
                <w:color w:val="auto"/>
                <w:w w:val="9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0"/>
                <w:szCs w:val="10"/>
                <w:b w:val="1"/>
                <w:bCs w:val="1"/>
                <w:color w:val="auto"/>
                <w:w w:val="92"/>
              </w:rPr>
              <w:t>December 31,</w:t>
            </w: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6"/>
              </w:rPr>
              <w:t>Compared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1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0" w:type="dxa"/>
            <w:vAlign w:val="bottom"/>
          </w:tcPr>
          <w:p>
            <w:pPr>
              <w:spacing w:after="0"/>
              <w:rPr>
                <w:sz w:val="8"/>
                <w:szCs w:val="8"/>
                <w:color w:val="auto"/>
              </w:rPr>
            </w:pPr>
          </w:p>
        </w:tc>
        <w:tc>
          <w:tcPr>
            <w:tcW w:w="520" w:type="dxa"/>
            <w:vAlign w:val="bottom"/>
            <w:tcBorders>
              <w:bottom w:val="single" w:sz="8" w:color="auto"/>
            </w:tcBorders>
          </w:tcPr>
          <w:p>
            <w:pPr>
              <w:jc w:val="right"/>
              <w:ind w:right="101"/>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2008</w:t>
            </w:r>
          </w:p>
        </w:tc>
        <w:tc>
          <w:tcPr>
            <w:tcW w:w="4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6"/>
              <w:spacing w:after="0" w:line="98" w:lineRule="exact"/>
              <w:rPr>
                <w:sz w:val="20"/>
                <w:szCs w:val="20"/>
                <w:color w:val="auto"/>
              </w:rPr>
            </w:pPr>
            <w:r>
              <w:rPr>
                <w:rFonts w:ascii="Arial" w:cs="Arial" w:eastAsia="Arial" w:hAnsi="Arial"/>
                <w:sz w:val="10"/>
                <w:szCs w:val="10"/>
                <w:b w:val="1"/>
                <w:bCs w:val="1"/>
                <w:color w:val="auto"/>
                <w:w w:val="92"/>
              </w:rPr>
              <w:t>to 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300" w:type="dxa"/>
            <w:vAlign w:val="bottom"/>
            <w:gridSpan w:val="2"/>
          </w:tcPr>
          <w:p>
            <w:pPr>
              <w:spacing w:after="0"/>
              <w:rPr>
                <w:sz w:val="20"/>
                <w:szCs w:val="20"/>
                <w:color w:val="auto"/>
              </w:rPr>
            </w:pPr>
            <w:r>
              <w:rPr>
                <w:rFonts w:ascii="Arial" w:cs="Arial" w:eastAsia="Arial" w:hAnsi="Arial"/>
                <w:sz w:val="13"/>
                <w:szCs w:val="13"/>
                <w:color w:val="auto"/>
              </w:rPr>
              <w:t>Collaboration profit sharing</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  215.9</w:t>
            </w:r>
          </w:p>
        </w:tc>
        <w:tc>
          <w:tcPr>
            <w:tcW w:w="1380" w:type="dxa"/>
            <w:vAlign w:val="bottom"/>
            <w:gridSpan w:val="3"/>
          </w:tcPr>
          <w:p>
            <w:pPr>
              <w:jc w:val="right"/>
              <w:ind w:right="500"/>
              <w:spacing w:after="0"/>
              <w:rPr>
                <w:sz w:val="20"/>
                <w:szCs w:val="20"/>
                <w:color w:val="auto"/>
              </w:rPr>
            </w:pPr>
            <w:r>
              <w:rPr>
                <w:rFonts w:ascii="Arial" w:cs="Arial" w:eastAsia="Arial" w:hAnsi="Arial"/>
                <w:sz w:val="13"/>
                <w:szCs w:val="13"/>
                <w:color w:val="auto"/>
              </w:rPr>
              <w:t>$  136.0</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w w:val="90"/>
              </w:rPr>
              <w:t>$  14.1</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58.7%</w:t>
            </w:r>
          </w:p>
        </w:tc>
        <w:tc>
          <w:tcPr>
            <w:tcW w:w="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866.3%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Payments are made to Elan for their share of the rest of world net operating profits to effect an equal sharing of collaboration operating profit. These payments include the reimbursement of our portion of third-party royalties that Elan pays on behalf of the collaboration, relating to sales in the rest of world. These amounts are reflected in the collaboration profit sharing line in our consolidated statements of income. Our collaboration profit sharing expense increases as rest of world sales of TYSABRI increase and is impacted by fluctuations in currency exchange rates.</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For 2009 as compared to 2008, as well as for 2008 as compared to 2007, the increases were due to the continued increase in TYSABRI rest of world sales resulting in a higher rest of world net operating profits to be shared with Elan and causing growth in the third-party royalties Elan paid on behalf of the collaboration.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For the years ended December 31, 2009, 2008 and 2007, our collaboration profit sharing expense included $40.0 million, $28.4 million and $9.1 million, respectively, related to the reimbursement of Elan’s royalty payments.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Amortization of Acquired Intangible Assets</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19"/>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vMerge w:val="restart"/>
          </w:tcPr>
          <w:p>
            <w:pPr>
              <w:jc w:val="center"/>
              <w:ind w:right="140"/>
              <w:spacing w:after="0"/>
              <w:rPr>
                <w:sz w:val="20"/>
                <w:szCs w:val="20"/>
                <w:color w:val="auto"/>
              </w:rPr>
            </w:pPr>
            <w:r>
              <w:rPr>
                <w:rFonts w:ascii="Arial" w:cs="Arial" w:eastAsia="Arial" w:hAnsi="Arial"/>
                <w:sz w:val="10"/>
                <w:szCs w:val="10"/>
                <w:b w:val="1"/>
                <w:bCs w:val="1"/>
                <w:color w:val="auto"/>
                <w:w w:val="94"/>
              </w:rPr>
              <w:t>For the Years Ended</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bottom w:val="single" w:sz="8" w:color="auto"/>
            </w:tcBorders>
            <w:gridSpan w:val="3"/>
          </w:tcPr>
          <w:p>
            <w:pPr>
              <w:ind w:left="680"/>
              <w:spacing w:after="0"/>
              <w:rPr>
                <w:sz w:val="20"/>
                <w:szCs w:val="20"/>
                <w:color w:val="auto"/>
              </w:rPr>
            </w:pPr>
            <w:r>
              <w:rPr>
                <w:rFonts w:ascii="Arial" w:cs="Arial" w:eastAsia="Arial" w:hAnsi="Arial"/>
                <w:sz w:val="10"/>
                <w:szCs w:val="10"/>
                <w:b w:val="1"/>
                <w:bCs w:val="1"/>
                <w:color w:val="auto"/>
              </w:rPr>
              <w:t>% Change</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6"/>
              <w:spacing w:after="0" w:line="81" w:lineRule="exact"/>
              <w:rPr>
                <w:sz w:val="20"/>
                <w:szCs w:val="20"/>
                <w:color w:val="auto"/>
              </w:rPr>
            </w:pPr>
            <w:r>
              <w:rPr>
                <w:rFonts w:ascii="Arial" w:cs="Arial" w:eastAsia="Arial" w:hAnsi="Arial"/>
                <w:sz w:val="9"/>
                <w:szCs w:val="9"/>
                <w:b w:val="1"/>
                <w:bCs w:val="1"/>
                <w:color w:val="auto"/>
                <w:w w:val="99"/>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92"/>
              </w:rPr>
              <w:t>December 31,</w:t>
            </w:r>
          </w:p>
        </w:tc>
        <w:tc>
          <w:tcPr>
            <w:tcW w:w="4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6"/>
              </w:rPr>
              <w:t>Compared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80" w:type="dxa"/>
            <w:vAlign w:val="bottom"/>
          </w:tcPr>
          <w:p>
            <w:pPr>
              <w:spacing w:after="0"/>
              <w:rPr>
                <w:sz w:val="8"/>
                <w:szCs w:val="8"/>
                <w:color w:val="auto"/>
              </w:rPr>
            </w:pPr>
          </w:p>
        </w:tc>
        <w:tc>
          <w:tcPr>
            <w:tcW w:w="5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Pr>
          <w:p>
            <w:pPr>
              <w:spacing w:after="0"/>
              <w:rPr>
                <w:sz w:val="8"/>
                <w:szCs w:val="8"/>
                <w:color w:val="auto"/>
              </w:rPr>
            </w:pPr>
          </w:p>
        </w:tc>
        <w:tc>
          <w:tcPr>
            <w:tcW w:w="48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2008</w:t>
            </w: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6"/>
              <w:spacing w:after="0" w:line="98" w:lineRule="exact"/>
              <w:rPr>
                <w:sz w:val="20"/>
                <w:szCs w:val="20"/>
                <w:color w:val="auto"/>
              </w:rPr>
            </w:pPr>
            <w:r>
              <w:rPr>
                <w:rFonts w:ascii="Arial" w:cs="Arial" w:eastAsia="Arial" w:hAnsi="Arial"/>
                <w:sz w:val="10"/>
                <w:szCs w:val="10"/>
                <w:b w:val="1"/>
                <w:bCs w:val="1"/>
                <w:color w:val="auto"/>
                <w:w w:val="92"/>
              </w:rPr>
              <w:t>to 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180" w:type="dxa"/>
            <w:vAlign w:val="bottom"/>
            <w:gridSpan w:val="2"/>
          </w:tcPr>
          <w:p>
            <w:pPr>
              <w:spacing w:after="0"/>
              <w:rPr>
                <w:sz w:val="20"/>
                <w:szCs w:val="20"/>
                <w:color w:val="auto"/>
              </w:rPr>
            </w:pPr>
            <w:r>
              <w:rPr>
                <w:rFonts w:ascii="Arial" w:cs="Arial" w:eastAsia="Arial" w:hAnsi="Arial"/>
                <w:sz w:val="13"/>
                <w:szCs w:val="13"/>
                <w:color w:val="auto"/>
              </w:rPr>
              <w:t>Amortization of acquired intangible assets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  289.8</w:t>
            </w:r>
          </w:p>
        </w:tc>
        <w:tc>
          <w:tcPr>
            <w:tcW w:w="1340" w:type="dxa"/>
            <w:vAlign w:val="bottom"/>
            <w:gridSpan w:val="3"/>
          </w:tcPr>
          <w:p>
            <w:pPr>
              <w:jc w:val="right"/>
              <w:ind w:right="500"/>
              <w:spacing w:after="0"/>
              <w:rPr>
                <w:sz w:val="20"/>
                <w:szCs w:val="20"/>
                <w:color w:val="auto"/>
              </w:rPr>
            </w:pPr>
            <w:r>
              <w:rPr>
                <w:rFonts w:ascii="Arial" w:cs="Arial" w:eastAsia="Arial" w:hAnsi="Arial"/>
                <w:sz w:val="13"/>
                <w:szCs w:val="13"/>
                <w:color w:val="auto"/>
              </w:rPr>
              <w:t>$  332.7</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  257.5</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(12.9)%</w:t>
            </w:r>
          </w:p>
        </w:tc>
        <w:tc>
          <w:tcPr>
            <w:tcW w:w="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most significant intangible asset is the core technology related to our AVONEX product. Our amortization policy reflects our belief that the economic benefit of our core technology is consumed as revenue is generated from our AVONEX product. We refer to this amortization methodology as the economic consumption model, which involves calculating a ratio of actual current period sales to total anticipated sales for the life of the product and applying this ratio to the carrying amount of the intangible asset. An analysis of the anticipated lifetime revenue of AVONEX is performed at least annually during our long range planning cycle, and this analysis serves as the basis for the calculation of our economic consumption amortization model. Although we believe this process has allowed us to reliably determine the best estimate of the pattern in which we will consume the economic benefits of our core technology intangible asset, the model could result in deferring amortization charges to future periods in certain instances, due to continued sales of the product at a nominal level after patent expiration or otherwise. In order to ensure that amortization charges are not unreasonably deferred to future periods, we compare the amount of amortization determined under the economic consumption model against the minimum amount of amortization recalculated each year under the straight-line method. Amortization is then recorded based upon the higher of the amount of amortization determined under the economic consumption model or the minimum amortization amount determined under the straight-line method.</w:t>
      </w:r>
    </w:p>
    <w:p>
      <w:pPr>
        <w:spacing w:after="0" w:line="6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completed our most recent long range planning cycle in the third quarter of 2009. This analysis is based upon certain assumptions that we evaluate on a periodic basis, such as the anticipated product sales of AVONEX and expected impact of competitor products and our own pipeline product candidates, as well as the issuance of new patents or the extension of existing patents. Based on this analysis, we have continued to amortize this asset on the economic consumption model for the third and fourth quarters of 2009, and expect to apply the same model for the first two quarters in 2010. The results of our analysis were most significantly impacted by the issuance in September 2009 of a U.S. patent covering the treatment of MS with AVONEX, which resulted in an increase in the total expected lifetime revenue of AVONEX and an extension of the assumed remaining life of our core intangible asset.</w:t>
      </w:r>
    </w:p>
    <w:p>
      <w:pPr>
        <w:spacing w:after="0" w:line="5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a result of these changes in the total expected lifetime revenues of AVONEX, amortization recorded for the third and fourth quarters of 2009 decreased significantly over their respective prior year comparative periods. Based upon this most recent analysis, amortization of intangible assets, included within our consolidated balance sheet as of December 31, 2009, is expected to be in the range of approximately $160.0 million to $220.0 million for each of the next five years.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2008 compared to 2007, the increase in amortization expense was primarily due to the changes in the estimate of the future total expected lifetime revenues of AVONEX that occurred as part of the annual reassessment of amortization expense in the third quarters of 2008 and 2007. The change in the estimate of the future revenue of AVONEX was attributable to the expected impact of competitor products, including the commercialization of our own pipeline product candidates.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Acquired In-Process Research and Development (IPR&amp;D)</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19"/>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4"/>
              </w:rPr>
              <w:t>For the Years Ended</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bottom w:val="single" w:sz="8" w:color="auto"/>
            </w:tcBorders>
            <w:gridSpan w:val="3"/>
          </w:tcPr>
          <w:p>
            <w:pPr>
              <w:ind w:left="680"/>
              <w:spacing w:after="0"/>
              <w:rPr>
                <w:sz w:val="20"/>
                <w:szCs w:val="20"/>
                <w:color w:val="auto"/>
              </w:rPr>
            </w:pPr>
            <w:r>
              <w:rPr>
                <w:rFonts w:ascii="Arial" w:cs="Arial" w:eastAsia="Arial" w:hAnsi="Arial"/>
                <w:sz w:val="10"/>
                <w:szCs w:val="10"/>
                <w:b w:val="1"/>
                <w:bCs w:val="1"/>
                <w:color w:val="auto"/>
              </w:rPr>
              <w:t>% Change</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2009</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6"/>
              <w:spacing w:after="0" w:line="81" w:lineRule="exact"/>
              <w:rPr>
                <w:sz w:val="20"/>
                <w:szCs w:val="20"/>
                <w:color w:val="auto"/>
              </w:rPr>
            </w:pPr>
            <w:r>
              <w:rPr>
                <w:rFonts w:ascii="Arial" w:cs="Arial" w:eastAsia="Arial" w:hAnsi="Arial"/>
                <w:sz w:val="9"/>
                <w:szCs w:val="9"/>
                <w:b w:val="1"/>
                <w:bCs w:val="1"/>
                <w:color w:val="auto"/>
                <w:w w:val="99"/>
              </w:rPr>
              <w:t>2008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5"/>
              </w:rPr>
              <w:t>December 31,</w:t>
            </w: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6"/>
              </w:rPr>
              <w:t>Compared</w:t>
            </w: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0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0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2008</w:t>
            </w:r>
          </w:p>
        </w:tc>
        <w:tc>
          <w:tcPr>
            <w:tcW w:w="70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2008</w:t>
            </w: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6"/>
              <w:spacing w:after="0" w:line="98" w:lineRule="exact"/>
              <w:rPr>
                <w:sz w:val="20"/>
                <w:szCs w:val="20"/>
                <w:color w:val="auto"/>
              </w:rPr>
            </w:pPr>
            <w:r>
              <w:rPr>
                <w:rFonts w:ascii="Arial" w:cs="Arial" w:eastAsia="Arial" w:hAnsi="Arial"/>
                <w:sz w:val="10"/>
                <w:szCs w:val="10"/>
                <w:b w:val="1"/>
                <w:bCs w:val="1"/>
                <w:color w:val="auto"/>
                <w:w w:val="92"/>
              </w:rPr>
              <w:t>to 2007</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20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500" w:type="dxa"/>
            <w:vAlign w:val="bottom"/>
            <w:gridSpan w:val="2"/>
          </w:tcPr>
          <w:p>
            <w:pPr>
              <w:jc w:val="center"/>
              <w:ind w:right="240"/>
              <w:spacing w:after="0"/>
              <w:rPr>
                <w:sz w:val="20"/>
                <w:szCs w:val="20"/>
                <w:color w:val="auto"/>
              </w:rPr>
            </w:pPr>
            <w:r>
              <w:rPr>
                <w:rFonts w:ascii="Arial" w:cs="Arial" w:eastAsia="Arial" w:hAnsi="Arial"/>
                <w:sz w:val="13"/>
                <w:szCs w:val="13"/>
                <w:color w:val="auto"/>
              </w:rPr>
              <w:t>$ —</w:t>
            </w:r>
          </w:p>
        </w:tc>
        <w:tc>
          <w:tcPr>
            <w:tcW w:w="1520" w:type="dxa"/>
            <w:vAlign w:val="bottom"/>
            <w:gridSpan w:val="3"/>
          </w:tcPr>
          <w:p>
            <w:pPr>
              <w:jc w:val="right"/>
              <w:ind w:right="700"/>
              <w:spacing w:after="0"/>
              <w:rPr>
                <w:sz w:val="20"/>
                <w:szCs w:val="20"/>
                <w:color w:val="auto"/>
              </w:rPr>
            </w:pPr>
            <w:r>
              <w:rPr>
                <w:rFonts w:ascii="Arial" w:cs="Arial" w:eastAsia="Arial" w:hAnsi="Arial"/>
                <w:sz w:val="13"/>
                <w:szCs w:val="13"/>
                <w:color w:val="auto"/>
              </w:rPr>
              <w:t>$  25.0</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w w:val="90"/>
              </w:rPr>
              <w:t>$  84.2</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Effective January 1, 2009, we adopted a new accounting standard for business combinations, which changes the accounting treatment of acquired IPR&amp;D. For acquisitions occurring prior to January 1, 2009, we measured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spacing w:after="0" w:line="264" w:lineRule="auto"/>
        <w:rPr>
          <w:sz w:val="20"/>
          <w:szCs w:val="20"/>
          <w:color w:val="auto"/>
        </w:rPr>
      </w:pPr>
      <w:r>
        <w:rPr>
          <w:rFonts w:ascii="Arial" w:cs="Arial" w:eastAsia="Arial" w:hAnsi="Arial"/>
          <w:sz w:val="13"/>
          <w:szCs w:val="13"/>
          <w:color w:val="auto"/>
        </w:rPr>
        <w:t>acquired IPR&amp;D at fair value and expensed it on the acquisition date, or capitalized it as intangible assets if certain criteria were met. However, effective January 1, 2009, acquired IPR&amp;D will be measured at fair value and capitalized as intangible assets and amortized from the date of completion over its estimated useful life. In addition, the acquired IPR&amp;D will be tested for impairment until completion of the acquired programs.</w:t>
      </w:r>
    </w:p>
    <w:p>
      <w:pPr>
        <w:spacing w:after="0" w:line="67"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In 2008, we recorded an IPR&amp;D charge of $25.0 million related to a HSP90-related milestone payment made to the former shareholders of Conforma Therapeutics, Inc. (Conforma) pursuant to the terms of our acquisition of Conforma in 2006.</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year ended December 31, 2007, we recorded IPR&amp;D charges of $84.2 million. The principal components of this amount are as follows: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$18.4 million related to the acquisition of Syntonix Pharmaceuticals (Syntonix);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$30.0 million related to the collaboration with Cardiokine Biopharma LLC (Cardiokine);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$34.3 million related to the collaboration with Neurimmune SubOne AG (Neurimmune).</w:t>
      </w:r>
    </w:p>
    <w:p>
      <w:pPr>
        <w:spacing w:after="0" w:line="96"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 xml:space="preserve">Cardiokine and Neurimmune are variable interest entities as defined under the guidance set forth within the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Topic of the Codification. The consolidation of these entities resulted in IPR&amp;D charges which have been recorded as a component of operating income. However, because the IPR&amp;D charges relate to the fair value of the underlying technology retained by the parent companies of Cardiokine and Neurimmune, these amounts were allocated to the respective noncontrolling interests.</w:t>
      </w:r>
    </w:p>
    <w:p>
      <w:pPr>
        <w:spacing w:after="0" w:line="67"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 xml:space="preserve">We use discounted cash flow models to determine the fair values associated with acquired technologies. These models require the use of significant estimates and assumptions, which include but are not limited to an estimate of future cash flows from product sales resulting from completed and in-process products and the use of discount and probability rates on a project basis. Refer to </w:t>
      </w:r>
      <w:r>
        <w:rPr>
          <w:rFonts w:ascii="Arial" w:cs="Arial" w:eastAsia="Arial" w:hAnsi="Arial"/>
          <w:sz w:val="12"/>
          <w:szCs w:val="12"/>
          <w:i w:val="1"/>
          <w:iCs w:val="1"/>
          <w:color w:val="auto"/>
        </w:rPr>
        <w:t>Valuation of Acquired Intangible Assets and In-process Research and Development Expenses</w:t>
      </w:r>
      <w:r>
        <w:rPr>
          <w:rFonts w:ascii="Arial" w:cs="Arial" w:eastAsia="Arial" w:hAnsi="Arial"/>
          <w:sz w:val="12"/>
          <w:szCs w:val="12"/>
          <w:color w:val="auto"/>
        </w:rPr>
        <w:t xml:space="preserve"> within </w:t>
      </w:r>
      <w:r>
        <w:rPr>
          <w:rFonts w:ascii="Arial" w:cs="Arial" w:eastAsia="Arial" w:hAnsi="Arial"/>
          <w:sz w:val="12"/>
          <w:szCs w:val="12"/>
          <w:i w:val="1"/>
          <w:iCs w:val="1"/>
          <w:color w:val="auto"/>
        </w:rPr>
        <w:t>Critical Accounting Estimates</w:t>
      </w:r>
      <w:r>
        <w:rPr>
          <w:rFonts w:ascii="Arial" w:cs="Arial" w:eastAsia="Arial" w:hAnsi="Arial"/>
          <w:sz w:val="12"/>
          <w:szCs w:val="12"/>
          <w:color w:val="auto"/>
        </w:rPr>
        <w:t xml:space="preserve"> for additional discussion.</w:t>
      </w:r>
    </w:p>
    <w:p>
      <w:pPr>
        <w:spacing w:after="0" w:line="50" w:lineRule="exact"/>
        <w:rPr>
          <w:sz w:val="20"/>
          <w:szCs w:val="20"/>
          <w:color w:val="auto"/>
        </w:rPr>
      </w:pPr>
    </w:p>
    <w:p>
      <w:pPr>
        <w:ind w:left="680" w:right="900" w:firstLine="399"/>
        <w:spacing w:after="0" w:line="257" w:lineRule="auto"/>
        <w:rPr>
          <w:sz w:val="20"/>
          <w:szCs w:val="20"/>
          <w:color w:val="auto"/>
        </w:rPr>
      </w:pPr>
      <w:r>
        <w:rPr>
          <w:rFonts w:ascii="Arial" w:cs="Arial" w:eastAsia="Arial" w:hAnsi="Arial"/>
          <w:sz w:val="13"/>
          <w:szCs w:val="13"/>
          <w:color w:val="auto"/>
        </w:rPr>
        <w:t>We believe that the discount rates utilized in our valuations are commensurate with the stage of development of these compounds and uncertainties in the economic estimates associated with each development relationship. The IPR&amp;D charge related to our collaboration with Neurimmune was determined based upon an estimate of revenues expected to be recognized beginning in 2018 related to the Beta-Amyloid antibody and a discount rate of 15%. The IPR&amp;D charge related to our collaboration with Cardiokine was determined assuming a discount rate of 11% and an estimate of revenues expected to be recognized beginning in 2012 for lixivaptan. The amount allocated to IPR&amp;D resulting from the acquisition of Syntonix relates to the development of long-acting recombinant Factor IX and long-acting recombinant Factor VIII assuming estimated revenues expected to be recognized beginning in 2012 and 2013, respectively. A discount rate of 13% was used to value these projects.</w:t>
      </w:r>
    </w:p>
    <w:p>
      <w:pPr>
        <w:spacing w:after="0" w:line="72"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In addition, in connection with the acquisition of Syntonix in January 2007, we agreed to make additional future consideration payments contingent upon the achievement of certain milestone events. In accordance with our acquisition agreement, we will make a $40.0 million milestone payment to the former shareholders of Syntonix during the first quarter of 2010. This amount will be recorded as a charge to IPR&amp;D in the first quarter of 2010.</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Refer to Note 2,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xml:space="preserve"> and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additional discussion.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Other Income (Expense), Net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Components of other income (expense), net, are summarized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4"/>
              </w:rPr>
              <w:t>For the Years Ended</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9"/>
              </w:rPr>
              <w:t>% Change</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92"/>
              </w:rPr>
              <w:t>December 31,</w:t>
            </w: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2"/>
              </w:rPr>
              <w:t>Compared</w:t>
            </w:r>
          </w:p>
        </w:tc>
        <w:tc>
          <w:tcPr>
            <w:tcW w:w="148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00" w:type="dxa"/>
            <w:vAlign w:val="bottom"/>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2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700" w:type="dxa"/>
            <w:vAlign w:val="bottom"/>
            <w:gridSpan w:val="2"/>
          </w:tcPr>
          <w:p>
            <w:pPr>
              <w:jc w:val="center"/>
              <w:ind w:left="244"/>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400" w:type="dxa"/>
            <w:vAlign w:val="bottom"/>
          </w:tcPr>
          <w:p>
            <w:pPr>
              <w:jc w:val="right"/>
              <w:ind w:right="22"/>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60" w:type="dxa"/>
            <w:vAlign w:val="bottom"/>
            <w:gridSpan w:val="3"/>
          </w:tcPr>
          <w:p>
            <w:pPr>
              <w:jc w:val="center"/>
              <w:ind w:right="480"/>
              <w:spacing w:after="0" w:line="98" w:lineRule="exact"/>
              <w:rPr>
                <w:sz w:val="20"/>
                <w:szCs w:val="20"/>
                <w:color w:val="auto"/>
              </w:rPr>
            </w:pPr>
            <w:r>
              <w:rPr>
                <w:rFonts w:ascii="Arial" w:cs="Arial" w:eastAsia="Arial" w:hAnsi="Arial"/>
                <w:sz w:val="10"/>
                <w:szCs w:val="10"/>
                <w:b w:val="1"/>
                <w:bCs w:val="1"/>
                <w:color w:val="auto"/>
                <w:w w:val="98"/>
              </w:rPr>
              <w:t>to 2008</w:t>
            </w:r>
          </w:p>
        </w:tc>
        <w:tc>
          <w:tcPr>
            <w:tcW w:w="1480" w:type="dxa"/>
            <w:vAlign w:val="bottom"/>
            <w:gridSpan w:val="3"/>
          </w:tcPr>
          <w:p>
            <w:pPr>
              <w:jc w:val="center"/>
              <w:ind w:right="96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29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  48.5</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  72.1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4"/>
              </w:rPr>
              <w:t>$ 103.6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(32.7)%</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Interest expense</w:t>
            </w:r>
          </w:p>
        </w:tc>
        <w:tc>
          <w:tcPr>
            <w:tcW w:w="2960" w:type="dxa"/>
            <w:vAlign w:val="bottom"/>
            <w:gridSpan w:val="4"/>
          </w:tcPr>
          <w:p>
            <w:pPr>
              <w:jc w:val="right"/>
              <w:ind w:right="60"/>
              <w:spacing w:after="0"/>
              <w:rPr>
                <w:sz w:val="20"/>
                <w:szCs w:val="20"/>
                <w:color w:val="auto"/>
              </w:rPr>
            </w:pPr>
            <w:r>
              <w:rPr>
                <w:rFonts w:ascii="Arial" w:cs="Arial" w:eastAsia="Arial" w:hAnsi="Arial"/>
                <w:sz w:val="12"/>
                <w:szCs w:val="12"/>
                <w:color w:val="auto"/>
              </w:rPr>
              <w:t>(35.8)</w:t>
            </w:r>
          </w:p>
        </w:tc>
        <w:tc>
          <w:tcPr>
            <w:tcW w:w="1080" w:type="dxa"/>
            <w:vAlign w:val="bottom"/>
            <w:gridSpan w:val="3"/>
          </w:tcPr>
          <w:p>
            <w:pPr>
              <w:jc w:val="right"/>
              <w:ind w:right="340"/>
              <w:spacing w:after="0"/>
              <w:rPr>
                <w:sz w:val="20"/>
                <w:szCs w:val="20"/>
                <w:color w:val="auto"/>
              </w:rPr>
            </w:pPr>
            <w:r>
              <w:rPr>
                <w:rFonts w:ascii="Arial" w:cs="Arial" w:eastAsia="Arial" w:hAnsi="Arial"/>
                <w:sz w:val="12"/>
                <w:szCs w:val="12"/>
                <w:color w:val="auto"/>
              </w:rPr>
              <w:t>(52.0)</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(40.5)</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31.2%</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(28.4)%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Impairment on investments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(10.6)</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(60.3)</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82.4%</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Gain (loss) on sales of investments, net</w:t>
            </w:r>
          </w:p>
        </w:tc>
        <w:tc>
          <w:tcPr>
            <w:tcW w:w="2960" w:type="dxa"/>
            <w:vAlign w:val="bottom"/>
            <w:gridSpan w:val="4"/>
          </w:tcPr>
          <w:p>
            <w:pPr>
              <w:jc w:val="right"/>
              <w:ind w:right="100"/>
              <w:spacing w:after="0"/>
              <w:rPr>
                <w:sz w:val="20"/>
                <w:szCs w:val="20"/>
                <w:color w:val="auto"/>
              </w:rPr>
            </w:pPr>
            <w:r>
              <w:rPr>
                <w:rFonts w:ascii="Arial" w:cs="Arial" w:eastAsia="Arial" w:hAnsi="Arial"/>
                <w:sz w:val="12"/>
                <w:szCs w:val="12"/>
                <w:color w:val="auto"/>
              </w:rPr>
              <w:t>22.8</w:t>
            </w:r>
          </w:p>
        </w:tc>
        <w:tc>
          <w:tcPr>
            <w:tcW w:w="1080" w:type="dxa"/>
            <w:vAlign w:val="bottom"/>
            <w:gridSpan w:val="3"/>
          </w:tcPr>
          <w:p>
            <w:pPr>
              <w:jc w:val="right"/>
              <w:ind w:right="340"/>
              <w:spacing w:after="0"/>
              <w:rPr>
                <w:sz w:val="20"/>
                <w:szCs w:val="20"/>
                <w:color w:val="auto"/>
              </w:rPr>
            </w:pPr>
            <w:r>
              <w:rPr>
                <w:rFonts w:ascii="Arial" w:cs="Arial" w:eastAsia="Arial" w:hAnsi="Arial"/>
                <w:sz w:val="12"/>
                <w:szCs w:val="12"/>
                <w:color w:val="auto"/>
              </w:rPr>
              <w:t>(1.1)</w:t>
            </w:r>
          </w:p>
        </w:tc>
        <w:tc>
          <w:tcPr>
            <w:tcW w:w="800" w:type="dxa"/>
            <w:vAlign w:val="bottom"/>
            <w:gridSpan w:val="2"/>
          </w:tcPr>
          <w:p>
            <w:pPr>
              <w:jc w:val="right"/>
              <w:ind w:right="400"/>
              <w:spacing w:after="0"/>
              <w:rPr>
                <w:sz w:val="20"/>
                <w:szCs w:val="20"/>
                <w:color w:val="auto"/>
              </w:rPr>
            </w:pPr>
            <w:r>
              <w:rPr>
                <w:rFonts w:ascii="Arial" w:cs="Arial" w:eastAsia="Arial" w:hAnsi="Arial"/>
                <w:sz w:val="12"/>
                <w:szCs w:val="12"/>
                <w:color w:val="auto"/>
              </w:rPr>
              <w:t>16.7</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2,172.7%</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(106.6)%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9"/>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80" w:type="dxa"/>
            <w:vAlign w:val="bottom"/>
          </w:tcPr>
          <w:p>
            <w:pPr>
              <w:jc w:val="right"/>
              <w:ind w:right="66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 Change</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2009</w:t>
            </w:r>
          </w:p>
        </w:tc>
        <w:tc>
          <w:tcPr>
            <w:tcW w:w="440" w:type="dxa"/>
            <w:vAlign w:val="bottom"/>
          </w:tcPr>
          <w:p>
            <w:pPr>
              <w:spacing w:after="0"/>
              <w:rPr>
                <w:sz w:val="7"/>
                <w:szCs w:val="7"/>
                <w:color w:val="auto"/>
              </w:rPr>
            </w:pPr>
          </w:p>
        </w:tc>
        <w:tc>
          <w:tcPr>
            <w:tcW w:w="5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2008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2"/>
              </w:rPr>
              <w:t>Compared</w:t>
            </w:r>
          </w:p>
        </w:tc>
        <w:tc>
          <w:tcPr>
            <w:tcW w:w="7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59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400" w:type="dxa"/>
            <w:vAlign w:val="bottom"/>
          </w:tcPr>
          <w:p>
            <w:pPr>
              <w:jc w:val="right"/>
              <w:ind w:right="22"/>
              <w:spacing w:after="0" w:line="98" w:lineRule="exact"/>
              <w:rPr>
                <w:sz w:val="20"/>
                <w:szCs w:val="20"/>
                <w:color w:val="auto"/>
              </w:rPr>
            </w:pPr>
            <w:r>
              <w:rPr>
                <w:rFonts w:ascii="Arial" w:cs="Arial" w:eastAsia="Arial" w:hAnsi="Arial"/>
                <w:sz w:val="10"/>
                <w:szCs w:val="10"/>
                <w:b w:val="1"/>
                <w:bCs w:val="1"/>
                <w:color w:val="auto"/>
              </w:rPr>
              <w:t>2009</w:t>
            </w:r>
          </w:p>
        </w:tc>
        <w:tc>
          <w:tcPr>
            <w:tcW w:w="800" w:type="dxa"/>
            <w:vAlign w:val="bottom"/>
            <w:gridSpan w:val="2"/>
          </w:tcPr>
          <w:p>
            <w:pPr>
              <w:jc w:val="center"/>
              <w:ind w:left="34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400" w:type="dxa"/>
            <w:vAlign w:val="bottom"/>
          </w:tcPr>
          <w:p>
            <w:pPr>
              <w:jc w:val="right"/>
              <w:ind w:right="42"/>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20" w:type="dxa"/>
            <w:vAlign w:val="bottom"/>
            <w:gridSpan w:val="2"/>
          </w:tcPr>
          <w:p>
            <w:pPr>
              <w:jc w:val="center"/>
              <w:ind w:right="440"/>
              <w:spacing w:after="0" w:line="98" w:lineRule="exact"/>
              <w:rPr>
                <w:sz w:val="20"/>
                <w:szCs w:val="20"/>
                <w:color w:val="auto"/>
              </w:rPr>
            </w:pPr>
            <w:r>
              <w:rPr>
                <w:rFonts w:ascii="Arial" w:cs="Arial" w:eastAsia="Arial" w:hAnsi="Arial"/>
                <w:sz w:val="10"/>
                <w:szCs w:val="10"/>
                <w:b w:val="1"/>
                <w:bCs w:val="1"/>
                <w:color w:val="auto"/>
                <w:w w:val="98"/>
              </w:rPr>
              <w:t>to 2008</w:t>
            </w:r>
          </w:p>
        </w:tc>
        <w:tc>
          <w:tcPr>
            <w:tcW w:w="700" w:type="dxa"/>
            <w:vAlign w:val="bottom"/>
            <w:gridSpan w:val="3"/>
          </w:tcPr>
          <w:p>
            <w:pPr>
              <w:jc w:val="center"/>
              <w:ind w:right="18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5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exchange gains (losses), net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(9.8)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w:t>
            </w: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216.3%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900" w:type="dxa"/>
            <w:vAlign w:val="bottom"/>
            <w:gridSpan w:val="2"/>
          </w:tcPr>
          <w:p>
            <w:pPr>
              <w:spacing w:after="0"/>
              <w:rPr>
                <w:sz w:val="20"/>
                <w:szCs w:val="20"/>
                <w:color w:val="auto"/>
              </w:rPr>
            </w:pPr>
            <w:r>
              <w:rPr>
                <w:rFonts w:ascii="Arial" w:cs="Arial" w:eastAsia="Arial" w:hAnsi="Arial"/>
                <w:sz w:val="12"/>
                <w:szCs w:val="12"/>
                <w:color w:val="auto"/>
              </w:rPr>
              <w:t>Gain on the sale of property</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2"/>
                <w:szCs w:val="12"/>
                <w:color w:val="auto"/>
              </w:rPr>
              <w:t>7.1</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0.0%</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net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6.9</w:t>
            </w: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20"/>
              <w:spacing w:after="0"/>
              <w:rPr>
                <w:sz w:val="20"/>
                <w:szCs w:val="20"/>
                <w:color w:val="auto"/>
              </w:rPr>
            </w:pPr>
            <w:r>
              <w:rPr>
                <w:rFonts w:ascii="Arial" w:cs="Arial" w:eastAsia="Arial" w:hAnsi="Arial"/>
                <w:sz w:val="12"/>
                <w:szCs w:val="12"/>
                <w:color w:val="auto"/>
              </w:rPr>
              <w:t>Other income (expense), net</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00" w:type="dxa"/>
            <w:vAlign w:val="bottom"/>
            <w:gridSpan w:val="2"/>
            <w:vMerge w:val="continue"/>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   37.3</w:t>
            </w:r>
          </w:p>
        </w:tc>
        <w:tc>
          <w:tcPr>
            <w:tcW w:w="4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w w:val="93"/>
              </w:rPr>
              <w:t>$  (57.7)</w:t>
            </w:r>
          </w:p>
        </w:tc>
        <w:tc>
          <w:tcPr>
            <w:tcW w:w="800" w:type="dxa"/>
            <w:vAlign w:val="bottom"/>
            <w:gridSpan w:val="2"/>
          </w:tcPr>
          <w:p>
            <w:pPr>
              <w:jc w:val="right"/>
              <w:ind w:right="400"/>
              <w:spacing w:after="0"/>
              <w:rPr>
                <w:sz w:val="20"/>
                <w:szCs w:val="20"/>
                <w:color w:val="auto"/>
              </w:rPr>
            </w:pPr>
            <w:r>
              <w:rPr>
                <w:rFonts w:ascii="Arial" w:cs="Arial" w:eastAsia="Arial" w:hAnsi="Arial"/>
                <w:sz w:val="12"/>
                <w:szCs w:val="12"/>
                <w:color w:val="auto"/>
              </w:rPr>
              <w:t>$  72.4</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164.5%</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(179.8)%</w:t>
            </w:r>
          </w:p>
        </w:tc>
        <w:tc>
          <w:tcPr>
            <w:tcW w:w="0" w:type="dxa"/>
            <w:vAlign w:val="bottom"/>
          </w:tcPr>
          <w:p>
            <w:pPr>
              <w:spacing w:after="0"/>
              <w:rPr>
                <w:sz w:val="1"/>
                <w:szCs w:val="1"/>
                <w:color w:val="auto"/>
              </w:rPr>
            </w:pPr>
          </w:p>
        </w:tc>
      </w:tr>
      <w:tr>
        <w:trPr>
          <w:trHeight w:val="32"/>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For 2009 as compared to 2008, interest income decreased primarily due to lower yields on cash, cash equivalents, and marketable securities, offset by higher average cash balances.</w:t>
      </w:r>
    </w:p>
    <w:p>
      <w:pPr>
        <w:spacing w:after="0" w:line="11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For 2008 compared to 2007, interest income decreased primarily due to a reduction in cash and cash equivalents due to the funding of our tender offer in July 2007, a net payment of $525.5 million for our term loan facility and lower investment yields.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 xml:space="preserve">For 2009 as compared to 2008, interest expense decreased primarily due to decreased average debt balances. In addition in 2009, approximately $5.4 million was recorded as a reduction of interest expense due to the amortization of the deferred gain associated with the termination of an interest rate swap in December 2008. This is further described in Note 8, </w:t>
      </w:r>
      <w:r>
        <w:rPr>
          <w:rFonts w:ascii="Arial" w:cs="Arial" w:eastAsia="Arial" w:hAnsi="Arial"/>
          <w:sz w:val="13"/>
          <w:szCs w:val="13"/>
          <w:i w:val="1"/>
          <w:iCs w:val="1"/>
          <w:color w:val="auto"/>
        </w:rPr>
        <w:t xml:space="preserve">Derivative Instruments </w:t>
      </w:r>
      <w:r>
        <w:rPr>
          <w:rFonts w:ascii="Arial" w:cs="Arial" w:eastAsia="Arial" w:hAnsi="Arial"/>
          <w:sz w:val="13"/>
          <w:szCs w:val="13"/>
          <w:color w:val="auto"/>
        </w:rPr>
        <w:t>to our Consolidated Financial Statements.</w:t>
      </w:r>
    </w:p>
    <w:p>
      <w:pPr>
        <w:spacing w:after="0" w:line="67" w:lineRule="exact"/>
        <w:rPr>
          <w:sz w:val="20"/>
          <w:szCs w:val="20"/>
          <w:color w:val="auto"/>
        </w:rPr>
      </w:pPr>
    </w:p>
    <w:p>
      <w:pPr>
        <w:jc w:val="both"/>
        <w:ind w:left="680" w:right="200" w:firstLine="399"/>
        <w:spacing w:after="0" w:line="276" w:lineRule="auto"/>
        <w:rPr>
          <w:sz w:val="20"/>
          <w:szCs w:val="20"/>
          <w:color w:val="auto"/>
        </w:rPr>
      </w:pPr>
      <w:r>
        <w:rPr>
          <w:rFonts w:ascii="Arial" w:cs="Arial" w:eastAsia="Arial" w:hAnsi="Arial"/>
          <w:sz w:val="13"/>
          <w:szCs w:val="13"/>
          <w:color w:val="auto"/>
        </w:rPr>
        <w:t xml:space="preserve">For 2008 compared to 2007, interest expense increased primarily due to an increased average debt balance as well as $8.9 million of expense incurred in 2008 due to the impact of hedge ineffectiveness as discussed in Note 8, </w:t>
      </w:r>
      <w:r>
        <w:rPr>
          <w:rFonts w:ascii="Arial" w:cs="Arial" w:eastAsia="Arial" w:hAnsi="Arial"/>
          <w:sz w:val="13"/>
          <w:szCs w:val="13"/>
          <w:i w:val="1"/>
          <w:iCs w:val="1"/>
          <w:color w:val="auto"/>
        </w:rPr>
        <w:t>Derivative Instruments</w:t>
      </w:r>
      <w:r>
        <w:rPr>
          <w:rFonts w:ascii="Arial" w:cs="Arial" w:eastAsia="Arial" w:hAnsi="Arial"/>
          <w:sz w:val="13"/>
          <w:szCs w:val="13"/>
          <w:color w:val="auto"/>
        </w:rPr>
        <w:t xml:space="preserve"> to our Consolidated Financial Statements.</w:t>
      </w:r>
    </w:p>
    <w:p>
      <w:pPr>
        <w:spacing w:after="0" w:line="59"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We capitalized interest costs related to construction in progress totaling approximately $28.5 million, $23.2 million and $10.1 million in 2009, 2008 and 2007, respectively, which were primarily related to the development of our large-scale biologic manufacturing facility in Hillerød, Denmark, which as a result reduced our interest expense by the same amount. We expect the amount of interest capitalized in relation to this facility will decrease in 2010.</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on Investments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April 2009, we implemented newly issued accounting standards which provided guidance for recognition and presentation of other-than-temporary impairments. The adoption of this guidance did not have a material impact on our financial position or results of operations; however, this standard amended the other-than-temporary impairment model for marketable debt securities. The impairment model for equity securities was not affected. Refer to Note 7,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to our Consolidated Financial Statements for additional information on the adoption of this guidance.</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2009, we recognized impairment losses of $7.0 million on our publicly-held strategic investments and non-marketable securities and an additional $3.6 million in charges for the other-than-temporary impairment on our marketable debt securities primarily related to mortgage and asset-backed securities.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2008, we recognized impairment losses of $18.6 million on our publicly-held strategic investments and non-marketable securities and an additional $41.7 million in impairment on our marketable debt securities primarily related to mortgage, asset-backed and corporate securities.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2007 we recognized impairment losses of $18.4 million on our publicly-held strategic investments and non-marketable securities and an additional $7.5 million in impairment on our marketable debt securities primarily related to mortgage and asset-backed securities.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incur additional impairment charges on these investments in the future.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on Property</w:t>
      </w:r>
    </w:p>
    <w:p>
      <w:pPr>
        <w:spacing w:after="0" w:line="96"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We own or lease real estate primarily consisting of buildings that contain research laboratories, office space, and biologic manufacturing operations, some of which are located in markets that are experiencing high vacancy rates and decreasing property values. If we decide to consolidate, co-locate or dispose of certain aspects of our business operations, for strategic or other operational reasons, we may dispose of one or more of our properties. Due to reduced expectations of product demand, improved yields on production and other factors, we may not fully utilize our manufacturing facilities at normal levels resulting in idle time at facilities or substantial excess manufacturing capacity. We are always evaluating our current strategy, as well as other alternatives, including whether to delay completion of the Denmark facility. If any of our owned properties are held for sale, or disposed of, we may not realize the full investment in these properties and incur significant impairment charges if the fair value of the properties were determined to be lower than their book value. In addition, if we decide to fully or partially vacate a leased property, we may incur significant cost, including lease termination fees, rent expense in excess of sublease income and impairment of leasehold improvements.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19"/>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3"/>
            <w:vMerge w:val="restart"/>
          </w:tcPr>
          <w:p>
            <w:pPr>
              <w:jc w:val="center"/>
              <w:ind w:right="20"/>
              <w:spacing w:after="0"/>
              <w:rPr>
                <w:sz w:val="20"/>
                <w:szCs w:val="20"/>
                <w:color w:val="auto"/>
              </w:rPr>
            </w:pPr>
            <w:r>
              <w:rPr>
                <w:rFonts w:ascii="Arial" w:cs="Arial" w:eastAsia="Arial" w:hAnsi="Arial"/>
                <w:sz w:val="10"/>
                <w:szCs w:val="10"/>
                <w:b w:val="1"/>
                <w:bCs w:val="1"/>
                <w:color w:val="auto"/>
                <w:w w:val="94"/>
              </w:rPr>
              <w:t>For the Years Ended</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jc w:val="center"/>
              <w:ind w:left="83"/>
              <w:spacing w:after="0" w:line="81" w:lineRule="exact"/>
              <w:rPr>
                <w:sz w:val="20"/>
                <w:szCs w:val="20"/>
                <w:color w:val="auto"/>
              </w:rPr>
            </w:pPr>
            <w:r>
              <w:rPr>
                <w:rFonts w:ascii="Arial" w:cs="Arial" w:eastAsia="Arial" w:hAnsi="Arial"/>
                <w:sz w:val="9"/>
                <w:szCs w:val="9"/>
                <w:b w:val="1"/>
                <w:bCs w:val="1"/>
                <w:color w:val="auto"/>
              </w:rPr>
              <w:t>2009</w:t>
            </w:r>
          </w:p>
        </w:tc>
        <w:tc>
          <w:tcPr>
            <w:tcW w:w="1200" w:type="dxa"/>
            <w:vAlign w:val="bottom"/>
            <w:gridSpan w:val="3"/>
          </w:tcPr>
          <w:p>
            <w:pPr>
              <w:jc w:val="center"/>
              <w:ind w:left="342"/>
              <w:spacing w:after="0" w:line="81" w:lineRule="exact"/>
              <w:rPr>
                <w:sz w:val="20"/>
                <w:szCs w:val="20"/>
                <w:color w:val="auto"/>
              </w:rPr>
            </w:pPr>
            <w:r>
              <w:rPr>
                <w:rFonts w:ascii="Arial" w:cs="Arial" w:eastAsia="Arial" w:hAnsi="Arial"/>
                <w:sz w:val="9"/>
                <w:szCs w:val="9"/>
                <w:b w:val="1"/>
                <w:bCs w:val="1"/>
                <w:color w:val="auto"/>
                <w:w w:val="99"/>
              </w:rPr>
              <w:t>2008</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5"/>
              </w:rPr>
              <w:t>December 31,</w:t>
            </w: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center"/>
              <w:ind w:left="83"/>
              <w:spacing w:after="0"/>
              <w:rPr>
                <w:sz w:val="20"/>
                <w:szCs w:val="20"/>
                <w:color w:val="auto"/>
              </w:rPr>
            </w:pPr>
            <w:r>
              <w:rPr>
                <w:rFonts w:ascii="Arial" w:cs="Arial" w:eastAsia="Arial" w:hAnsi="Arial"/>
                <w:sz w:val="10"/>
                <w:szCs w:val="10"/>
                <w:b w:val="1"/>
                <w:bCs w:val="1"/>
                <w:color w:val="auto"/>
                <w:w w:val="92"/>
              </w:rPr>
              <w:t>Compared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492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60" w:type="dxa"/>
            <w:vAlign w:val="bottom"/>
          </w:tcPr>
          <w:p>
            <w:pPr>
              <w:spacing w:after="0"/>
              <w:rPr>
                <w:sz w:val="8"/>
                <w:szCs w:val="8"/>
                <w:color w:val="auto"/>
              </w:rPr>
            </w:pPr>
          </w:p>
        </w:tc>
        <w:tc>
          <w:tcPr>
            <w:tcW w:w="68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360" w:type="dxa"/>
            <w:vAlign w:val="bottom"/>
          </w:tcPr>
          <w:p>
            <w:pPr>
              <w:spacing w:after="0"/>
              <w:rPr>
                <w:sz w:val="8"/>
                <w:szCs w:val="8"/>
                <w:color w:val="auto"/>
              </w:rPr>
            </w:pPr>
          </w:p>
        </w:tc>
        <w:tc>
          <w:tcPr>
            <w:tcW w:w="6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2008</w:t>
            </w:r>
          </w:p>
        </w:tc>
        <w:tc>
          <w:tcPr>
            <w:tcW w:w="360" w:type="dxa"/>
            <w:vAlign w:val="bottom"/>
          </w:tcPr>
          <w:p>
            <w:pPr>
              <w:spacing w:after="0"/>
              <w:rPr>
                <w:sz w:val="8"/>
                <w:szCs w:val="8"/>
                <w:color w:val="auto"/>
              </w:rPr>
            </w:pPr>
          </w:p>
        </w:tc>
        <w:tc>
          <w:tcPr>
            <w:tcW w:w="660" w:type="dxa"/>
            <w:vAlign w:val="bottom"/>
            <w:tcBorders>
              <w:bottom w:val="single" w:sz="8" w:color="auto"/>
            </w:tcBorders>
          </w:tcPr>
          <w:p>
            <w:pPr>
              <w:jc w:val="right"/>
              <w:ind w:right="159"/>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8"/>
                <w:szCs w:val="8"/>
                <w:color w:val="auto"/>
              </w:rPr>
            </w:pPr>
          </w:p>
        </w:tc>
        <w:tc>
          <w:tcPr>
            <w:tcW w:w="720" w:type="dxa"/>
            <w:vAlign w:val="bottom"/>
            <w:tcBorders>
              <w:bottom w:val="single" w:sz="8" w:color="auto"/>
            </w:tcBorders>
          </w:tcPr>
          <w:p>
            <w:pPr>
              <w:jc w:val="center"/>
              <w:ind w:left="83"/>
              <w:spacing w:after="0" w:line="98" w:lineRule="exact"/>
              <w:rPr>
                <w:sz w:val="20"/>
                <w:szCs w:val="20"/>
                <w:color w:val="auto"/>
              </w:rPr>
            </w:pPr>
            <w:r>
              <w:rPr>
                <w:rFonts w:ascii="Arial" w:cs="Arial" w:eastAsia="Arial" w:hAnsi="Arial"/>
                <w:sz w:val="10"/>
                <w:szCs w:val="10"/>
                <w:b w:val="1"/>
                <w:bCs w:val="1"/>
                <w:color w:val="auto"/>
                <w:w w:val="98"/>
              </w:rPr>
              <w:t>to 2008</w:t>
            </w: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178"/>
        </w:trPr>
        <w:tc>
          <w:tcPr>
            <w:tcW w:w="5080" w:type="dxa"/>
            <w:vAlign w:val="bottom"/>
            <w:gridSpan w:val="2"/>
          </w:tcPr>
          <w:p>
            <w:pPr>
              <w:spacing w:after="0"/>
              <w:rPr>
                <w:sz w:val="20"/>
                <w:szCs w:val="20"/>
                <w:color w:val="auto"/>
              </w:rPr>
            </w:pPr>
            <w:r>
              <w:rPr>
                <w:rFonts w:ascii="Arial" w:cs="Arial" w:eastAsia="Arial" w:hAnsi="Arial"/>
                <w:sz w:val="13"/>
                <w:szCs w:val="13"/>
                <w:color w:val="auto"/>
              </w:rPr>
              <w:t>Effective tax rate on pre-tax income</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26.7%</w:t>
            </w:r>
          </w:p>
        </w:tc>
        <w:tc>
          <w:tcPr>
            <w:tcW w:w="1020" w:type="dxa"/>
            <w:vAlign w:val="bottom"/>
            <w:gridSpan w:val="2"/>
          </w:tcPr>
          <w:p>
            <w:pPr>
              <w:jc w:val="right"/>
              <w:ind w:right="28"/>
              <w:spacing w:after="0"/>
              <w:rPr>
                <w:sz w:val="20"/>
                <w:szCs w:val="20"/>
                <w:color w:val="auto"/>
              </w:rPr>
            </w:pPr>
            <w:r>
              <w:rPr>
                <w:rFonts w:ascii="Arial" w:cs="Arial" w:eastAsia="Arial" w:hAnsi="Arial"/>
                <w:sz w:val="13"/>
                <w:szCs w:val="13"/>
                <w:color w:val="auto"/>
              </w:rPr>
              <w:t>31.6%</w:t>
            </w:r>
          </w:p>
        </w:tc>
        <w:tc>
          <w:tcPr>
            <w:tcW w:w="36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3"/>
                <w:szCs w:val="13"/>
                <w:color w:val="auto"/>
              </w:rPr>
              <w:t>32.0%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w:t>
            </w:r>
          </w:p>
        </w:tc>
        <w:tc>
          <w:tcPr>
            <w:tcW w:w="1200" w:type="dxa"/>
            <w:vAlign w:val="bottom"/>
            <w:gridSpan w:val="3"/>
          </w:tcPr>
          <w:p>
            <w:pPr>
              <w:jc w:val="right"/>
              <w:ind w:right="68"/>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5080" w:type="dxa"/>
            <w:vAlign w:val="bottom"/>
            <w:gridSpan w:val="2"/>
          </w:tcPr>
          <w:p>
            <w:pPr>
              <w:spacing w:after="0"/>
              <w:rPr>
                <w:sz w:val="20"/>
                <w:szCs w:val="20"/>
                <w:color w:val="auto"/>
              </w:rPr>
            </w:pPr>
            <w:r>
              <w:rPr>
                <w:rFonts w:ascii="Arial" w:cs="Arial" w:eastAsia="Arial" w:hAnsi="Arial"/>
                <w:sz w:val="13"/>
                <w:szCs w:val="13"/>
                <w:color w:val="auto"/>
              </w:rPr>
              <w:t>Income tax expense</w:t>
            </w:r>
          </w:p>
        </w:tc>
        <w:tc>
          <w:tcPr>
            <w:tcW w:w="680" w:type="dxa"/>
            <w:vAlign w:val="bottom"/>
          </w:tcPr>
          <w:p>
            <w:pPr>
              <w:jc w:val="right"/>
              <w:ind w:right="119"/>
              <w:spacing w:after="0"/>
              <w:rPr>
                <w:sz w:val="20"/>
                <w:szCs w:val="20"/>
                <w:color w:val="auto"/>
              </w:rPr>
            </w:pPr>
            <w:r>
              <w:rPr>
                <w:rFonts w:ascii="Arial" w:cs="Arial" w:eastAsia="Arial" w:hAnsi="Arial"/>
                <w:sz w:val="13"/>
                <w:szCs w:val="13"/>
                <w:color w:val="auto"/>
              </w:rPr>
              <w:t>$355.6</w:t>
            </w:r>
          </w:p>
        </w:tc>
        <w:tc>
          <w:tcPr>
            <w:tcW w:w="1020" w:type="dxa"/>
            <w:vAlign w:val="bottom"/>
            <w:gridSpan w:val="2"/>
          </w:tcPr>
          <w:p>
            <w:pPr>
              <w:jc w:val="right"/>
              <w:ind w:right="128"/>
              <w:spacing w:after="0"/>
              <w:rPr>
                <w:sz w:val="20"/>
                <w:szCs w:val="20"/>
                <w:color w:val="auto"/>
              </w:rPr>
            </w:pPr>
            <w:r>
              <w:rPr>
                <w:rFonts w:ascii="Arial" w:cs="Arial" w:eastAsia="Arial" w:hAnsi="Arial"/>
                <w:sz w:val="13"/>
                <w:szCs w:val="13"/>
                <w:color w:val="auto"/>
              </w:rPr>
              <w:t>$365.8</w:t>
            </w:r>
          </w:p>
        </w:tc>
        <w:tc>
          <w:tcPr>
            <w:tcW w:w="36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3"/>
                <w:szCs w:val="13"/>
                <w:color w:val="auto"/>
              </w:rPr>
              <w:t>$272.4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w:t>
            </w:r>
          </w:p>
        </w:tc>
        <w:tc>
          <w:tcPr>
            <w:tcW w:w="1200" w:type="dxa"/>
            <w:vAlign w:val="bottom"/>
            <w:gridSpan w:val="3"/>
          </w:tcPr>
          <w:p>
            <w:pPr>
              <w:jc w:val="right"/>
              <w:ind w:right="128"/>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effective tax rate fluctuates from year to year due to the nature of our global operations. The factors that most significantly impact our effective tax rate include variability in the allocation of our taxable earnings between multiple jurisdictions, changes in tax laws, acquisitions and licensing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2009, our effective tax rate was impacted by the following significant items:</w:t>
      </w:r>
    </w:p>
    <w:p>
      <w:pPr>
        <w:spacing w:after="0" w:line="96" w:lineRule="exact"/>
        <w:rPr>
          <w:sz w:val="20"/>
          <w:szCs w:val="20"/>
          <w:color w:val="auto"/>
        </w:rPr>
      </w:pPr>
    </w:p>
    <w:p>
      <w:pPr>
        <w:ind w:left="1280" w:hanging="190"/>
        <w:spacing w:after="0" w:line="264"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Tax impact from licensing transaction — </w:t>
      </w:r>
      <w:r>
        <w:rPr>
          <w:rFonts w:ascii="Arial" w:cs="Arial" w:eastAsia="Arial" w:hAnsi="Arial"/>
          <w:sz w:val="13"/>
          <w:szCs w:val="13"/>
          <w:color w:val="auto"/>
        </w:rPr>
        <w:t>During 2009, we entered into a collaboration and license agreement with Acorda. As there is no income tax benefit associated with either</w:t>
      </w:r>
      <w:r>
        <w:rPr>
          <w:rFonts w:ascii="Arial" w:cs="Arial" w:eastAsia="Arial" w:hAnsi="Arial"/>
          <w:sz w:val="13"/>
          <w:szCs w:val="13"/>
          <w:i w:val="1"/>
          <w:iCs w:val="1"/>
          <w:color w:val="auto"/>
        </w:rPr>
        <w:t xml:space="preserve"> </w:t>
      </w:r>
      <w:r>
        <w:rPr>
          <w:rFonts w:ascii="Arial" w:cs="Arial" w:eastAsia="Arial" w:hAnsi="Arial"/>
          <w:sz w:val="13"/>
          <w:szCs w:val="13"/>
          <w:color w:val="auto"/>
        </w:rPr>
        <w:t>the $110.0 million upfront payment made to Acorda or our development spending on fampridine outside the U.S., these payments had a 2.1% unfavorable impact on our 2009 effective tax rate.</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Tax impact from changes in tax laws </w:t>
      </w:r>
      <w:r>
        <w:rPr>
          <w:rFonts w:ascii="Arial" w:cs="Arial" w:eastAsia="Arial" w:hAnsi="Arial"/>
          <w:sz w:val="13"/>
          <w:szCs w:val="13"/>
          <w:color w:val="auto"/>
        </w:rPr>
        <w:t>— We established deferred tax assets and adjusted certain deferred tax liabilities, and adjusted our reserves for uncertain tax positions,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tax laws in certain states in which we operate. This had a favorable effect of 2.3% on our 2009 effective tax rate.</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Tax impact from resolution of tax audits — </w:t>
      </w:r>
      <w:r>
        <w:rPr>
          <w:rFonts w:ascii="Arial" w:cs="Arial" w:eastAsia="Arial" w:hAnsi="Arial"/>
          <w:sz w:val="13"/>
          <w:szCs w:val="13"/>
          <w:color w:val="auto"/>
        </w:rPr>
        <w:t>The resolution of federal, state and foreign tax audits resulted in reducing our reserves for several uncertain tax positions, which had a</w:t>
      </w:r>
      <w:r>
        <w:rPr>
          <w:rFonts w:ascii="Arial" w:cs="Arial" w:eastAsia="Arial" w:hAnsi="Arial"/>
          <w:sz w:val="13"/>
          <w:szCs w:val="13"/>
          <w:i w:val="1"/>
          <w:iCs w:val="1"/>
          <w:color w:val="auto"/>
        </w:rPr>
        <w:t xml:space="preserve"> </w:t>
      </w:r>
      <w:r>
        <w:rPr>
          <w:rFonts w:ascii="Arial" w:cs="Arial" w:eastAsia="Arial" w:hAnsi="Arial"/>
          <w:sz w:val="13"/>
          <w:szCs w:val="13"/>
          <w:color w:val="auto"/>
        </w:rPr>
        <w:t>favorable effect of 2.1% on our 2009 effective tax rate.</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effective tax rate in 2009 was lower than in 2008 due to the net effect of the three items noted above and a higher percentage of our foreign earnings being subject to U.S. income taxation in 2008. The effect of the allocation of earnings was partially offset by certain tax credits and deferred tax assets which will be realized as a result of our 2008 domestic reorganization.</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effective tax rate in 2008 was higher than 2007 primarily due to a reorganization of our international operations in 2008 and the allocation of our earnings subject to U.S. taxation in each year.</w:t>
      </w:r>
    </w:p>
    <w:p>
      <w:pPr>
        <w:spacing w:after="0" w:line="59"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2008 domestic and foreign reorganizations to our corporate structure involved the movement of certain personnel, operations and processes among our affiliates. Our effective tax rate will continue to be dependent on the allocation of our profits among jurisdictions and the percentage of our foreign earnings which are subject to taxation in the U.S.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expect our 2010 effective tax rate to be between 28% and 30%. This rate does not consider the impact of a potential renewal of the federal research and development tax credit.</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condition is summarized as follows: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 Change</w:t>
            </w:r>
          </w:p>
        </w:tc>
        <w:tc>
          <w:tcPr>
            <w:tcW w:w="0" w:type="dxa"/>
            <w:vAlign w:val="bottom"/>
          </w:tcPr>
          <w:p>
            <w:pPr>
              <w:spacing w:after="0"/>
              <w:rPr>
                <w:sz w:val="1"/>
                <w:szCs w:val="1"/>
                <w:color w:val="auto"/>
              </w:rPr>
            </w:pPr>
          </w:p>
        </w:tc>
      </w:tr>
      <w:tr>
        <w:trPr>
          <w:trHeight w:val="118"/>
        </w:trPr>
        <w:tc>
          <w:tcPr>
            <w:tcW w:w="7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5"/>
            <w:vMerge w:val="restart"/>
          </w:tcPr>
          <w:p>
            <w:pPr>
              <w:jc w:val="right"/>
              <w:ind w:right="740"/>
              <w:spacing w:after="0"/>
              <w:rPr>
                <w:sz w:val="20"/>
                <w:szCs w:val="20"/>
                <w:color w:val="auto"/>
              </w:rPr>
            </w:pPr>
            <w:r>
              <w:rPr>
                <w:rFonts w:ascii="Arial" w:cs="Arial" w:eastAsia="Arial" w:hAnsi="Arial"/>
                <w:sz w:val="10"/>
                <w:szCs w:val="10"/>
                <w:b w:val="1"/>
                <w:bCs w:val="1"/>
                <w:color w:val="auto"/>
              </w:rPr>
              <w:t>As of December 31,</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Compared</w:t>
            </w:r>
          </w:p>
        </w:tc>
        <w:tc>
          <w:tcPr>
            <w:tcW w:w="0" w:type="dxa"/>
            <w:vAlign w:val="bottom"/>
          </w:tcPr>
          <w:p>
            <w:pPr>
              <w:spacing w:after="0"/>
              <w:rPr>
                <w:sz w:val="1"/>
                <w:szCs w:val="1"/>
                <w:color w:val="auto"/>
              </w:rPr>
            </w:pPr>
          </w:p>
        </w:tc>
      </w:tr>
      <w:tr>
        <w:trPr>
          <w:trHeight w:val="98"/>
        </w:trPr>
        <w:tc>
          <w:tcPr>
            <w:tcW w:w="72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74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2008</w:t>
            </w:r>
          </w:p>
        </w:tc>
        <w:tc>
          <w:tcPr>
            <w:tcW w:w="0" w:type="dxa"/>
            <w:vAlign w:val="bottom"/>
          </w:tcPr>
          <w:p>
            <w:pPr>
              <w:spacing w:after="0"/>
              <w:rPr>
                <w:sz w:val="1"/>
                <w:szCs w:val="1"/>
                <w:color w:val="auto"/>
              </w:rPr>
            </w:pPr>
          </w:p>
        </w:tc>
      </w:tr>
      <w:tr>
        <w:trPr>
          <w:trHeight w:val="29"/>
        </w:trPr>
        <w:tc>
          <w:tcPr>
            <w:tcW w:w="7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gridSpan w:val="2"/>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581.9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622.4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Marketable and loaned securities — current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7"/>
        </w:trPr>
        <w:tc>
          <w:tcPr>
            <w:tcW w:w="7280" w:type="dxa"/>
            <w:vAlign w:val="bottom"/>
            <w:gridSpan w:val="2"/>
          </w:tcPr>
          <w:p>
            <w:pPr>
              <w:ind w:left="140"/>
              <w:spacing w:after="0"/>
              <w:rPr>
                <w:sz w:val="20"/>
                <w:szCs w:val="20"/>
                <w:color w:val="auto"/>
              </w:rPr>
            </w:pPr>
            <w:r>
              <w:rPr>
                <w:rFonts w:ascii="Arial" w:cs="Arial" w:eastAsia="Arial" w:hAnsi="Arial"/>
                <w:sz w:val="13"/>
                <w:szCs w:val="13"/>
                <w:color w:val="auto"/>
              </w:rPr>
              <w:t>Marketable securities — non-current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1,194.1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891.4</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financial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2,262.8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6"/>
        </w:trPr>
        <w:tc>
          <w:tcPr>
            <w:tcW w:w="7280" w:type="dxa"/>
            <w:vAlign w:val="bottom"/>
            <w:gridSpan w:val="2"/>
          </w:tcPr>
          <w:p>
            <w:pPr>
              <w:spacing w:after="0"/>
              <w:rPr>
                <w:sz w:val="20"/>
                <w:szCs w:val="20"/>
                <w:color w:val="auto"/>
              </w:rPr>
            </w:pPr>
            <w:r>
              <w:rPr>
                <w:rFonts w:ascii="Arial" w:cs="Arial" w:eastAsia="Arial" w:hAnsi="Arial"/>
                <w:sz w:val="13"/>
                <w:szCs w:val="13"/>
                <w:color w:val="auto"/>
              </w:rPr>
              <w:t>Borrowings:</w:t>
            </w: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Current portion of notes payable and line of credit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57"/>
        </w:trPr>
        <w:tc>
          <w:tcPr>
            <w:tcW w:w="7280" w:type="dxa"/>
            <w:vAlign w:val="bottom"/>
            <w:gridSpan w:val="2"/>
          </w:tcPr>
          <w:p>
            <w:pPr>
              <w:ind w:left="140"/>
              <w:spacing w:after="0"/>
              <w:rPr>
                <w:sz w:val="20"/>
                <w:szCs w:val="20"/>
                <w:color w:val="auto"/>
              </w:rPr>
            </w:pPr>
            <w:r>
              <w:rPr>
                <w:rFonts w:ascii="Arial" w:cs="Arial" w:eastAsia="Arial" w:hAnsi="Arial"/>
                <w:sz w:val="13"/>
                <w:szCs w:val="13"/>
                <w:color w:val="auto"/>
              </w:rPr>
              <w:t>Notes payable and line of credit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1085.4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borrowings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9"/>
        </w:trPr>
        <w:tc>
          <w:tcPr>
            <w:tcW w:w="7280" w:type="dxa"/>
            <w:vAlign w:val="bottom"/>
            <w:gridSpan w:val="2"/>
            <w:vMerge w:val="restart"/>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28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1,765.7</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1,534.8</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30"/>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year end December 31, 2009, certain significant cash flows were as follows:</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$1,074.9 million of cash flows generated from operations, inclusive of the $110.0 million upfront payment made to Acorda on July 1,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$751.2 million used for share repurchases;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$745.4 million in total payments for income 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$229.1 million used for net purchases of marketable securities;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$165.6 million used for purchases of property, plant and equipment.</w:t>
      </w:r>
    </w:p>
    <w:p>
      <w:pPr>
        <w:spacing w:after="0" w:line="96"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Significant cash flow activities during 2008 included the net repayment of approximately $525.5 million of indebtedness, $738.9 million used to fund share repurchases, $222.8 used for the net purchases of marketable securities, and $276.0 million used to purchase property, plant and equipment offset by cash generated from operations of $1,562.4 million.</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have financed our operating and capital expenditures principally through cash flows from our operations. We expect to finance our current and planned operating requirements principally through cash from operations, as well as existing cash resources. We believe that existing funds, cash generated from operations and existing sources of, and access to, financing are adequate to satisfy our operating, working capital, strategic alliance and acquisition, milestone payments, capital expenditures and debt service requirements for the foreseeable future. In addition, we plan to opportunistically pursue our stock repurchase program and other business initiatives, including acquisition and licensing activities. We may, from time to time, seek additional funding through a combination of new collaborative agreements, strategic alliances and additional equity and debt financings or from other sources.</w:t>
      </w:r>
    </w:p>
    <w:p>
      <w:pPr>
        <w:spacing w:after="0" w:line="5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Please read the “Risk Factors” and “Quantitative and Qualitative Disclosures About Market Risk” sections of this report for items that could negatively impact our cash position and ability to fund future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October 2009, our Board of Directors authorized the repurchase of up to $1.0 billion of our common stock, with repurchased shares being retired. This repurchase program does not have an expiration date. As of December 31, 2009, approximately 8.8 million shares at a cost of $422.4 million were repurchased under this program, all of which were retired. From January 1, 2010 through February 5, 2010, we repurchased approximately an additional 5.4 million shares under this program at a total cost of approximately $289.4 million, all of which were also retired. Approximately $288.2 million remains available for the repurchase of our common stock under the 2009 program. The remaining shares that may be purchased under this program is subject to price fluctuations of our common stock.</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80" w:firstLine="399"/>
        <w:spacing w:after="0" w:line="260" w:lineRule="auto"/>
        <w:rPr>
          <w:sz w:val="20"/>
          <w:szCs w:val="20"/>
          <w:color w:val="auto"/>
        </w:rPr>
      </w:pPr>
      <w:r>
        <w:rPr>
          <w:rFonts w:ascii="Arial" w:cs="Arial" w:eastAsia="Arial" w:hAnsi="Arial"/>
          <w:sz w:val="13"/>
          <w:szCs w:val="13"/>
          <w:color w:val="auto"/>
        </w:rPr>
        <w:t>In October 2006, our Board of Directors authorized the repurchase of up to 20.0 million shares of our common stock. This repurchase program was completed during the fourth quarter of 2009. During 2009, approximately 7.2 million shares of our common stock were repurchased for approximately $328.8 million under this program. During 2008, approximately 12.8 million shares of our common stock were repurchased for approximately $738.9 million under this program. We used the 2006 share repurchase program principally for share stabilization.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Marketable Securities</w:t>
      </w:r>
    </w:p>
    <w:p>
      <w:pPr>
        <w:spacing w:after="0" w:line="96" w:lineRule="exact"/>
        <w:rPr>
          <w:sz w:val="20"/>
          <w:szCs w:val="20"/>
          <w:color w:val="auto"/>
        </w:rPr>
      </w:pPr>
    </w:p>
    <w:p>
      <w:pPr>
        <w:ind w:left="680" w:right="840" w:firstLine="399"/>
        <w:spacing w:after="0" w:line="312" w:lineRule="auto"/>
        <w:rPr>
          <w:sz w:val="20"/>
          <w:szCs w:val="20"/>
          <w:color w:val="auto"/>
        </w:rPr>
      </w:pPr>
      <w:r>
        <w:rPr>
          <w:rFonts w:ascii="Arial" w:cs="Arial" w:eastAsia="Arial" w:hAnsi="Arial"/>
          <w:sz w:val="11"/>
          <w:szCs w:val="11"/>
          <w:color w:val="auto"/>
        </w:rPr>
        <w:t>Until required for use in the business, we invest our cash reserves in bank deposits, certificates of deposit, commercial paper, corporate notes, U.S. and foreign government instruments and other interest bearing marketable debt instruments in accordance with our investment policy. We attempt to mitigate credit risk in our cash reserves and marketable securities by maintaining a well diversified portfolio that limits the amount of investment exposure as to institution, maturity, and investment type. In particular, the value of our investments may be adversely affected by increases in interest rates, downgrades in the corporate bonds included in our portfolio, instability in the global financial markets that reduces the liquidity of securities included in our portfolio, and by other factors which may result in other-than-temporary declines in the value of the investments. Each of these events may cause us to record charges to reduce the carrying value of our investment portfolio or sell investments for less than our acquisition cost which could adversely impact our financial position and our overall liquidity.</w:t>
      </w:r>
    </w:p>
    <w:p>
      <w:pPr>
        <w:spacing w:after="0" w:line="45"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The increase in cash and marketable securities as of December 31, 2009 as compared to December 31, 2008 is primarily due to an increase in cash from operations and proceeds from the issuance of shares under our share-based compensation programs offset by purchases of property, plant and equipment, share repurchases, payments pursuant to our collaboration agreement with Acorda and other collaboration arrangements, and purchases of strategic investments.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Borrowings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significant changes in our borrowings since December 31, 2008.</w:t>
      </w:r>
    </w:p>
    <w:p>
      <w:pPr>
        <w:spacing w:after="0" w:line="96"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 xml:space="preserve">On March 4, 2008, we issued $450.0 million aggregate principal amount of 6.0% Senior Notes due March 1, 2013 and $550.0 million aggregate principal amount of 6.875% Senior Notes due March 1, 2018 for proceeds of $987.0 million, net of issuance costs. The credit rating on these notes at December 31, 2009, was Baa3 with a stable outlook by Moody’s Investors Service and BBB+ with a stable outlook by Standard &amp; Poor’s. Additionally, in connection with the issuance of these notes, we entered into interest rate swaps, which were terminated in December 2008 and are further described in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 our Consolidated Financial Statements. We used the proceeds of this offering, along with cash and the proceeds from the liquidation of marketable securities, to repay the $1,500.0 million term loan facility we had entered into in July 2007 in connection with the funding of our June 2007 stock repurchase tender offer.</w:t>
      </w:r>
    </w:p>
    <w:p>
      <w:pPr>
        <w:spacing w:after="0" w:line="72" w:lineRule="exact"/>
        <w:rPr>
          <w:sz w:val="20"/>
          <w:szCs w:val="20"/>
          <w:color w:val="auto"/>
        </w:rPr>
      </w:pPr>
    </w:p>
    <w:p>
      <w:pPr>
        <w:jc w:val="both"/>
        <w:ind w:left="680" w:right="860" w:firstLine="399"/>
        <w:spacing w:after="0" w:line="289" w:lineRule="auto"/>
        <w:rPr>
          <w:sz w:val="20"/>
          <w:szCs w:val="20"/>
          <w:color w:val="auto"/>
        </w:rPr>
      </w:pPr>
      <w:r>
        <w:rPr>
          <w:rFonts w:ascii="Arial" w:cs="Arial" w:eastAsia="Arial" w:hAnsi="Arial"/>
          <w:sz w:val="12"/>
          <w:szCs w:val="12"/>
          <w:color w:val="auto"/>
        </w:rPr>
        <w:t>In June 2007, we entered into a five year $400.0 million senior unsecured revolving credit facility, which we may use for future working capital and general corporate purposes. The bankruptcy of Lehman Brothers Holdings Inc. in 2008 resulted in the elimination of their $40.0 million commitment, thereby reducing the availability of the credit facility to $360.0 million. The terms of this revolving credit facility include various covenants, including financial covenants that require us to not exceed a maximum leverage ratio and, under certain circumstances, an interest coverage ratio. As of December 31, 2009, and 2008 there were no borrowings under this credit facility and we were in compliance with applicable covenants.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 Change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gridSpan w:val="5"/>
            <w:vMerge w:val="restart"/>
          </w:tcPr>
          <w:p>
            <w:pPr>
              <w:jc w:val="right"/>
              <w:ind w:right="740"/>
              <w:spacing w:after="0"/>
              <w:rPr>
                <w:sz w:val="20"/>
                <w:szCs w:val="20"/>
                <w:color w:val="auto"/>
              </w:rPr>
            </w:pPr>
            <w:r>
              <w:rPr>
                <w:rFonts w:ascii="Arial" w:cs="Arial" w:eastAsia="Arial" w:hAnsi="Arial"/>
                <w:sz w:val="10"/>
                <w:szCs w:val="10"/>
                <w:b w:val="1"/>
                <w:bCs w:val="1"/>
                <w:color w:val="auto"/>
              </w:rPr>
              <w:t>As of December 31,</w:t>
            </w:r>
          </w:p>
        </w:tc>
        <w:tc>
          <w:tcPr>
            <w:tcW w:w="58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Compared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200" w:type="dxa"/>
            <w:vAlign w:val="bottom"/>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3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74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2008</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Current liabilities</w:t>
            </w:r>
          </w:p>
        </w:tc>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(714.9)</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(923.2)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Working capital</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1,534.8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80" w:type="dxa"/>
            <w:vAlign w:val="bottom"/>
          </w:tcPr>
          <w:p>
            <w:pPr>
              <w:jc w:val="right"/>
              <w:ind w:right="1954"/>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3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define working capital as current assets less current liabilities. The increase in working capital primarily reflects the overall reduction of current liabilities by $208.3 million primarily driven by a $147.4 million reduction in balances attributable to taxes payable. The change in total current assets was negligible as increases in net receivable balances, inventory and other current assets were offset by decreases in cash and marketable and loaned securities.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3"/>
          </w:tcPr>
          <w:p>
            <w:pPr>
              <w:ind w:left="580"/>
              <w:spacing w:after="0"/>
              <w:rPr>
                <w:sz w:val="20"/>
                <w:szCs w:val="20"/>
                <w:color w:val="auto"/>
              </w:rPr>
            </w:pPr>
            <w:r>
              <w:rPr>
                <w:rFonts w:ascii="Arial" w:cs="Arial" w:eastAsia="Arial" w:hAnsi="Arial"/>
                <w:sz w:val="10"/>
                <w:szCs w:val="10"/>
                <w:b w:val="1"/>
                <w:bCs w:val="1"/>
                <w:color w:val="auto"/>
                <w:w w:val="99"/>
              </w:rPr>
              <w:t>% Change</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gridSpan w:val="4"/>
            <w:vMerge w:val="restart"/>
          </w:tcPr>
          <w:p>
            <w:pPr>
              <w:jc w:val="right"/>
              <w:ind w:right="20"/>
              <w:spacing w:after="0"/>
              <w:rPr>
                <w:sz w:val="20"/>
                <w:szCs w:val="20"/>
                <w:color w:val="auto"/>
              </w:rPr>
            </w:pPr>
            <w:r>
              <w:rPr>
                <w:rFonts w:ascii="Arial" w:cs="Arial" w:eastAsia="Arial" w:hAnsi="Arial"/>
                <w:sz w:val="10"/>
                <w:szCs w:val="10"/>
                <w:b w:val="1"/>
                <w:bCs w:val="1"/>
                <w:color w:val="auto"/>
                <w:w w:val="93"/>
              </w:rPr>
              <w:t>For the Years Ended December 31,</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8"/>
              </w:rPr>
              <w:t>2009</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2"/>
              </w:rPr>
              <w:t>Compared</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Compared</w:t>
            </w:r>
          </w:p>
        </w:tc>
        <w:tc>
          <w:tcPr>
            <w:tcW w:w="0" w:type="dxa"/>
            <w:vAlign w:val="bottom"/>
          </w:tcPr>
          <w:p>
            <w:pPr>
              <w:spacing w:after="0"/>
              <w:rPr>
                <w:sz w:val="1"/>
                <w:szCs w:val="1"/>
                <w:color w:val="auto"/>
              </w:rPr>
            </w:pPr>
          </w:p>
        </w:tc>
      </w:tr>
      <w:tr>
        <w:trPr>
          <w:trHeight w:val="98"/>
        </w:trPr>
        <w:tc>
          <w:tcPr>
            <w:tcW w:w="50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Pr>
          <w:p>
            <w:pPr>
              <w:spacing w:after="0"/>
              <w:rPr>
                <w:sz w:val="8"/>
                <w:szCs w:val="8"/>
                <w:color w:val="auto"/>
              </w:rPr>
            </w:pPr>
          </w:p>
        </w:tc>
        <w:tc>
          <w:tcPr>
            <w:tcW w:w="460" w:type="dxa"/>
            <w:vAlign w:val="bottom"/>
          </w:tcPr>
          <w:p>
            <w:pPr>
              <w:jc w:val="right"/>
              <w:ind w:right="138"/>
              <w:spacing w:after="0" w:line="98" w:lineRule="exact"/>
              <w:rPr>
                <w:sz w:val="20"/>
                <w:szCs w:val="20"/>
                <w:color w:val="auto"/>
              </w:rPr>
            </w:pPr>
            <w:r>
              <w:rPr>
                <w:rFonts w:ascii="Arial" w:cs="Arial" w:eastAsia="Arial" w:hAnsi="Arial"/>
                <w:sz w:val="10"/>
                <w:szCs w:val="10"/>
                <w:b w:val="1"/>
                <w:bCs w:val="1"/>
                <w:color w:val="auto"/>
              </w:rPr>
              <w:t>2009</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80" w:type="dxa"/>
            <w:vAlign w:val="bottom"/>
            <w:gridSpan w:val="3"/>
          </w:tcPr>
          <w:p>
            <w:pPr>
              <w:jc w:val="center"/>
              <w:ind w:right="500"/>
              <w:spacing w:after="0" w:line="98" w:lineRule="exact"/>
              <w:rPr>
                <w:sz w:val="20"/>
                <w:szCs w:val="20"/>
                <w:color w:val="auto"/>
              </w:rPr>
            </w:pPr>
            <w:r>
              <w:rPr>
                <w:rFonts w:ascii="Arial" w:cs="Arial" w:eastAsia="Arial" w:hAnsi="Arial"/>
                <w:sz w:val="10"/>
                <w:szCs w:val="10"/>
                <w:b w:val="1"/>
                <w:bCs w:val="1"/>
                <w:color w:val="auto"/>
                <w:w w:val="98"/>
              </w:rPr>
              <w:t>to 2008</w:t>
            </w:r>
          </w:p>
        </w:tc>
        <w:tc>
          <w:tcPr>
            <w:tcW w:w="66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2"/>
              </w:rPr>
              <w:t>to 2007</w:t>
            </w:r>
          </w:p>
        </w:tc>
        <w:tc>
          <w:tcPr>
            <w:tcW w:w="0" w:type="dxa"/>
            <w:vAlign w:val="bottom"/>
          </w:tcPr>
          <w:p>
            <w:pPr>
              <w:spacing w:after="0"/>
              <w:rPr>
                <w:sz w:val="1"/>
                <w:szCs w:val="1"/>
                <w:color w:val="auto"/>
              </w:rPr>
            </w:pPr>
          </w:p>
        </w:tc>
      </w:tr>
      <w:tr>
        <w:trPr>
          <w:trHeight w:val="29"/>
        </w:trPr>
        <w:tc>
          <w:tcPr>
            <w:tcW w:w="4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1,074.9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1,018.8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(31.2)%</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Net cash flows used in investing activities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8"/>
              <w:spacing w:after="0"/>
              <w:rPr>
                <w:sz w:val="20"/>
                <w:szCs w:val="20"/>
                <w:color w:val="auto"/>
              </w:rPr>
            </w:pPr>
            <w:r>
              <w:rPr>
                <w:rFonts w:ascii="Arial" w:cs="Arial" w:eastAsia="Arial" w:hAnsi="Arial"/>
                <w:sz w:val="13"/>
                <w:szCs w:val="13"/>
                <w:color w:val="auto"/>
              </w:rPr>
              <w:t>(395.0)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(365.9)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(286.6)</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(724.2)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(1,234.6)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(733.3)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(41.3)%</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Activities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Cash flows from operating activities represent the cash receipts and disbursements related to all of our activities other than investing and financing activities. Cash provided by operating activities is primarily driven by our earnings and changes in working capital. We expect cash provided from operating activities will continue to be our primary source of funds to finance operating needs and capital expenditures for the foreseeable future.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cash flow is derived by adjusting net income for:</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Non-cash operating items such as depreciation and amortization, impairment charges and share-based compensation charges;</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operating assets and liabilities which reflect timing differences between the receipt and payment of cash associated with transactions and when they are recognized in results of operations.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decrease in cash provided by operating activities for 2009 as compared to 2008 was primarily driven by change in other liabilities and taxes payable, primarily due to an increase in income tax payments of $373.4 million, primarily resulting from increased earnings and the settlement of various audits in 2009, the $110.0 million upfront payment made to Acorda on July 1, 2009 and the payment of certain accrued expenses and other current liabilities.</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increase in cash from operating activities for 2008 as compared to 2007 was primarily due to higher earnings net of a higher investment in working capital and the proceeds received from the termination of the interest rate swap.</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Investing Activities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increase in net cash used in investing activities in 2009 compared to 2008 is primarily due to a decrease in collateral received under our securities lending program offset primarily by a decrease in net purchases of marketable securities and a reduction in purchases of property, plant and equipment. The decline in purchases of property, plant and equipment is primarily attributable to our Hillerød, Denmark manufacturing facility and certain other manufacturing upgrades which are near completion.</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increase in cash used in investing activities in 2008 compared to 2007 is primarily due to an increase in net purchases of marketable securities, offset by cash proceeds from collateral received under securities lending.</w:t>
      </w:r>
    </w:p>
    <w:p>
      <w:pPr>
        <w:spacing w:after="0" w:line="5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In 2009, significant cash flows related to investing activities consisted primarily of net purchases of marketable securities of $229.1 million. Our other primary use of cash in investing activities consisted of the purchases of property, plant and equipment of $165.6 million.</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2008, significant cash flows related to investing activities consisted of net purchases of marketable securities of $222.8 million and net purchases of property, plant and equipment totaling $276.0 million.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2007, net proceeds from sales of marketable securities of $209.0 million were used to partially fund our 2007 tender offer. Purchases of property, plant and equipment totaled $284.1 million in 2007. Payments made for acquisitions and collaborations were $95.8 million in 2007, which primarily related to our acquisition of Syntonix for $42.3 million and our collaboration payments to Cardiokine for $50.0 million and Neurimmune of $2.0 million. The change in balance of collateral received under securities lending is reflected as a use of cash in investing activities offset by a source of cash from financing activities. Additionally, in 2007 we sold our position in a strategic investment for $99.5 million.</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Financing Activities</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The decrease in cash used in financing activities in 2009 compared to 2008 is due, principally, to the repayment of our term loan facility of $1,500.0 million in 2008, offset by the issuance of our notes payable, a decrease in the amount of stock options exercised, and a decrease in obligations under our securities lending program.</w:t>
      </w:r>
    </w:p>
    <w:p>
      <w:pPr>
        <w:spacing w:after="0" w:line="35"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increase in cash used in financing activities in 2008 as compared to 2007 is due principally to a reduction in the net proceeds received from borrowings offset by an overall decrease in the amount of common stock repurchased.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2009, we repurchased approximately 16.0 million shares for $751.2 million under our 2009 and 2006 share repurchase programs.</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primary use of cash in 2008 was for the repayment of our term loan facility of $1,500.0 million and the repurchase of our common stock for $738.9 million, offset in part by the net proceeds of $987.0 million from the issuance of long-term debt and proceeds of $178.5 million from the issuance of shares under our share based compensation programs.</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2007, the primary use of cash related to the repurchase of our common stock for $2,990.5 million by means of a tender offer. This repurchase was partially funded with cash proceeds from a short-term note of $1,500.0 million. Additionally, cash proceeds from the issuance of shares under our share based compensation programs were $489.2 million, which was attributable to the exercise of stock options and participation in our employee stock purchase plan. The change in balance of collateral received under securities lending is reflected as a use of cash in investing activities offset by a source of cash from financing activities.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Off-Balance Sheet Arrangements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summarizes our contractual obligations (excluding funding commitments, contingent milestone payments and other off-balance sheet arrangements as described below)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of December 31, 2009, and the effects such obligations are expected to have on our liquidity and cash flows in future periods: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5"/>
          </w:tcPr>
          <w:p>
            <w:pPr>
              <w:ind w:left="44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Pr>
          <w:p>
            <w:pPr>
              <w:spacing w:after="0"/>
              <w:rPr>
                <w:sz w:val="7"/>
                <w:szCs w:val="7"/>
                <w:color w:val="auto"/>
              </w:rPr>
            </w:pPr>
          </w:p>
        </w:tc>
        <w:tc>
          <w:tcPr>
            <w:tcW w:w="96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Less than</w:t>
            </w:r>
          </w:p>
        </w:tc>
        <w:tc>
          <w:tcPr>
            <w:tcW w:w="100" w:type="dxa"/>
            <w:vAlign w:val="bottom"/>
          </w:tcPr>
          <w:p>
            <w:pPr>
              <w:spacing w:after="0"/>
              <w:rPr>
                <w:sz w:val="7"/>
                <w:szCs w:val="7"/>
                <w:color w:val="auto"/>
              </w:rPr>
            </w:pPr>
          </w:p>
        </w:tc>
        <w:tc>
          <w:tcPr>
            <w:tcW w:w="7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1 to 3</w:t>
            </w:r>
          </w:p>
        </w:tc>
        <w:tc>
          <w:tcPr>
            <w:tcW w:w="100" w:type="dxa"/>
            <w:vAlign w:val="bottom"/>
          </w:tcPr>
          <w:p>
            <w:pPr>
              <w:spacing w:after="0"/>
              <w:rPr>
                <w:sz w:val="7"/>
                <w:szCs w:val="7"/>
                <w:color w:val="auto"/>
              </w:rPr>
            </w:pPr>
          </w:p>
        </w:tc>
        <w:tc>
          <w:tcPr>
            <w:tcW w:w="8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4 to 5</w:t>
            </w:r>
          </w:p>
        </w:tc>
        <w:tc>
          <w:tcPr>
            <w:tcW w:w="60" w:type="dxa"/>
            <w:vAlign w:val="bottom"/>
          </w:tcPr>
          <w:p>
            <w:pPr>
              <w:spacing w:after="0"/>
              <w:rPr>
                <w:sz w:val="7"/>
                <w:szCs w:val="7"/>
                <w:color w:val="auto"/>
              </w:rPr>
            </w:pPr>
          </w:p>
        </w:tc>
        <w:tc>
          <w:tcPr>
            <w:tcW w:w="420" w:type="dxa"/>
            <w:vAlign w:val="bottom"/>
          </w:tcPr>
          <w:p>
            <w:pPr>
              <w:jc w:val="right"/>
              <w:ind w:right="59"/>
              <w:spacing w:after="0" w:line="81" w:lineRule="exact"/>
              <w:rPr>
                <w:sz w:val="20"/>
                <w:szCs w:val="20"/>
                <w:color w:val="auto"/>
              </w:rPr>
            </w:pPr>
            <w:r>
              <w:rPr>
                <w:rFonts w:ascii="Arial" w:cs="Arial" w:eastAsia="Arial" w:hAnsi="Arial"/>
                <w:sz w:val="9"/>
                <w:szCs w:val="9"/>
                <w:b w:val="1"/>
                <w:bCs w:val="1"/>
                <w:color w:val="auto"/>
              </w:rPr>
              <w:t>After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5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1 Year</w:t>
            </w:r>
          </w:p>
        </w:tc>
        <w:tc>
          <w:tcPr>
            <w:tcW w:w="1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Years</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5"/>
              </w:rPr>
              <w:t>Years</w:t>
            </w:r>
          </w:p>
        </w:tc>
        <w:tc>
          <w:tcPr>
            <w:tcW w:w="6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4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Non-cancellable operating leases(1)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227.3</w:t>
            </w:r>
          </w:p>
        </w:tc>
        <w:tc>
          <w:tcPr>
            <w:tcW w:w="0" w:type="dxa"/>
            <w:vAlign w:val="bottom"/>
          </w:tcPr>
          <w:p>
            <w:pPr>
              <w:spacing w:after="0"/>
              <w:rPr>
                <w:sz w:val="1"/>
                <w:szCs w:val="1"/>
                <w:color w:val="auto"/>
              </w:rPr>
            </w:pPr>
          </w:p>
        </w:tc>
      </w:tr>
      <w:tr>
        <w:trPr>
          <w:trHeight w:val="157"/>
        </w:trPr>
        <w:tc>
          <w:tcPr>
            <w:tcW w:w="5500" w:type="dxa"/>
            <w:vAlign w:val="bottom"/>
            <w:gridSpan w:val="3"/>
          </w:tcPr>
          <w:p>
            <w:pPr>
              <w:spacing w:after="0"/>
              <w:rPr>
                <w:sz w:val="20"/>
                <w:szCs w:val="20"/>
                <w:color w:val="auto"/>
              </w:rPr>
            </w:pPr>
            <w:r>
              <w:rPr>
                <w:rFonts w:ascii="Arial" w:cs="Arial" w:eastAsia="Arial" w:hAnsi="Arial"/>
                <w:sz w:val="13"/>
                <w:szCs w:val="13"/>
                <w:color w:val="auto"/>
              </w:rPr>
              <w:t>Notes payable and line of credit(2)</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1,442.0</w:t>
            </w:r>
          </w:p>
        </w:tc>
        <w:tc>
          <w:tcPr>
            <w:tcW w:w="8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84.9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143.8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535.1</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678.2</w:t>
            </w:r>
          </w:p>
        </w:tc>
        <w:tc>
          <w:tcPr>
            <w:tcW w:w="0" w:type="dxa"/>
            <w:vAlign w:val="bottom"/>
          </w:tcPr>
          <w:p>
            <w:pPr>
              <w:spacing w:after="0"/>
              <w:rPr>
                <w:sz w:val="1"/>
                <w:szCs w:val="1"/>
                <w:color w:val="auto"/>
              </w:rPr>
            </w:pPr>
          </w:p>
        </w:tc>
      </w:tr>
      <w:tr>
        <w:trPr>
          <w:trHeight w:val="157"/>
        </w:trPr>
        <w:tc>
          <w:tcPr>
            <w:tcW w:w="5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Purchase obligations(3)</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42.4</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gridSpan w:val="3"/>
          </w:tcPr>
          <w:p>
            <w:pPr>
              <w:spacing w:after="0"/>
              <w:rPr>
                <w:sz w:val="20"/>
                <w:szCs w:val="20"/>
                <w:color w:val="auto"/>
              </w:rPr>
            </w:pPr>
            <w:r>
              <w:rPr>
                <w:rFonts w:ascii="Arial" w:cs="Arial" w:eastAsia="Arial" w:hAnsi="Arial"/>
                <w:sz w:val="13"/>
                <w:szCs w:val="13"/>
                <w:color w:val="auto"/>
              </w:rPr>
              <w:t>Defined benefit obligation</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Contractual obligations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911.2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307" w:lineRule="auto"/>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fifteen-year lease on a 356,000 square foot office building in Weston, Massachusetts, which will serve as the future location of our general and administrative offices with a planned occupancy around mid-year 2010. The initial lease term is from 2010 through 2025 under which the total minimum lease payments are $258.6 million.</w:t>
      </w: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Notes payable and line of credit includes principal and interest payments.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00" w:right="160" w:hanging="259"/>
        <w:spacing w:after="0" w:line="26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Purchase obligations include our obligations of approximately $6.4 million pursuant to a dedicated resource agreement whereby a laboratory will provide us with dedicated services through 2010, $9.3 million related to the fair value of net liabilities on derivative contracts due in less than one year, approximately $12.0 million related to fixed obligations for the purchase of natural gas and $3.4 million in construction commitments related to our manufacturing facility in Hillerød, Denmark.</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table above excludes tax payments totaling approximately $105.0 million to be made in the first half of 2010 related to the settlement of certain federal and state tax audits in 2009, and also excludes liabilities pertaining to uncertain tax positions as we cannot make a reliable estimate of the period of cash settlement with the respective taxing authorities. As of December 31, 2009, we have approximately $52.6 million of long-term liabilities associated with uncertain tax positions.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Funding 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2009, we have funding commitments of up to approximately $24.8 million as part of our investment in biotechnology oriented venture capital funds.</w:t>
      </w:r>
    </w:p>
    <w:p>
      <w:pPr>
        <w:spacing w:after="0" w:line="10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As of December 31, 2009, we have several ongoing clinical trials. Our most significant clinical trial expenditures are to clinical research organizations (CROs). The contracts with CROs are generally cancellable, with notice, at our option. We have recorded accrued expenses of $31.7 million on our consolidated balance sheet for work done by CROs as of December 31, 2009. We have approximately $460.0 million in cancellable future commitments based on existing CRO contracts as of December 31, 2009 which are not included in the contractual obligations table above as they are cancellable.</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Milestone Payments</w:t>
      </w:r>
    </w:p>
    <w:p>
      <w:pPr>
        <w:spacing w:after="0" w:line="96" w:lineRule="exact"/>
        <w:rPr>
          <w:sz w:val="20"/>
          <w:szCs w:val="20"/>
          <w:color w:val="auto"/>
        </w:rPr>
      </w:pPr>
    </w:p>
    <w:p>
      <w:pPr>
        <w:jc w:val="both"/>
        <w:ind w:left="680" w:right="20" w:firstLine="399"/>
        <w:spacing w:after="0" w:line="258" w:lineRule="auto"/>
        <w:rPr>
          <w:sz w:val="20"/>
          <w:szCs w:val="20"/>
          <w:color w:val="auto"/>
        </w:rPr>
      </w:pPr>
      <w:r>
        <w:rPr>
          <w:rFonts w:ascii="Arial" w:cs="Arial" w:eastAsia="Arial" w:hAnsi="Arial"/>
          <w:sz w:val="13"/>
          <w:szCs w:val="13"/>
          <w:color w:val="auto"/>
        </w:rPr>
        <w:t>Based on our development plans as of December 31, 2009, we have committed to make potential future milestone payments to third parties of up to approximately $1,500.0 million as part of our various collaborations, including licensing and development programs. Payments under these agreements generally become due and payable only upon achievement of certain developmental, regulatory or commercial milestones. Because the achievement of these milestones had not occurred as of December 31, 2009, such contingencies have not been recorded in our financial statements. We anticipate that we may pay approximately $82.0 million of milestone payments in 2010, provided various developmental, regulatory or commercial milestones are achieved.</w:t>
      </w:r>
    </w:p>
    <w:p>
      <w:pPr>
        <w:spacing w:after="0" w:line="71"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Amounts related to contingent milestone payments are not included in the contractual obligations table above as they are contingent on the successful achievement of certain development, regulatory approval and commercial milestones. These milestones may not be achieved.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Off-Balance Sheet Arrangements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do not have any significant relationships with entities often referred to as structured finance or special purpose entities which would have been established for the purpose of facilitating off-balance sheet arrangements. As such, we are not exposed to any financing, liquidity, market or credit risk that could arise if we had engaged in such relationships. We consolidate entities if we are the primary beneficiary.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read Note 19,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to our Consolidated Financial Statements for a discussion of legal matters as of December 31, 2009.</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discussion and analysis of our financial position and results of operations is based on our consolidated financial statements, which have been prepared in accordance with accounting principles generally accepted in the United States (U.S. GAAP). The preparation of these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marketable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securities, derivatives and hedging activities, inventory, impairments of long-lived assets including intangible assets, impairments of goodwill, income taxes including the valuation allowance for deferred tax assets, valuation of investments, research and development expenses, contingencies and litigation, and share-based payments. We base our estimates on historical experience and on various other assumptions that we believe are reasonable, the results of which form the basis for making judgments about the carrying values of assets and liabilities. Actual results may differ from these estimates under different assumptions or conditions.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the following critical accounting estimates affect our more significant estimates and judgments used in the preparation of our consolidated financial statements:</w:t>
      </w:r>
    </w:p>
    <w:p>
      <w:pPr>
        <w:spacing w:after="0" w:line="108"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Collaborative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Clinical trial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Consolidation of variable interest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Inventory;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Investments;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Impairment of financial instruments;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Impairment of long-lived assets including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Valuation of acquired intangible assets and IPR&amp;D;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Share-based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Income taxes;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Contingencies.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of product has occurred or services have been rendered; the seller’s price to the buyer is fixed or determinable; and collectibility is reasonably assured.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Revenues</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Revenues from product sales are recognized when title and risk of loss have passed to the customer, which is typically upon delivery. However, sales of TYSABRI in the U.S. are recognized on the “sell-through” model, that is, upon shipment of the product by Elan to its third party distributor rather than upon shipment to Elan. The timing of distributor orders and shipments can cause variability in earnings.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Reserves for Discounts and Allowances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Revenues are recorded net of applicable reserves for trade term discounts, wholesaler incentives, Medicaid rebates, VA rebates, managed care rebates, product returns and other applicable allowances. Our product revenue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 The estimates we make with respect to these allowances represent the most significant judgments with regard to revenue recognition.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Royalty Revenues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receive royalty revenues under license agreements with a number of third parties that sell products based on technology we have developed or to which we own rights. The license agreements provide for the payment of royalties to us based on sales of these licensed products. There are no future performance obligations on our part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under these license agreements.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We maintain regular communication with our licensees in order to assess the reasonableness of our estimates. Differences between actual royalty revenues and estimated royalty revenues are adjusted for in the period in which they become known, typically the following quarter. Historically, adjustments have not been material when compared to actual amounts paid by licensees. To the extent we do not have sufficient ability to accurately estimate revenues; we record such revenues on a cash basis.</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Arrangements with Multiple Deliverables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In October 2009 a new accounting standard for the recognition of revenue arrangements with multiple deliverables was issued. This standard provides accounting principles and application guidance on whether multiple deliverables exist, how the arrangement should be separated, and how the consideration should be allocated. This new approach is effective prospectively for revenue arrangements entered into or materially modified in fiscal years beginning on or after June 15, 2010. While we do not expect the adoption of this standard to have a material impact on our financial position and results of operations, this standard may impact us in the event we complete future transactions or modify existing collaborative relationships. Refer to Note 23,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to our Consolidated Financial Statements for additional discussion of this standard and its impact on us.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Collaborative Relationships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Effective January 1, 2009, we adopted a newly issued accounting standard for the accounting and disclosure of an entity’s collaborative arrangements. This newly issued standard prescribes that certain transactions between collaborators be recorded in the income statement on either a gross or net basis, depending on the characteristics of the collaboration relationship. In accordance with this guidance, we must also evaluate our collaborative agreements for proper income statement classification based on the nature of the underlying activity. Amounts due from our collaborative partners related to development activities are generally reflected as a reduction of research and development expense because the performance of contract development services is not central to our operations. For collaborations with commercialized products, if we are the principal we record revenue and the corresponding operating costs in their respective line items within our consolidated statements of income. If we are not the principal, we record operating costs as a reduction of revenue.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Topic of the Codification describes the principal as the party who is responsible for delivering the product or service to the customer, has latitude to determine price, and has the risks and rewards of providing product or service to the customer, including inventory and credit risk.</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As discussed within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Genentech incurs the majority of continuing development cost for RITUXAN. Expenses incurred by Genentech in the development of RITUXAN are not recorded as research and development expense, but rather reduce our share of co-promotion profits recorded as a component of unconsolidated joint business revenue.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Clinical Trial Expenses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Clinical trial expenses include expenses associated with CROs.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 of Variable Interest Entities</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We consolidate variable interest entities in which we are the primary beneficiary. For such consolidated entities where we own less than a 100% interest, we record noncontrolling interest in our statement of income for the current results allocated to the third party equity interests. In determining whether we are the primary beneficiary, we consider a number of factors, including determining the expected losses and residual returns of the technologies being developed pursuant to collaborations and other economic risk and reward of such collaborations.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Discounted cash flow models are typically used in these analyses and these models require the use of significant estimates and assumptions including but not limited to:</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assuming that the research and development efforts will result in an approved commercial product;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projecting timing of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estimating future cash inflows from product sales or funding from partners resulting from completed products and in-process projects;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These factors affect the way we account for certain collaborations. Future events may result in our consolidation of companies or related entities with which we have a collaborative arrangement. The consolidation of variable interest entities may have a material effect on our financial condition and results of operation in future periods.</w:t>
      </w:r>
    </w:p>
    <w:p>
      <w:pPr>
        <w:spacing w:after="0" w:line="59"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 xml:space="preserve">Effective January 1, 2010, a new accounting standard will amend previously issued accounting guidance for the consolidation of variable interest entities and will affect how an enterprise determines whether its variable interest or interests give it a controlling financial interest in a variable interest entity. This new standard may affect how we account for the consolidation of common structures, such as joint ventures, equity method investments, collaboration and other agreements and purchase arrangements. Under this revised guidance, the determination about whether an enterprise should consolidate a variable interest entity is required to be evaluated continuously. Refer to Note 23,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to our Consolidated Financial Statements for additional discussion of this standard and its impact on us.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(FIFO) method. Included in inventory are raw materials used in the production of pre-clinical and clinical products, which are expensed as research and development costs when consumed.</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Capitalization of Inventory Costs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policy is to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constraints and impediments to approval, including safety, efficacy and potential labeling restrictions.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6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expense previously capitalized costs related to pre-approval inventory upon a change in such judgment, due to, among other potential factors, a denial or delay of approval by necessary regulatory bodies. As of December 31, 2009 and 2008, the carrying value of our inventory did not include any costs associated with products that had not yet received regulatory approval.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a risk inherent in these judgments and any changes we make in these judgments may have a material impact on our results in future periods.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Obsolescence and Unmarketable Inventory</w:t>
      </w:r>
    </w:p>
    <w:p>
      <w:pPr>
        <w:spacing w:after="0" w:line="96" w:lineRule="exact"/>
        <w:rPr>
          <w:sz w:val="20"/>
          <w:szCs w:val="20"/>
          <w:color w:val="auto"/>
        </w:rPr>
      </w:pPr>
    </w:p>
    <w:p>
      <w:pPr>
        <w:ind w:left="680" w:right="240" w:firstLine="399"/>
        <w:spacing w:after="0" w:line="285" w:lineRule="auto"/>
        <w:rPr>
          <w:sz w:val="20"/>
          <w:szCs w:val="20"/>
          <w:color w:val="auto"/>
        </w:rPr>
      </w:pPr>
      <w:r>
        <w:rPr>
          <w:rFonts w:ascii="Arial" w:cs="Arial" w:eastAsia="Arial" w:hAnsi="Arial"/>
          <w:sz w:val="12"/>
          <w:szCs w:val="12"/>
          <w:color w:val="auto"/>
        </w:rPr>
        <w:t>We periodically review our inventories for excess or obsolete inventory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or become obsolete due to expiration, we will record a charge to cost of sales to write-down any obsolete or otherwise unmarketable inventory to its estimated net realizable value. In all cases product inventory is carried at the lower of cost or its estimated net realizable value.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invest in various types of securities, including:</w:t>
      </w:r>
    </w:p>
    <w:p>
      <w:pPr>
        <w:spacing w:after="0" w:line="96" w:lineRule="exact"/>
        <w:rPr>
          <w:sz w:val="20"/>
          <w:szCs w:val="20"/>
          <w:color w:val="auto"/>
        </w:rPr>
      </w:pPr>
    </w:p>
    <w:p>
      <w:pPr>
        <w:ind w:left="1280" w:right="20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equity securities in certain publicly-traded biotechnology companies, some of which have collaborative agreements with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equity securities of certain companies whose securities are not publicly traded and where fair value is not readily available;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investment in biotechnology oriented venture capital funds where fair value is not readily available.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investments are accounted for in accordance with accounting standards for certain investments in debt and equity securities.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monitor the financial performance of our portfolio of investments which are subject to concentration limits set within our investment policy to help mitigate and limit the amount of investment exposure as to institution, maturity and investment type. The objectives of this policy are safety of principal, liquidity and yield.</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accordance with the accounting standard for fair value measurements we have classified our financial assets and liabilities as Level 1, 2 or 3 within the fair value hierarchy. Fair values determined by Level 1 inputs utilize quoted prices (unadjusted) in active markets for identical assets or liabilities that we have the ability to access. Fair values determined by Level 2 inputs utilize data points that are observable such as quoted prices, interest rates and yield curves. Fair values determined by Level 3 inputs utilize unobservable data points for the asset or liability.</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As noted in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 our Consolidated Financial Statements, a majority of our financial assets and liabilities have been classified as Level 2. These assets and liabilities have been initially valued at the transaction price and subsequently valued utilizing third 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 party pricing services by understanding the models used, obtaining market values from other pricing sources, analyzing pricing data in certain instances and confirming those securities trade in active markets.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also have some investments classified as Level 3 whose fair value is initially measured at transaction prices and subsequently valued using the pricing of recent financing or by reviewing the underlying economic fundamentals and liquidation value of the companies.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Financial Instruments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Other-than-Temporary Impairments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April 2009, we implemented newly issued accounting standards which provide guidance for the recognition, measurement and presentation of other-than-temporary impairments. This newly issued standard amended the other-than-temporary impairment model for debt securities and requires additional disclosures regarding the calculation of credit losses and the factors considered in reaching a conclusion that an investment is not other-than-temporarily impaired. The impairment model for equity securities was not affected.</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Prior to our adoption of these new accounting standards in April 2009, we recognized all other-than-temporary impairment amounts related to our debt securities in earnings as required under the previously effective guidance which required that management assert that it had the ability and intent to hold a debt security until maturity or until we recovered the cost of our investment. Under the new accounting standards,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expected cash flows to be received must be evaluated to determine if a credit loss has occurred. In the event of a credit loss, only the amount associated with the credit loss is recognized in income. The amount of losses relating to other factors, including those resulting from changes in interest rates, are recorded in accumulated other comprehensive income. The adoption of this guidance did not have a material impact on our financial position or results of operations.</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Evaluating Investments for Other-than-Temporary Impairments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We conduct periodic reviews to identify and evaluate each investment that has an unrealized loss, in accordance with the meaning of other-than-temporary impairment and its application to certain investments, as required under the </w:t>
      </w:r>
      <w:r>
        <w:rPr>
          <w:rFonts w:ascii="Arial" w:cs="Arial" w:eastAsia="Arial" w:hAnsi="Arial"/>
          <w:sz w:val="13"/>
          <w:szCs w:val="13"/>
          <w:i w:val="1"/>
          <w:iCs w:val="1"/>
          <w:color w:val="auto"/>
        </w:rPr>
        <w:t>Investment for Debt and Equity Securities</w:t>
      </w:r>
      <w:r>
        <w:rPr>
          <w:rFonts w:ascii="Arial" w:cs="Arial" w:eastAsia="Arial" w:hAnsi="Arial"/>
          <w:sz w:val="13"/>
          <w:szCs w:val="13"/>
          <w:color w:val="auto"/>
        </w:rPr>
        <w:t xml:space="preserve"> Topic of the Codification.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7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recorded within earnings as an impairment loss.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Regardless of our intent to sell a security, we perform additional analysis on all securities with unrealized losses to evaluate losses associated with the creditworthiness of the security.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losses are identified where we do not expect to receive cash flows sufficient to recover the amortized cost basis of a security.</w:t>
      </w:r>
    </w:p>
    <w:p>
      <w:pPr>
        <w:spacing w:after="0" w:line="8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equity securities, when assessing whether a decline in fair value below our cost basis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recorded within earnings as an impairment loss.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 including Goodwill</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Long-lived Assets Other than Goodwill</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periodically evaluate whether current facts or circumstances indicate that the carrying value of our long-lived assets to be held and used, including property plant and equipment, as well as intangible assets, whenever events or changes in circumstances indicate that the carrying amount of the assets may not be recoverable. Factors we consider that could indicate a change in circumstances include, but are not limited to:</w:t>
      </w:r>
    </w:p>
    <w:p>
      <w:pPr>
        <w:spacing w:after="0" w:line="67"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significant decline in the observable market value of an asset;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significant adverse change in the extent or manner in which an asset is used;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significant adverse change or development in strategy or operations that negatively impact the utilization of our long-lived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significant change in industry or economic trends;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significant underperformance of the asset in relation to historical or projected future operating results;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such circumstances are determined to exist, an estimate of undiscounted future cash flows produced by the long-lived asset, including its eventual residual value, is compared to the carrying value to determine whether impairment exists. In the event that such cash flows are not expected to be sufficient to recover the carrying amount of the assets, the assets are written-down to their estimated fair values.</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Determining whether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We derive the required undiscounted cash flow estimates from our historical experience and our internal business plans.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recognize an impairment charge related to our long-lived assets, other than goodwill, during 2009, 2008 and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 xml:space="preserve">We assess our goodwill balance within our single reporting unit annually and whenever events or changes in circumstances indicate the carrying value of goodwill may not be recoverable in accordance with the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Topic of the Codification to determine whether any impairment in this asset may exist and, if so, the extent of such impairment. The provisions of this guidance require that we perform a two-step impairment test. In the first step, we compare the fair value of our reporting unit to its carrying value. If the carrying value of the net assets assigned to our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the company records an impairment loss equal to the difference.</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calculate the fair value of our reporting unit utilizing both an income approach and a market approach. The income approach utilizes a discounted cash flow model with multiple scenarios for future growth. The discount is calculated based on our cost of capital rate. The market approach utilizes revenue and other metrics from similar publicly traded companies. The results of both fair value calculations are then compared to our reporting unit’s carrying value. We completed our required annual impairment test in the fourth quarter of 2009, 2008 and 2007 and determined in each of those periods that the carrying value of goodwill was not impaired. In each year, the fair value of our reporting unit, which includes goodwill, was significantly in excess of the carry value of our reporting unit.</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determination of the fair value of a reporting unit is judgmental in nature and involves the use of significant estimates and assumptions. The estimates and assumptions used in calculating fair value include identifying future cash flows, which requires that we make a number of critical legal, economic, market and business assumptions that reflect our best estimates as of the testing date. We believe the methods we use to determine these underlying assumptions and estimates are reasonable. Our assumptions and estimates may differ significantly from actual results, or circumstances could change that would cause us to conclude that an impairment now exists or that we previously understated the extent of impairment.</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Acquired Intangible Assets and In-process Research and Development Expenses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acquired, and expect to continue to acquire, intangible assets primarily through the acquisition of biotechnology companies. These intangible assets primarily consist of technology associated with human therapeutic products and in-process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acquired. Discounted cash flow models are typically used in these valuations, and these models require the use of significant estimates and assumptions including but not limited to:</w:t>
      </w:r>
    </w:p>
    <w:p>
      <w:pPr>
        <w:spacing w:after="0" w:line="68"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projecting regulatory approvals;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estimating future cash flows from product sales resulting from completed products and in-process projects;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believe the fair values assigned to the intangible assets acquired are based upon reasonable estimates and assumptions given available facts and circumstances as of the acquisition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dates.</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account for business combinations completed on or after January 1, 2009 in accordance with the revised guidance for accounting for business combinations, which modifies the criteria that must be met to qualify as a business combination and prescribes new accounting requirements, including the accounting treatment associated with acquired IPR&amp;D. Before January 1, 2009 we measured acquired IPR&amp;D at fair value and expensed it on the acquisition date, or capitalized it as intangible assets if certain criteria were met. Effective January 1, 2009, acquired IPR&amp;D is measured at fair value and capitalized as intangible assets and tested for impairment until completion of programs and amortized from the date of completion over its estimated useful life.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6"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We make certain assumptions in order to value and expense our share-based compensation. In connection with valuing stock options and our employee stock purchase plan, we use the Black-Scholes model, which requires us to estimate certain subjective assumptions. The key assumptions we make are: the expected volatility of our stock; the expected term of the award; and the expected forfeiture rate. In connection with our restricted stock programs, we make assumptions principally related to the forfeiture rate. In addition, for our performance-vested restricted stock programs, we estimate the performance factor each period end in order to estimate the actual number of shares that will be earned. For example, performance-vested restricted stock programs are usually based on company performance metrics such as annual revenue and earnings per share. Thus, during the performance period, we estimate our full year revenue and earnings per share and then adjust the performance factor after the completion of the full year.</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New forms of equity awards are expected to be granted to certain employees beginning in 2010: restricted stock units which will vest based on market conditions and performance-vested restricted stock units which will be settled in cash. The market based awards require the use of a binomial model or Monte Carlo simulation for valuation at grant date and include key assumptions such as the expected market price of the company’s stock on the vest date and the expected number of vested shares. The cash settled awards will be marked to market at each period end with fluctuations in value reported through earnings. We will apply forfeiture rate assumptions similar to those utilized by us when accounting for our other share-based compensation programs.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73"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 quarterly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currently involved in various claims and legal proceedings. On a quarterly basis, we review the status of each significant matter and assess its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read Note 23, </w:t>
      </w:r>
      <w:r>
        <w:rPr>
          <w:rFonts w:ascii="Arial" w:cs="Arial" w:eastAsia="Arial" w:hAnsi="Arial"/>
          <w:sz w:val="13"/>
          <w:szCs w:val="13"/>
          <w:i w:val="1"/>
          <w:iCs w:val="1"/>
          <w:color w:val="auto"/>
        </w:rPr>
        <w:t>New Accounting Pronouncements</w:t>
      </w:r>
      <w:r>
        <w:rPr>
          <w:rFonts w:ascii="Arial" w:cs="Arial" w:eastAsia="Arial" w:hAnsi="Arial"/>
          <w:sz w:val="13"/>
          <w:szCs w:val="13"/>
          <w:color w:val="auto"/>
        </w:rPr>
        <w:t xml:space="preserve"> to our Consolidated Financial Statements for a discussion of new accounting standards.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have operations in Canada, Brazil, Argentina, Australia, New Zealand, Japan, China, and India and throughout Europe in connection with the sale of AVONEX and TYSABRI and in Germany in connection with the sale of FUMADERM. We also receive royalty revenues based on worldwide product sales by our licensees and through Genentech on sales of RITUXAN in the rest of world. As a result, our financial position, results of operations and cash flows can be affected by market fluctuations in foreign exchange rates, primarily with respect to the Euro, Danish kroner, Swedish krona, British pound, Japanese yen, Canadian dollar and Swiss franc.</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use foreign currency forward contracts to manage foreign currency risk but do not engage in currency speculation. The majority of our forward contracts are used to hedge certain forecasted revenue transactions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denominated in foreign currencies. We also use forward contracts to mitigate the foreign currency exposure related to certain balance sheet items. We have not elected hedge accounting for the balance sheet related items.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following quantitative information includes the impact of currency movements on forward contracts used in both programs. As of December 31, 2009 and 2008, a hypothetical adverse 10% movement in foreign exchange rates compared to the U.S. dollar across all maturities (for example, a strengthening of the Euro) would result in a hypothetical decrease in the fair value of forward contracts of approximately $64.4 million and $52.4 million, respectively. Our use of this methodology to quantify the market risk of such instruments should not be construed as an endorsement of its accuracy or the accuracy of the related assumptions. The quantitative information about market risk is limited because it does not take into account all foreign currency operating transactions.</w:t>
      </w:r>
    </w:p>
    <w:p>
      <w:pPr>
        <w:spacing w:after="0" w:line="71"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Certain of our debt instruments are variable rate instruments and our interest expense associated with these instruments is, therefore, subject to changes in market interest rates. As of December 31, 2009 and 2008, a 100 basis-point adverse movement (increase in LIBOR) would increase annual interest expense by approximately $0.2 million in each period.</w:t>
      </w:r>
    </w:p>
    <w:p>
      <w:pPr>
        <w:spacing w:after="0" w:line="35"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In addition,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2009 and 2008, we estimate that such hypothetical adverse 100 basis point movement would result in a hypothetical loss in fair value of approximately $16.9 million and $12.2 million, respectively, to our interest rate sensitive instruments.</w:t>
      </w:r>
    </w:p>
    <w:p>
      <w:pPr>
        <w:spacing w:after="0" w:line="3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returns from cash, cash equivalents and marketable securities will vary as short-term interest rates change. A 100 basis-point adverse movement (decrease) in short-term interest rates would decrease interest income by approximately $12.5 million and $11.9 million as of December 31, 2009 and 2008, respectively.</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are exposed to equity price risks on the marketable portion of equity securities included in our portfolio of investments entered into for the promotion of business and strategic objectives. These investments are generally in small capitalization stocks in the biotechnology industry sector. We regularly review the market prices of these investments for impairment purposes. A hypothetical adverse 10% movement in market values would result in a hypothetical loss in fair value of approximately $1.0 million and $0.9 million as of December 31, 2009 and 2008, respectively.</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Consolidated 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8 is contained on pages F-1 through F-65 of this report and is incorporated herein by reference.</w:t>
      </w:r>
    </w:p>
    <w:p>
      <w:pPr>
        <w:spacing w:after="0" w:line="9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 and Internal Control over Financial Reporting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2009.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71" w:lineRule="auto"/>
        <w:rPr>
          <w:sz w:val="20"/>
          <w:szCs w:val="20"/>
          <w:color w:val="auto"/>
        </w:rPr>
      </w:pPr>
      <w:r>
        <w:rPr>
          <w:rFonts w:ascii="Arial" w:cs="Arial" w:eastAsia="Arial" w:hAnsi="Arial"/>
          <w:sz w:val="11"/>
          <w:szCs w:val="11"/>
          <w:color w:val="auto"/>
        </w:rPr>
        <w:t>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There were no changes in our internal control over financial reporting during the quarter ended December 31, 2009 that have materially affected, or are reasonably likely to materially affect, our internal control over financial reporting.</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management is responsible for establishing and maintaining adequate internal control over our financial reporting. Internal control over financial reporting is defined in</w:t>
      </w:r>
    </w:p>
    <w:p>
      <w:pPr>
        <w:spacing w:after="0" w:line="27" w:lineRule="exact"/>
        <w:rPr>
          <w:sz w:val="20"/>
          <w:szCs w:val="20"/>
          <w:color w:val="auto"/>
        </w:rPr>
      </w:pPr>
    </w:p>
    <w:p>
      <w:pPr>
        <w:jc w:val="both"/>
        <w:ind w:left="680" w:right="120"/>
        <w:spacing w:after="0" w:line="256" w:lineRule="auto"/>
        <w:rPr>
          <w:sz w:val="20"/>
          <w:szCs w:val="20"/>
          <w:color w:val="auto"/>
        </w:rPr>
      </w:pPr>
      <w:r>
        <w:rPr>
          <w:rFonts w:ascii="Arial" w:cs="Arial" w:eastAsia="Arial" w:hAnsi="Arial"/>
          <w:sz w:val="13"/>
          <w:szCs w:val="13"/>
          <w:color w:val="auto"/>
        </w:rPr>
        <w:t>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in the U.S. (U.S. GAAP). Our internal control over financial reporting includes those policies and procedures that:</w:t>
      </w:r>
    </w:p>
    <w:p>
      <w:pPr>
        <w:spacing w:after="0" w:line="72"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our transactions and dispositions of our assets;</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49"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our financial statements.</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December 31, 2009. In making this assessment, management used the criteria set forth by the Committee of Sponsoring Organizations of the Treadway Commission (COSO) in Internal Control — Integrated Framework.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our assessment, our management has concluded that, as of December 31, 2009, our internal control over financial reporting is effective based on those criteria.</w:t>
      </w:r>
    </w:p>
    <w:p>
      <w:pPr>
        <w:spacing w:after="0" w:line="10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as of December 31, 2009 has been audited by PricewaterhouseCoopers LLP, an independent registered public accounting firm, as stated in their report, which is included herein.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information concerning our executive officers is set forth under the heading “Our Executive Officers” in Part I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“Board of Directors — Corporate Governance” subsection of the “About Us” section of the site. Disclosure regarding any amendments to, or waivers from, provisions of our code of business conduct, if required, will be included in a Current Report on Form 8-K within four business days following the date of the amendment or waiver, unless website posting of such amendments or waivers is permitted by the rules of The NASDAQ Stock Market, Inc. Our corporate governance principles (also posted on www.biogenidec.com) prohibit our Board of Directors from granting any waiver of the code of ethics for any of our directors or executive officers. We include our website address in this report only as an inactive textual reference and do not intend it to be an active link to our website.</w:t>
      </w:r>
    </w:p>
    <w:p>
      <w:pPr>
        <w:spacing w:after="0" w:line="5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response to the remainder of this item is incorporated by reference from the discussion responsive thereto in the sections entitled “Proposal 1, Election of Directors,” “Stock Ownership — Section 16(a) Beneficial Ownership Reporting Compliance” and “Miscellaneous — Stockholder Proposals” contained in the proxy statement for our 2010 annual meeting of stockholders.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460" w:firstLine="399"/>
        <w:spacing w:after="0" w:line="371" w:lineRule="auto"/>
        <w:rPr>
          <w:sz w:val="20"/>
          <w:szCs w:val="20"/>
          <w:color w:val="auto"/>
        </w:rPr>
      </w:pPr>
      <w:r>
        <w:rPr>
          <w:rFonts w:ascii="Arial" w:cs="Arial" w:eastAsia="Arial" w:hAnsi="Arial"/>
          <w:sz w:val="11"/>
          <w:szCs w:val="11"/>
          <w:color w:val="auto"/>
        </w:rPr>
        <w:t>The response to this item is incorporated by reference from the discussion responsive thereto in the sections entitled “Executive Compensation and Related Information” and “Proposal 1, Election of Directors — Compensation Committee Interlocks and Insider Participation” contained in the proxy statement for our 2010 annual meeting of stockholders.</w:t>
      </w:r>
    </w:p>
    <w:p>
      <w:pPr>
        <w:spacing w:after="0" w:line="8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sections entitled “Stock Ownership” and “Disclosure with Respect to our Equity Compensation Plans” contained in the proxy statement for our 2010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sections entitled “Certain Relationships and Related Person Transactions” and “Proposal 1, Election of Directors — Director Independence” contained in the proxy statement for our 2010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 entitled “Proposal 2, Ratification of the Selection of our Independent Registered Public Accounting Firm” contained in the proxy statement for our 2010 annual meeting of stockholders.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60" w:type="dxa"/>
            <w:vAlign w:val="bottom"/>
          </w:tcPr>
          <w:p>
            <w:pPr>
              <w:ind w:left="4060"/>
              <w:spacing w:after="0"/>
              <w:rPr>
                <w:sz w:val="20"/>
                <w:szCs w:val="20"/>
                <w:color w:val="auto"/>
              </w:rPr>
            </w:pPr>
            <w:r>
              <w:rPr>
                <w:rFonts w:ascii="Arial" w:cs="Arial" w:eastAsia="Arial" w:hAnsi="Arial"/>
                <w:sz w:val="13"/>
                <w:szCs w:val="13"/>
                <w:b w:val="1"/>
                <w:bCs w:val="1"/>
                <w:color w:val="auto"/>
              </w:rPr>
              <w:t>PART IV</w:t>
            </w:r>
          </w:p>
        </w:tc>
        <w:tc>
          <w:tcPr>
            <w:tcW w:w="1240" w:type="dxa"/>
            <w:vAlign w:val="bottom"/>
          </w:tcPr>
          <w:p>
            <w:pPr>
              <w:spacing w:after="0"/>
              <w:rPr>
                <w:sz w:val="14"/>
                <w:szCs w:val="14"/>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806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Exhibits, Financial Statement Schedules</w:t>
            </w:r>
          </w:p>
        </w:tc>
        <w:tc>
          <w:tcPr>
            <w:tcW w:w="1240" w:type="dxa"/>
            <w:vAlign w:val="bottom"/>
          </w:tcPr>
          <w:p>
            <w:pPr>
              <w:spacing w:after="0"/>
              <w:rPr>
                <w:sz w:val="24"/>
                <w:szCs w:val="24"/>
                <w:color w:val="auto"/>
              </w:rPr>
            </w:pPr>
          </w:p>
        </w:tc>
      </w:tr>
      <w:tr>
        <w:trPr>
          <w:trHeight w:val="246"/>
        </w:trPr>
        <w:tc>
          <w:tcPr>
            <w:tcW w:w="8740" w:type="dxa"/>
            <w:vAlign w:val="bottom"/>
            <w:gridSpan w:val="3"/>
          </w:tcPr>
          <w:p>
            <w:pPr>
              <w:spacing w:after="0"/>
              <w:rPr>
                <w:sz w:val="20"/>
                <w:szCs w:val="20"/>
                <w:color w:val="auto"/>
              </w:rPr>
            </w:pPr>
            <w:r>
              <w:rPr>
                <w:rFonts w:ascii="Arial" w:cs="Arial" w:eastAsia="Arial" w:hAnsi="Arial"/>
                <w:sz w:val="13"/>
                <w:szCs w:val="13"/>
                <w:color w:val="auto"/>
              </w:rPr>
              <w:t xml:space="preserve">a. (1) </w:t>
            </w:r>
            <w:r>
              <w:rPr>
                <w:rFonts w:ascii="Arial" w:cs="Arial" w:eastAsia="Arial" w:hAnsi="Arial"/>
                <w:sz w:val="13"/>
                <w:szCs w:val="13"/>
                <w:i w:val="1"/>
                <w:iCs w:val="1"/>
                <w:color w:val="auto"/>
              </w:rPr>
              <w:t>Consolidated Financial Statements:</w:t>
            </w:r>
          </w:p>
        </w:tc>
        <w:tc>
          <w:tcPr>
            <w:tcW w:w="1240" w:type="dxa"/>
            <w:vAlign w:val="bottom"/>
          </w:tcPr>
          <w:p>
            <w:pPr>
              <w:spacing w:after="0"/>
              <w:rPr>
                <w:sz w:val="21"/>
                <w:szCs w:val="21"/>
                <w:color w:val="auto"/>
              </w:rPr>
            </w:pPr>
          </w:p>
        </w:tc>
      </w:tr>
      <w:tr>
        <w:trPr>
          <w:trHeight w:val="246"/>
        </w:trPr>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tcPr>
          <w:p>
            <w:pPr>
              <w:ind w:left="300"/>
              <w:spacing w:after="0"/>
              <w:rPr>
                <w:sz w:val="20"/>
                <w:szCs w:val="20"/>
                <w:color w:val="auto"/>
              </w:rPr>
            </w:pPr>
            <w:r>
              <w:rPr>
                <w:rFonts w:ascii="Arial" w:cs="Arial" w:eastAsia="Arial" w:hAnsi="Arial"/>
                <w:sz w:val="13"/>
                <w:szCs w:val="13"/>
                <w:color w:val="auto"/>
              </w:rPr>
              <w:t>The financial statements required to be filed by Item 8 of this report and filed in this Item 15, are as follows:</w:t>
            </w:r>
          </w:p>
        </w:tc>
        <w:tc>
          <w:tcPr>
            <w:tcW w:w="1240" w:type="dxa"/>
            <w:vAlign w:val="bottom"/>
          </w:tcPr>
          <w:p>
            <w:pPr>
              <w:spacing w:after="0"/>
              <w:rPr>
                <w:sz w:val="21"/>
                <w:szCs w:val="21"/>
                <w:color w:val="auto"/>
              </w:rPr>
            </w:pPr>
          </w:p>
        </w:tc>
      </w:tr>
      <w:tr>
        <w:trPr>
          <w:trHeight w:val="296"/>
        </w:trPr>
        <w:tc>
          <w:tcPr>
            <w:tcW w:w="8740" w:type="dxa"/>
            <w:vAlign w:val="bottom"/>
            <w:gridSpan w:val="3"/>
          </w:tcPr>
          <w:p>
            <w:pPr>
              <w:spacing w:after="0"/>
              <w:rPr>
                <w:sz w:val="20"/>
                <w:szCs w:val="20"/>
                <w:color w:val="auto"/>
              </w:rPr>
            </w:pPr>
            <w:r>
              <w:rPr>
                <w:rFonts w:ascii="Arial" w:cs="Arial" w:eastAsia="Arial" w:hAnsi="Arial"/>
                <w:sz w:val="10"/>
                <w:szCs w:val="10"/>
                <w:b w:val="1"/>
                <w:bCs w:val="1"/>
                <w:color w:val="auto"/>
              </w:rPr>
              <w:t>Financial Statements</w:t>
            </w:r>
          </w:p>
        </w:tc>
        <w:tc>
          <w:tcPr>
            <w:tcW w:w="1240" w:type="dxa"/>
            <w:vAlign w:val="bottom"/>
          </w:tcPr>
          <w:p>
            <w:pPr>
              <w:jc w:val="right"/>
              <w:ind w:right="236"/>
              <w:spacing w:after="0"/>
              <w:rPr>
                <w:sz w:val="20"/>
                <w:szCs w:val="20"/>
                <w:color w:val="auto"/>
              </w:rPr>
            </w:pPr>
            <w:r>
              <w:rPr>
                <w:rFonts w:ascii="Arial" w:cs="Arial" w:eastAsia="Arial" w:hAnsi="Arial"/>
                <w:sz w:val="10"/>
                <w:szCs w:val="10"/>
                <w:b w:val="1"/>
                <w:bCs w:val="1"/>
                <w:color w:val="auto"/>
              </w:rPr>
              <w:t>Page Number</w:t>
            </w:r>
          </w:p>
        </w:tc>
      </w:tr>
      <w:tr>
        <w:trPr>
          <w:trHeight w:val="20"/>
        </w:trPr>
        <w:tc>
          <w:tcPr>
            <w:tcW w:w="100" w:type="dxa"/>
            <w:vAlign w:val="bottom"/>
            <w:shd w:val="clear" w:color="auto" w:fill="000000"/>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78"/>
        </w:trPr>
        <w:tc>
          <w:tcPr>
            <w:tcW w:w="8740" w:type="dxa"/>
            <w:vAlign w:val="bottom"/>
            <w:gridSpan w:val="3"/>
          </w:tcPr>
          <w:p>
            <w:pPr>
              <w:spacing w:after="0"/>
              <w:rPr>
                <w:sz w:val="20"/>
                <w:szCs w:val="20"/>
                <w:color w:val="auto"/>
              </w:rPr>
            </w:pPr>
            <w:r>
              <w:rPr>
                <w:rFonts w:ascii="Arial" w:cs="Arial" w:eastAsia="Arial" w:hAnsi="Arial"/>
                <w:sz w:val="13"/>
                <w:szCs w:val="13"/>
                <w:color w:val="auto"/>
              </w:rPr>
              <w:t>Consolidated Statements of Income</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F-2</w:t>
            </w:r>
          </w:p>
        </w:tc>
      </w:tr>
      <w:tr>
        <w:trPr>
          <w:trHeight w:val="157"/>
        </w:trPr>
        <w:tc>
          <w:tcPr>
            <w:tcW w:w="8740" w:type="dxa"/>
            <w:vAlign w:val="bottom"/>
            <w:gridSpan w:val="3"/>
          </w:tcPr>
          <w:p>
            <w:pPr>
              <w:spacing w:after="0"/>
              <w:rPr>
                <w:sz w:val="20"/>
                <w:szCs w:val="20"/>
                <w:color w:val="auto"/>
              </w:rPr>
            </w:pPr>
            <w:r>
              <w:rPr>
                <w:rFonts w:ascii="Arial" w:cs="Arial" w:eastAsia="Arial" w:hAnsi="Arial"/>
                <w:sz w:val="13"/>
                <w:szCs w:val="13"/>
                <w:color w:val="auto"/>
              </w:rPr>
              <w:t>Consolidated Balance Sheets</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F-3</w:t>
            </w:r>
          </w:p>
        </w:tc>
      </w:tr>
      <w:tr>
        <w:trPr>
          <w:trHeight w:val="157"/>
        </w:trPr>
        <w:tc>
          <w:tcPr>
            <w:tcW w:w="8740" w:type="dxa"/>
            <w:vAlign w:val="bottom"/>
            <w:gridSpan w:val="3"/>
          </w:tcPr>
          <w:p>
            <w:pPr>
              <w:spacing w:after="0"/>
              <w:rPr>
                <w:sz w:val="20"/>
                <w:szCs w:val="20"/>
                <w:color w:val="auto"/>
              </w:rPr>
            </w:pPr>
            <w:r>
              <w:rPr>
                <w:rFonts w:ascii="Arial" w:cs="Arial" w:eastAsia="Arial" w:hAnsi="Arial"/>
                <w:sz w:val="13"/>
                <w:szCs w:val="13"/>
                <w:color w:val="auto"/>
              </w:rPr>
              <w:t>Consolidated Statements of Cash Flows</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F-4</w:t>
            </w:r>
          </w:p>
        </w:tc>
      </w:tr>
      <w:tr>
        <w:trPr>
          <w:trHeight w:val="157"/>
        </w:trPr>
        <w:tc>
          <w:tcPr>
            <w:tcW w:w="8740" w:type="dxa"/>
            <w:vAlign w:val="bottom"/>
            <w:gridSpan w:val="3"/>
          </w:tcPr>
          <w:p>
            <w:pPr>
              <w:spacing w:after="0"/>
              <w:rPr>
                <w:sz w:val="20"/>
                <w:szCs w:val="20"/>
                <w:color w:val="auto"/>
              </w:rPr>
            </w:pPr>
            <w:r>
              <w:rPr>
                <w:rFonts w:ascii="Arial" w:cs="Arial" w:eastAsia="Arial" w:hAnsi="Arial"/>
                <w:sz w:val="13"/>
                <w:szCs w:val="13"/>
                <w:color w:val="auto"/>
              </w:rPr>
              <w:t>Consolidated Statements of Shareholders’ Equity</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F-5</w:t>
            </w:r>
          </w:p>
        </w:tc>
      </w:tr>
      <w:tr>
        <w:trPr>
          <w:trHeight w:val="157"/>
        </w:trPr>
        <w:tc>
          <w:tcPr>
            <w:tcW w:w="8740" w:type="dxa"/>
            <w:vAlign w:val="bottom"/>
            <w:gridSpan w:val="3"/>
          </w:tcPr>
          <w:p>
            <w:pPr>
              <w:spacing w:after="0"/>
              <w:rPr>
                <w:sz w:val="20"/>
                <w:szCs w:val="20"/>
                <w:color w:val="auto"/>
              </w:rPr>
            </w:pPr>
            <w:r>
              <w:rPr>
                <w:rFonts w:ascii="Arial" w:cs="Arial" w:eastAsia="Arial" w:hAnsi="Arial"/>
                <w:sz w:val="13"/>
                <w:szCs w:val="13"/>
                <w:color w:val="auto"/>
              </w:rPr>
              <w:t>Notes to Consolidated Financial Statements</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F-7</w:t>
            </w:r>
          </w:p>
        </w:tc>
      </w:tr>
      <w:tr>
        <w:trPr>
          <w:trHeight w:val="165"/>
        </w:trPr>
        <w:tc>
          <w:tcPr>
            <w:tcW w:w="8740" w:type="dxa"/>
            <w:vAlign w:val="bottom"/>
            <w:gridSpan w:val="3"/>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F-64</w:t>
            </w:r>
          </w:p>
        </w:tc>
      </w:tr>
    </w:tbl>
    <w:p>
      <w:pPr>
        <w:spacing w:after="0" w:line="8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Schedules are omitted because they are not applicable, or are not required, or because the information is included in the consolidated financial statements and notes thereto.</w:t>
      </w:r>
    </w:p>
    <w:p>
      <w:pPr>
        <w:spacing w:after="0" w:line="119" w:lineRule="exact"/>
        <w:rPr>
          <w:sz w:val="20"/>
          <w:szCs w:val="20"/>
          <w:color w:val="auto"/>
        </w:rPr>
      </w:pPr>
    </w:p>
    <w:p>
      <w:pPr>
        <w:ind w:left="420" w:hanging="181"/>
        <w:spacing w:after="0"/>
        <w:tabs>
          <w:tab w:leader="none" w:pos="42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600" w:right="140" w:firstLine="375"/>
        <w:spacing w:after="0" w:line="276" w:lineRule="auto"/>
        <w:rPr>
          <w:sz w:val="20"/>
          <w:szCs w:val="20"/>
          <w:color w:val="auto"/>
        </w:rPr>
      </w:pPr>
      <w:r>
        <w:rPr>
          <w:rFonts w:ascii="Arial" w:cs="Arial" w:eastAsia="Arial" w:hAnsi="Arial"/>
          <w:sz w:val="13"/>
          <w:szCs w:val="13"/>
          <w:color w:val="auto"/>
        </w:rPr>
        <w:t>The exhibits which are filed or furnished with this report or which are incorporated herein by reference are set forth in the Exhibit Index beginning on page A-1, which is incorporated herein by reference.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 and President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9, 2010</w:t>
      </w:r>
    </w:p>
    <w:p>
      <w:pPr>
        <w:spacing w:after="0" w:line="96"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Pursuant to the requirements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940" w:val="left"/>
          <w:tab w:leader="none" w:pos="990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Director, Chief Executive Officer and President (principal executive</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James C. Mullen</w:t>
            </w:r>
          </w:p>
        </w:tc>
        <w:tc>
          <w:tcPr>
            <w:tcW w:w="4320" w:type="dxa"/>
            <w:vAlign w:val="bottom"/>
          </w:tcPr>
          <w:p>
            <w:pPr>
              <w:jc w:val="center"/>
              <w:spacing w:after="0" w:line="145" w:lineRule="exact"/>
              <w:rPr>
                <w:sz w:val="20"/>
                <w:szCs w:val="20"/>
                <w:color w:val="auto"/>
              </w:rPr>
            </w:pPr>
            <w:r>
              <w:rPr>
                <w:rFonts w:ascii="Arial" w:cs="Arial" w:eastAsia="Arial" w:hAnsi="Arial"/>
                <w:sz w:val="13"/>
                <w:szCs w:val="13"/>
                <w:color w:val="auto"/>
              </w:rPr>
              <w:t>officer)</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Executive Vice President, Finance and Chief Financial Officer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Paul J. Clancy</w:t>
            </w:r>
          </w:p>
        </w:tc>
        <w:tc>
          <w:tcPr>
            <w:tcW w:w="432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financial officer)</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F. M</w:t>
            </w:r>
            <w:r>
              <w:rPr>
                <w:rFonts w:ascii="Arial" w:cs="Arial" w:eastAsia="Arial" w:hAnsi="Arial"/>
                <w:sz w:val="8"/>
                <w:szCs w:val="8"/>
                <w:color w:val="auto"/>
              </w:rPr>
              <w:t>AC</w:t>
            </w:r>
            <w:r>
              <w:rPr>
                <w:rFonts w:ascii="Arial" w:cs="Arial" w:eastAsia="Arial" w:hAnsi="Arial"/>
                <w:sz w:val="13"/>
                <w:szCs w:val="13"/>
                <w:color w:val="auto"/>
              </w:rPr>
              <w:t>L</w:t>
            </w:r>
            <w:r>
              <w:rPr>
                <w:rFonts w:ascii="Arial" w:cs="Arial" w:eastAsia="Arial" w:hAnsi="Arial"/>
                <w:sz w:val="8"/>
                <w:szCs w:val="8"/>
                <w:color w:val="auto"/>
              </w:rPr>
              <w:t>EAN</w:t>
            </w:r>
          </w:p>
        </w:tc>
        <w:tc>
          <w:tcPr>
            <w:tcW w:w="4320" w:type="dxa"/>
            <w:vAlign w:val="bottom"/>
          </w:tcPr>
          <w:p>
            <w:pPr>
              <w:jc w:val="center"/>
              <w:spacing w:after="0"/>
              <w:rPr>
                <w:sz w:val="20"/>
                <w:szCs w:val="20"/>
                <w:color w:val="auto"/>
              </w:rPr>
            </w:pPr>
            <w:r>
              <w:rPr>
                <w:rFonts w:ascii="Arial" w:cs="Arial" w:eastAsia="Arial" w:hAnsi="Arial"/>
                <w:sz w:val="13"/>
                <w:szCs w:val="13"/>
                <w:color w:val="auto"/>
                <w:w w:val="93"/>
              </w:rPr>
              <w:t>Senior Vice President and Chief Accounting Officer (principal</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Michael F. MacLean</w:t>
            </w:r>
          </w:p>
        </w:tc>
        <w:tc>
          <w:tcPr>
            <w:tcW w:w="4320" w:type="dxa"/>
            <w:vAlign w:val="bottom"/>
          </w:tcPr>
          <w:p>
            <w:pPr>
              <w:jc w:val="center"/>
              <w:spacing w:after="0" w:line="145" w:lineRule="exact"/>
              <w:rPr>
                <w:sz w:val="20"/>
                <w:szCs w:val="20"/>
                <w:color w:val="auto"/>
              </w:rPr>
            </w:pPr>
            <w:r>
              <w:rPr>
                <w:rFonts w:ascii="Arial" w:cs="Arial" w:eastAsia="Arial" w:hAnsi="Arial"/>
                <w:sz w:val="13"/>
                <w:szCs w:val="13"/>
                <w:color w:val="auto"/>
                <w:w w:val="94"/>
              </w:rPr>
              <w:t>accounting officer)</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D. Y</w:t>
            </w:r>
            <w:r>
              <w:rPr>
                <w:rFonts w:ascii="Arial" w:cs="Arial" w:eastAsia="Arial" w:hAnsi="Arial"/>
                <w:sz w:val="8"/>
                <w:szCs w:val="8"/>
                <w:color w:val="auto"/>
              </w:rPr>
              <w:t>OUNG</w:t>
            </w: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Director and Chairman of the Board of Directors</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William D. Young</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LEXANDER</w:t>
            </w:r>
            <w:r>
              <w:rPr>
                <w:rFonts w:ascii="Arial" w:cs="Arial" w:eastAsia="Arial" w:hAnsi="Arial"/>
                <w:sz w:val="13"/>
                <w:szCs w:val="13"/>
                <w:color w:val="auto"/>
              </w:rPr>
              <w:t xml:space="preserve"> J. D</w:t>
            </w:r>
            <w:r>
              <w:rPr>
                <w:rFonts w:ascii="Arial" w:cs="Arial" w:eastAsia="Arial" w:hAnsi="Arial"/>
                <w:sz w:val="8"/>
                <w:szCs w:val="8"/>
                <w:color w:val="auto"/>
              </w:rPr>
              <w:t>ENNER</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Alexander J. Denner</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AROLINE</w:t>
            </w:r>
            <w:r>
              <w:rPr>
                <w:rFonts w:ascii="Arial" w:cs="Arial" w:eastAsia="Arial" w:hAnsi="Arial"/>
                <w:sz w:val="13"/>
                <w:szCs w:val="13"/>
                <w:color w:val="auto"/>
              </w:rPr>
              <w:t xml:space="preserve"> D. D</w:t>
            </w:r>
            <w:r>
              <w:rPr>
                <w:rFonts w:ascii="Arial" w:cs="Arial" w:eastAsia="Arial" w:hAnsi="Arial"/>
                <w:sz w:val="8"/>
                <w:szCs w:val="8"/>
                <w:color w:val="auto"/>
              </w:rPr>
              <w:t>ORSA</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Caroline D. Dorsa</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w:t>
            </w:r>
            <w:r>
              <w:rPr>
                <w:rFonts w:ascii="Arial" w:cs="Arial" w:eastAsia="Arial" w:hAnsi="Arial"/>
                <w:sz w:val="8"/>
                <w:szCs w:val="8"/>
                <w:color w:val="auto"/>
              </w:rPr>
              <w:t>ANCY</w:t>
            </w:r>
            <w:r>
              <w:rPr>
                <w:rFonts w:ascii="Arial" w:cs="Arial" w:eastAsia="Arial" w:hAnsi="Arial"/>
                <w:sz w:val="13"/>
                <w:szCs w:val="13"/>
                <w:color w:val="auto"/>
              </w:rPr>
              <w:t xml:space="preserve"> L. L</w:t>
            </w:r>
            <w:r>
              <w:rPr>
                <w:rFonts w:ascii="Arial" w:cs="Arial" w:eastAsia="Arial" w:hAnsi="Arial"/>
                <w:sz w:val="8"/>
                <w:szCs w:val="8"/>
                <w:color w:val="auto"/>
              </w:rPr>
              <w:t>EAMING</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Nancy L. Leaming</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4120" w:type="dxa"/>
            <w:vAlign w:val="bottom"/>
            <w:tcBorders>
              <w:bottom w:val="single" w:sz="8" w:color="auto"/>
            </w:tcBorders>
            <w:gridSpan w:val="2"/>
          </w:tcPr>
          <w:p>
            <w:pPr>
              <w:spacing w:after="0"/>
              <w:rPr>
                <w:sz w:val="13"/>
                <w:szCs w:val="13"/>
                <w:color w:val="auto"/>
              </w:rPr>
            </w:pPr>
          </w:p>
        </w:tc>
        <w:tc>
          <w:tcPr>
            <w:tcW w:w="4320" w:type="dxa"/>
            <w:vAlign w:val="bottom"/>
            <w:vMerge w:val="restart"/>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Richard C. Mulligan</w:t>
            </w:r>
          </w:p>
        </w:tc>
        <w:tc>
          <w:tcPr>
            <w:tcW w:w="432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OBERT</w:t>
            </w:r>
            <w:r>
              <w:rPr>
                <w:rFonts w:ascii="Arial" w:cs="Arial" w:eastAsia="Arial" w:hAnsi="Arial"/>
                <w:sz w:val="13"/>
                <w:szCs w:val="13"/>
                <w:color w:val="auto"/>
              </w:rPr>
              <w:t xml:space="preserve"> W. P</w:t>
            </w:r>
            <w:r>
              <w:rPr>
                <w:rFonts w:ascii="Arial" w:cs="Arial" w:eastAsia="Arial" w:hAnsi="Arial"/>
                <w:sz w:val="8"/>
                <w:szCs w:val="8"/>
                <w:color w:val="auto"/>
              </w:rPr>
              <w:t>ANGIA</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Robert W. Pangia</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TELIOS</w:t>
            </w:r>
            <w:r>
              <w:rPr>
                <w:rFonts w:ascii="Arial" w:cs="Arial" w:eastAsia="Arial" w:hAnsi="Arial"/>
                <w:sz w:val="13"/>
                <w:szCs w:val="13"/>
                <w:color w:val="auto"/>
              </w:rPr>
              <w:t xml:space="preserve"> P</w:t>
            </w:r>
            <w:r>
              <w:rPr>
                <w:rFonts w:ascii="Arial" w:cs="Arial" w:eastAsia="Arial" w:hAnsi="Arial"/>
                <w:sz w:val="8"/>
                <w:szCs w:val="8"/>
                <w:color w:val="auto"/>
              </w:rPr>
              <w:t>APADOPOULOS</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9, 2010</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Stelios Papadopoulos</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20" w:type="dxa"/>
            <w:vAlign w:val="bottom"/>
          </w:tcPr>
          <w:p>
            <w:pPr>
              <w:jc w:val="right"/>
              <w:ind w:right="3314"/>
              <w:spacing w:after="0"/>
              <w:rPr>
                <w:sz w:val="20"/>
                <w:szCs w:val="20"/>
                <w:color w:val="auto"/>
              </w:rPr>
            </w:pPr>
            <w:r>
              <w:rPr>
                <w:rFonts w:ascii="Arial" w:cs="Arial" w:eastAsia="Arial" w:hAnsi="Arial"/>
                <w:sz w:val="13"/>
                <w:szCs w:val="13"/>
                <w:color w:val="auto"/>
              </w:rPr>
              <w:t>66</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6940" w:val="left"/>
          <w:tab w:leader="none" w:pos="990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RIAN</w:t>
            </w:r>
            <w:r>
              <w:rPr>
                <w:rFonts w:ascii="Arial" w:cs="Arial" w:eastAsia="Arial" w:hAnsi="Arial"/>
                <w:sz w:val="13"/>
                <w:szCs w:val="13"/>
                <w:color w:val="auto"/>
              </w:rPr>
              <w:t xml:space="preserve"> S. P</w:t>
            </w:r>
            <w:r>
              <w:rPr>
                <w:rFonts w:ascii="Arial" w:cs="Arial" w:eastAsia="Arial" w:hAnsi="Arial"/>
                <w:sz w:val="8"/>
                <w:szCs w:val="8"/>
                <w:color w:val="auto"/>
              </w:rPr>
              <w:t>OSNER</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9, 2010</w:t>
            </w:r>
          </w:p>
        </w:tc>
      </w:tr>
      <w:tr>
        <w:trPr>
          <w:trHeight w:val="160"/>
        </w:trPr>
        <w:tc>
          <w:tcPr>
            <w:tcW w:w="8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Brian S. Posner</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820" w:type="dxa"/>
            <w:vAlign w:val="bottom"/>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RUCE</w:t>
            </w:r>
            <w:r>
              <w:rPr>
                <w:rFonts w:ascii="Arial" w:cs="Arial" w:eastAsia="Arial" w:hAnsi="Arial"/>
                <w:sz w:val="13"/>
                <w:szCs w:val="13"/>
                <w:color w:val="auto"/>
              </w:rPr>
              <w:t xml:space="preserve"> R. R</w:t>
            </w:r>
            <w:r>
              <w:rPr>
                <w:rFonts w:ascii="Arial" w:cs="Arial" w:eastAsia="Arial" w:hAnsi="Arial"/>
                <w:sz w:val="8"/>
                <w:szCs w:val="8"/>
                <w:color w:val="auto"/>
              </w:rPr>
              <w:t>OSS</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9, 2010</w:t>
            </w:r>
          </w:p>
        </w:tc>
      </w:tr>
      <w:tr>
        <w:trPr>
          <w:trHeight w:val="160"/>
        </w:trPr>
        <w:tc>
          <w:tcPr>
            <w:tcW w:w="8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Bruce R. Ross</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820" w:type="dxa"/>
            <w:vAlign w:val="bottom"/>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w:t>
            </w:r>
            <w:r>
              <w:rPr>
                <w:rFonts w:ascii="Arial" w:cs="Arial" w:eastAsia="Arial" w:hAnsi="Arial"/>
                <w:sz w:val="8"/>
                <w:szCs w:val="8"/>
                <w:color w:val="auto"/>
              </w:rPr>
              <w:t>YNN</w:t>
            </w:r>
            <w:r>
              <w:rPr>
                <w:rFonts w:ascii="Arial" w:cs="Arial" w:eastAsia="Arial" w:hAnsi="Arial"/>
                <w:sz w:val="13"/>
                <w:szCs w:val="13"/>
                <w:color w:val="auto"/>
              </w:rPr>
              <w:t xml:space="preserve"> S</w:t>
            </w:r>
            <w:r>
              <w:rPr>
                <w:rFonts w:ascii="Arial" w:cs="Arial" w:eastAsia="Arial" w:hAnsi="Arial"/>
                <w:sz w:val="8"/>
                <w:szCs w:val="8"/>
                <w:color w:val="auto"/>
              </w:rPr>
              <w:t>CHENK</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9, 2010</w:t>
            </w:r>
          </w:p>
        </w:tc>
      </w:tr>
      <w:tr>
        <w:trPr>
          <w:trHeight w:val="160"/>
        </w:trPr>
        <w:tc>
          <w:tcPr>
            <w:tcW w:w="8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Lynn Schenk</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434"/>
        </w:trPr>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540" w:type="dxa"/>
            <w:vAlign w:val="bottom"/>
          </w:tcPr>
          <w:p>
            <w:pPr>
              <w:jc w:val="right"/>
              <w:ind w:right="2534"/>
              <w:spacing w:after="0"/>
              <w:rPr>
                <w:sz w:val="20"/>
                <w:szCs w:val="20"/>
                <w:color w:val="auto"/>
              </w:rPr>
            </w:pPr>
            <w:r>
              <w:rPr>
                <w:rFonts w:ascii="Arial" w:cs="Arial" w:eastAsia="Arial" w:hAnsi="Arial"/>
                <w:sz w:val="13"/>
                <w:szCs w:val="13"/>
                <w:color w:val="auto"/>
              </w:rPr>
              <w:t>67</w:t>
            </w:r>
          </w:p>
        </w:tc>
        <w:tc>
          <w:tcPr>
            <w:tcW w:w="3120" w:type="dxa"/>
            <w:vAlign w:val="bottom"/>
          </w:tcPr>
          <w:p>
            <w:pPr>
              <w:spacing w:after="0"/>
              <w:rPr>
                <w:sz w:val="24"/>
                <w:szCs w:val="24"/>
                <w:color w:val="auto"/>
              </w:rPr>
            </w:pPr>
          </w:p>
        </w:tc>
      </w:tr>
      <w:tr>
        <w:trPr>
          <w:trHeight w:val="163"/>
        </w:trPr>
        <w:tc>
          <w:tcPr>
            <w:tcW w:w="82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20" w:type="dxa"/>
            <w:vAlign w:val="bottom"/>
            <w:gridSpan w:val="2"/>
          </w:tcPr>
          <w:p>
            <w:pPr>
              <w:jc w:val="center"/>
              <w:ind w:right="3296"/>
              <w:spacing w:after="0"/>
              <w:rPr>
                <w:sz w:val="20"/>
                <w:szCs w:val="20"/>
                <w:color w:val="auto"/>
              </w:rPr>
            </w:pPr>
            <w:r>
              <w:rPr>
                <w:rFonts w:ascii="Arial" w:cs="Arial" w:eastAsia="Arial" w:hAnsi="Arial"/>
                <w:sz w:val="13"/>
                <w:szCs w:val="13"/>
                <w:b w:val="1"/>
                <w:bCs w:val="1"/>
                <w:color w:val="auto"/>
              </w:rPr>
              <w:t>BIOGEN IDEC INC. AND SUBSIDIARIES</w:t>
            </w: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20" w:type="dxa"/>
            <w:vAlign w:val="bottom"/>
            <w:gridSpan w:val="2"/>
          </w:tcPr>
          <w:p>
            <w:pPr>
              <w:jc w:val="center"/>
              <w:ind w:right="3296"/>
              <w:spacing w:after="0"/>
              <w:rPr>
                <w:sz w:val="20"/>
                <w:szCs w:val="20"/>
                <w:color w:val="auto"/>
              </w:rPr>
            </w:pPr>
            <w:r>
              <w:rPr>
                <w:rFonts w:ascii="Arial" w:cs="Arial" w:eastAsia="Arial" w:hAnsi="Arial"/>
                <w:sz w:val="13"/>
                <w:szCs w:val="13"/>
                <w:b w:val="1"/>
                <w:bCs w:val="1"/>
                <w:color w:val="auto"/>
              </w:rPr>
              <w:t>CONSOLIDATED FINANCIAL STATEMENTS</w:t>
            </w: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18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74">
              <w:r>
                <w:rPr>
                  <w:rFonts w:ascii="Arial" w:cs="Arial" w:eastAsia="Arial" w:hAnsi="Arial"/>
                  <w:sz w:val="13"/>
                  <w:szCs w:val="13"/>
                  <w:color w:val="0000EE"/>
                  <w:w w:val="90"/>
                </w:rPr>
                <w:t>Consolidated Statements of Income</w:t>
              </w:r>
            </w:hyperlink>
          </w:p>
        </w:tc>
        <w:tc>
          <w:tcPr>
            <w:tcW w:w="1480" w:type="dxa"/>
            <w:vAlign w:val="bottom"/>
            <w:gridSpan w:val="5"/>
          </w:tcPr>
          <w:p>
            <w:pPr>
              <w:spacing w:after="0"/>
              <w:rPr>
                <w:sz w:val="13"/>
                <w:szCs w:val="13"/>
                <w:color w:val="auto"/>
              </w:rPr>
            </w:pPr>
          </w:p>
        </w:tc>
        <w:tc>
          <w:tcPr>
            <w:tcW w:w="6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Consolidated Balance Sheets</w:t>
              </w:r>
            </w:hyperlink>
          </w:p>
        </w:tc>
        <w:tc>
          <w:tcPr>
            <w:tcW w:w="624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Consolidated Statements of Cash Flows</w:t>
              </w:r>
            </w:hyperlink>
          </w:p>
        </w:tc>
        <w:tc>
          <w:tcPr>
            <w:tcW w:w="1260" w:type="dxa"/>
            <w:vAlign w:val="bottom"/>
            <w:gridSpan w:val="4"/>
          </w:tcPr>
          <w:p>
            <w:pPr>
              <w:spacing w:after="0"/>
              <w:rPr>
                <w:sz w:val="11"/>
                <w:szCs w:val="11"/>
                <w:color w:val="auto"/>
              </w:rPr>
            </w:pPr>
          </w:p>
        </w:tc>
        <w:tc>
          <w:tcPr>
            <w:tcW w:w="624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Consolidated Statements of Shareholders’ Equity</w:t>
              </w:r>
            </w:hyperlink>
          </w:p>
        </w:tc>
        <w:tc>
          <w:tcPr>
            <w:tcW w:w="624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5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Notes to Consolidated Financial Statements</w:t>
              </w:r>
            </w:hyperlink>
          </w:p>
        </w:tc>
        <w:tc>
          <w:tcPr>
            <w:tcW w:w="780" w:type="dxa"/>
            <w:vAlign w:val="bottom"/>
            <w:gridSpan w:val="2"/>
          </w:tcPr>
          <w:p>
            <w:pPr>
              <w:spacing w:after="0"/>
              <w:rPr>
                <w:sz w:val="11"/>
                <w:szCs w:val="11"/>
                <w:color w:val="auto"/>
              </w:rPr>
            </w:pPr>
          </w:p>
        </w:tc>
        <w:tc>
          <w:tcPr>
            <w:tcW w:w="624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Report of Independent Registered Public Accounting Firm</w:t>
              </w:r>
            </w:hyperlink>
          </w:p>
        </w:tc>
        <w:tc>
          <w:tcPr>
            <w:tcW w:w="624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F-64</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gridSpan w:val="2"/>
          </w:tcPr>
          <w:p>
            <w:pPr>
              <w:jc w:val="center"/>
              <w:ind w:right="3296"/>
              <w:spacing w:after="0"/>
              <w:rPr>
                <w:sz w:val="20"/>
                <w:szCs w:val="20"/>
                <w:color w:val="auto"/>
              </w:rPr>
            </w:pPr>
            <w:r>
              <w:rPr>
                <w:rFonts w:ascii="Arial" w:cs="Arial" w:eastAsia="Arial" w:hAnsi="Arial"/>
                <w:sz w:val="13"/>
                <w:szCs w:val="13"/>
                <w:color w:val="auto"/>
                <w:w w:val="92"/>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2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INCOME</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3"/>
              </w:rPr>
              <w:t>For the Years Ended December 31,</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Product</w:t>
            </w:r>
          </w:p>
        </w:tc>
        <w:tc>
          <w:tcPr>
            <w:tcW w:w="262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3,152,941</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2,839,651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2,136,821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joint business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1,094,863</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1,128,238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926,098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Other</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129,544</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129,618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108,698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4,377,348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4,097,507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3,171,617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Costs and expenses:</w:t>
            </w:r>
          </w:p>
        </w:tc>
        <w:tc>
          <w:tcPr>
            <w:tcW w:w="2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382,104</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401,989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1,283,068</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1,072,058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925,164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911,034</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925,305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776,103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Collaboration profit sharing</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215,904</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136,041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14,079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289,811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332,745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Acquired in-process research and development</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84,172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dispositions, net</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(9,242)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ind w:left="400"/>
              <w:spacing w:after="0"/>
              <w:rPr>
                <w:sz w:val="20"/>
                <w:szCs w:val="20"/>
                <w:color w:val="auto"/>
              </w:rPr>
            </w:pPr>
            <w:r>
              <w:rPr>
                <w:rFonts w:ascii="Arial" w:cs="Arial" w:eastAsia="Arial" w:hAnsi="Arial"/>
                <w:sz w:val="13"/>
                <w:szCs w:val="13"/>
                <w:color w:val="auto"/>
              </w:rPr>
              <w:t>Total costs and expenses</w:t>
            </w: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3,081,921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2,883,896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2,391,845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1,295,427</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1,213,611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779,772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37,252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(57,728)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72,396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 expense</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1,332,679</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1,155,883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852,168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Income tax expense</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355,617</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365,776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272,423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977,062</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790,107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579,745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6,930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6,940</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(58,427)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Biogen Idec Inc.</w:t>
            </w:r>
          </w:p>
        </w:tc>
        <w:tc>
          <w:tcPr>
            <w:tcW w:w="24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970,132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783,167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638,172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Net income per share:</w:t>
            </w:r>
          </w:p>
        </w:tc>
        <w:tc>
          <w:tcPr>
            <w:tcW w:w="2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 attributable to Biogen Idec Inc.</w:t>
            </w:r>
          </w:p>
        </w:tc>
        <w:tc>
          <w:tcPr>
            <w:tcW w:w="24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 attributable to Biogen Idec Inc.</w:t>
            </w: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3.35</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2.65</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shares used in calculating:</w:t>
            </w:r>
          </w:p>
        </w:tc>
        <w:tc>
          <w:tcPr>
            <w:tcW w:w="24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Basic earnings per share attributable to Biogen Idec Inc.</w:t>
            </w: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287,356</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292,332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315,836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 attributable to Biogen Idec Inc.</w:t>
            </w:r>
          </w:p>
        </w:tc>
        <w:tc>
          <w:tcPr>
            <w:tcW w:w="2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289,476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294,984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320,171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6880" w:type="dxa"/>
            <w:vAlign w:val="bottom"/>
            <w:gridSpan w:val="3"/>
          </w:tcPr>
          <w:p>
            <w:pPr>
              <w:jc w:val="right"/>
              <w:ind w:right="71"/>
              <w:spacing w:after="0"/>
              <w:rPr>
                <w:sz w:val="20"/>
                <w:szCs w:val="20"/>
                <w:color w:val="auto"/>
              </w:rPr>
            </w:pPr>
            <w:r>
              <w:rPr>
                <w:rFonts w:ascii="Arial" w:cs="Arial" w:eastAsia="Arial" w:hAnsi="Arial"/>
                <w:sz w:val="13"/>
                <w:szCs w:val="13"/>
                <w:color w:val="auto"/>
              </w:rPr>
              <w:t>See accompanying notes to these consolidated financial statements.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20" w:type="dxa"/>
            <w:vAlign w:val="bottom"/>
            <w:gridSpan w:val="2"/>
          </w:tcPr>
          <w:p>
            <w:pPr>
              <w:jc w:val="right"/>
              <w:ind w:right="1751"/>
              <w:spacing w:after="0"/>
              <w:rPr>
                <w:sz w:val="20"/>
                <w:szCs w:val="20"/>
                <w:color w:val="auto"/>
              </w:rPr>
            </w:pPr>
            <w:r>
              <w:rPr>
                <w:rFonts w:ascii="Arial" w:cs="Arial" w:eastAsia="Arial" w:hAnsi="Arial"/>
                <w:sz w:val="13"/>
                <w:szCs w:val="13"/>
                <w:color w:val="auto"/>
              </w:rPr>
              <w:t>F-2</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13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581,889</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622,385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681,835</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719,586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Collateral received for loaned securities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Accounts receivable, net of allowances of $43,818 and $32,047 at December 31, 2009 and 2008, respectively</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551,208</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446,665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Due from unconsolidated joint business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193,789</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206,925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Loaned securities</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29,446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293,950</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263,602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177,924</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139,400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2,480,595</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2,458,000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Marketable securities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1,194,080</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891,406</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1,637,083</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1,594,754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1,871,078</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2,161,058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1,138,621</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1,138,621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Investments and other assets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230,397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235,152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8,551,854</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8,478,991</w:t>
            </w:r>
          </w:p>
        </w:tc>
        <w:tc>
          <w:tcPr>
            <w:tcW w:w="0" w:type="dxa"/>
            <w:vAlign w:val="bottom"/>
          </w:tcPr>
          <w:p>
            <w:pPr>
              <w:spacing w:after="0"/>
              <w:rPr>
                <w:sz w:val="1"/>
                <w:szCs w:val="1"/>
                <w:color w:val="auto"/>
              </w:rPr>
            </w:pPr>
          </w:p>
        </w:tc>
      </w:tr>
      <w:tr>
        <w:trPr>
          <w:trHeight w:val="284"/>
        </w:trPr>
        <w:tc>
          <w:tcPr>
            <w:tcW w:w="79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Collateral payable on loaned securities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29,991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118,534</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107,417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Taxes payable</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75,891</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223,260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500,755</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534,887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Current portion of notes payable and line of credit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19,762</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27,667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714,942</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923,222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Notes payable and line of credit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1,080,207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1,085,431</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Long-term deferred tax liability</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240,618</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356,017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254,205</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280,369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2,289,972</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2,645,039</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Commitments and contingencies (Notes 16,17,18 and 19)</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140"/>
              <w:spacing w:after="0" w:line="149" w:lineRule="exact"/>
              <w:rPr>
                <w:sz w:val="20"/>
                <w:szCs w:val="20"/>
                <w:color w:val="auto"/>
              </w:rPr>
            </w:pPr>
            <w:r>
              <w:rPr>
                <w:rFonts w:ascii="Arial" w:cs="Arial" w:eastAsia="Arial" w:hAnsi="Arial"/>
                <w:sz w:val="13"/>
                <w:szCs w:val="13"/>
                <w:color w:val="auto"/>
                <w:w w:val="92"/>
              </w:rPr>
              <w:t>Preferred stock, par value $0.001 per share (8,000 shares authorized, of which 1,750 are designated Series A and 1,000 are designated Series X</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tcPr>
          <w:p>
            <w:pPr>
              <w:ind w:left="280"/>
              <w:spacing w:after="0"/>
              <w:rPr>
                <w:sz w:val="20"/>
                <w:szCs w:val="20"/>
                <w:color w:val="auto"/>
              </w:rPr>
            </w:pPr>
            <w:r>
              <w:rPr>
                <w:rFonts w:ascii="Arial" w:cs="Arial" w:eastAsia="Arial" w:hAnsi="Arial"/>
                <w:sz w:val="13"/>
                <w:szCs w:val="13"/>
                <w:color w:val="auto"/>
              </w:rPr>
              <w:t>Junior Participating; 8 shares of Series A issued and outstanding with a $551 liquidation value at December 31, 2009 and 2008)</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par value $0.0005 per share (1,000,000 shares authorized; 288,494 shares issued and 274,855 shares outstanding at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December 31, 2009; 297,253 shares issued and 288,046 shares outstanding at December 31, 2008)</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w:t>
            </w: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5,781,920</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6,073,957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50,496</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(11,106)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1,068,890</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270,180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13,639 and 9,207 shares at December 31, 2009 and 2008, respectively</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(679,920)</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(527,097)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Biogen Idec Inc. shareholders’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6,221,530</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5,806,083</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Noncontrolling interest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40,352</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27,869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6,261,882</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5,833,952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8,551,854</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8,478,991</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See accompanying notes to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i w:val="1"/>
          <w:iCs w:val="1"/>
          <w:color w:val="auto"/>
        </w:rPr>
        <w:t>(In thousands)</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7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9"/>
                <w:szCs w:val="9"/>
                <w:b w:val="1"/>
                <w:bCs w:val="1"/>
                <w:color w:val="auto"/>
              </w:rPr>
              <w:t>For the Years Ended December 31,</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7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8"/>
              <w:spacing w:after="0" w:line="88" w:lineRule="exact"/>
              <w:rPr>
                <w:sz w:val="20"/>
                <w:szCs w:val="20"/>
                <w:color w:val="auto"/>
              </w:rPr>
            </w:pPr>
            <w:r>
              <w:rPr>
                <w:rFonts w:ascii="Arial" w:cs="Arial" w:eastAsia="Arial" w:hAnsi="Arial"/>
                <w:sz w:val="9"/>
                <w:szCs w:val="9"/>
                <w:b w:val="1"/>
                <w:bCs w:val="1"/>
                <w:color w:val="auto"/>
              </w:rPr>
              <w:t>2009</w:t>
            </w: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8"/>
              <w:spacing w:after="0" w:line="88" w:lineRule="exact"/>
              <w:rPr>
                <w:sz w:val="20"/>
                <w:szCs w:val="20"/>
                <w:color w:val="auto"/>
              </w:rPr>
            </w:pPr>
            <w:r>
              <w:rPr>
                <w:rFonts w:ascii="Arial" w:cs="Arial" w:eastAsia="Arial" w:hAnsi="Arial"/>
                <w:sz w:val="9"/>
                <w:szCs w:val="9"/>
                <w:b w:val="1"/>
                <w:bCs w:val="1"/>
                <w:color w:val="auto"/>
              </w:rPr>
              <w:t>2008</w:t>
            </w:r>
          </w:p>
        </w:tc>
        <w:tc>
          <w:tcPr>
            <w:tcW w:w="2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88"/>
              <w:spacing w:after="0" w:line="88"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r>
      <w:tr>
        <w:trPr>
          <w:trHeight w:val="29"/>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operating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977,062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790,107</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579,745</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Adjustments to reconcile net income to net cash flows from operating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Depreciation and amortization of property, plant and equipment and intangible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427,961</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462,059</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380,293</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Acquired in process research and development and license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25,000</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136,172</w:t>
            </w: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Share-based compensation</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160,902</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146,207</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123,129</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Cash received upon termination of interest rate swap</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53,873</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Non-cash interest (income) expense and foreign exchange remeasurement, net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(7,892)</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(4,934)</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1,444</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income taxes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(137,351)</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(139,549)</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(81,555)</w:t>
            </w: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Realized (gain) loss on sale of marketable securities and strategic investments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(23,974)</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1,078</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(16,732)</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Write-down of inventory to net realizable value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16,924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29,850</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21,599</w:t>
            </w: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Gain on sale of property, plant and equipment, net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(9,242)</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(360)</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Impairment of marketable securities, investments and other assets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16,184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61,644</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24,445</w:t>
            </w:r>
          </w:p>
        </w:tc>
      </w:tr>
      <w:tr>
        <w:trPr>
          <w:trHeight w:val="108"/>
        </w:trPr>
        <w:tc>
          <w:tcPr>
            <w:tcW w:w="7400" w:type="dxa"/>
            <w:vAlign w:val="bottom"/>
          </w:tcPr>
          <w:p>
            <w:pPr>
              <w:ind w:left="22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(3,436)</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(27,990)</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(69,666)</w:t>
            </w:r>
          </w:p>
        </w:tc>
      </w:tr>
      <w:tr>
        <w:trPr>
          <w:trHeight w:val="108"/>
        </w:trPr>
        <w:tc>
          <w:tcPr>
            <w:tcW w:w="74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Changes in operating assets and liabilities, net:</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320"/>
              <w:spacing w:after="0" w:line="108" w:lineRule="exact"/>
              <w:rPr>
                <w:sz w:val="20"/>
                <w:szCs w:val="20"/>
                <w:color w:val="auto"/>
              </w:rPr>
            </w:pPr>
            <w:r>
              <w:rPr>
                <w:rFonts w:ascii="Arial" w:cs="Arial" w:eastAsia="Arial" w:hAnsi="Arial"/>
                <w:sz w:val="10"/>
                <w:szCs w:val="10"/>
                <w:color w:val="auto"/>
              </w:rPr>
              <w:t>Accounts receivable</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(100,442)</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(57,565)</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(70,701)</w:t>
            </w:r>
          </w:p>
        </w:tc>
      </w:tr>
      <w:tr>
        <w:trPr>
          <w:trHeight w:val="108"/>
        </w:trPr>
        <w:tc>
          <w:tcPr>
            <w:tcW w:w="74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Due from unconsolidated joint business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13,136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(40,239)</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2,022</w:t>
            </w:r>
          </w:p>
        </w:tc>
      </w:tr>
      <w:tr>
        <w:trPr>
          <w:trHeight w:val="108"/>
        </w:trPr>
        <w:tc>
          <w:tcPr>
            <w:tcW w:w="7400" w:type="dxa"/>
            <w:vAlign w:val="bottom"/>
          </w:tcPr>
          <w:p>
            <w:pPr>
              <w:ind w:left="320"/>
              <w:spacing w:after="0" w:line="108" w:lineRule="exact"/>
              <w:rPr>
                <w:sz w:val="20"/>
                <w:szCs w:val="20"/>
                <w:color w:val="auto"/>
              </w:rPr>
            </w:pPr>
            <w:r>
              <w:rPr>
                <w:rFonts w:ascii="Arial" w:cs="Arial" w:eastAsia="Arial" w:hAnsi="Arial"/>
                <w:sz w:val="10"/>
                <w:szCs w:val="10"/>
                <w:color w:val="auto"/>
              </w:rPr>
              <w:t>Inventory</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(42,772)</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(54,204)</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(83,192)</w:t>
            </w:r>
          </w:p>
        </w:tc>
      </w:tr>
      <w:tr>
        <w:trPr>
          <w:trHeight w:val="108"/>
        </w:trPr>
        <w:tc>
          <w:tcPr>
            <w:tcW w:w="74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Other assets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22,271</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3,711</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238</w:t>
            </w:r>
          </w:p>
        </w:tc>
      </w:tr>
      <w:tr>
        <w:trPr>
          <w:trHeight w:val="108"/>
        </w:trPr>
        <w:tc>
          <w:tcPr>
            <w:tcW w:w="7400" w:type="dxa"/>
            <w:vAlign w:val="bottom"/>
          </w:tcPr>
          <w:p>
            <w:pPr>
              <w:ind w:left="320"/>
              <w:spacing w:after="0" w:line="108" w:lineRule="exact"/>
              <w:rPr>
                <w:sz w:val="20"/>
                <w:szCs w:val="20"/>
                <w:color w:val="auto"/>
              </w:rPr>
            </w:pPr>
            <w:r>
              <w:rPr>
                <w:rFonts w:ascii="Arial" w:cs="Arial" w:eastAsia="Arial" w:hAnsi="Arial"/>
                <w:sz w:val="10"/>
                <w:szCs w:val="10"/>
                <w:color w:val="auto"/>
              </w:rPr>
              <w:t>Accrued expenses and other current liabilities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(48,942)</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146,420</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30,579</w:t>
            </w:r>
          </w:p>
        </w:tc>
      </w:tr>
      <w:tr>
        <w:trPr>
          <w:trHeight w:val="108"/>
        </w:trPr>
        <w:tc>
          <w:tcPr>
            <w:tcW w:w="74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Other liabilities and taxes payable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(194,733)</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176,219</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41,294</w:t>
            </w:r>
          </w:p>
        </w:tc>
      </w:tr>
      <w:tr>
        <w:trPr>
          <w:trHeight w:val="108"/>
        </w:trPr>
        <w:tc>
          <w:tcPr>
            <w:tcW w:w="7400" w:type="dxa"/>
            <w:vAlign w:val="bottom"/>
          </w:tcPr>
          <w:p>
            <w:pPr>
              <w:ind w:left="420"/>
              <w:spacing w:after="0" w:line="108" w:lineRule="exact"/>
              <w:rPr>
                <w:sz w:val="20"/>
                <w:szCs w:val="20"/>
                <w:color w:val="auto"/>
              </w:rPr>
            </w:pPr>
            <w:r>
              <w:rPr>
                <w:rFonts w:ascii="Arial" w:cs="Arial" w:eastAsia="Arial" w:hAnsi="Arial"/>
                <w:sz w:val="10"/>
                <w:szCs w:val="10"/>
                <w:color w:val="auto"/>
              </w:rPr>
              <w:t>Net cash flows provided by operating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1,074,898</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1,562,445</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1,018,754</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Purchases of marketable securities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(3,548,119)</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(3,163,824)</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(2,945,244)</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sales and maturities of marketable securities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3,319,007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2,941,060</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3,154,290</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Acquisitions, net of cash acquired</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(25,000)</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(95,789)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property, plant and equipment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(165,646)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(275,954)</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(284,106)</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 of property, plant and equipment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16,669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other investments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(44,086)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(20,373)</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(23,672)</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the sale of strategic investments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13,822</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99,489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Collateral received under securities lending</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29,991</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178,218</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(208,209)</w:t>
            </w:r>
          </w:p>
        </w:tc>
      </w:tr>
      <w:tr>
        <w:trPr>
          <w:trHeight w:val="108"/>
        </w:trPr>
        <w:tc>
          <w:tcPr>
            <w:tcW w:w="7400" w:type="dxa"/>
            <w:vAlign w:val="bottom"/>
          </w:tcPr>
          <w:p>
            <w:pPr>
              <w:ind w:left="420"/>
              <w:spacing w:after="0" w:line="108" w:lineRule="exact"/>
              <w:rPr>
                <w:sz w:val="20"/>
                <w:szCs w:val="20"/>
                <w:color w:val="auto"/>
              </w:rPr>
            </w:pPr>
            <w:r>
              <w:rPr>
                <w:rFonts w:ascii="Arial" w:cs="Arial" w:eastAsia="Arial" w:hAnsi="Arial"/>
                <w:sz w:val="10"/>
                <w:szCs w:val="10"/>
                <w:color w:val="auto"/>
              </w:rPr>
              <w:t>Net cash flows used in investing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(395,031)</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(365,873)</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(286,572)</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Purchase of treasury stock</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(751,170)</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(738,938)</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(2,991,184)</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stock for share-based compensation arrangements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47,810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178,486</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489,180</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Change in cash overdraft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12,275</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(498)</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(5,399)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3,436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27,990</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69,666</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borrowings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986,980</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1,512,913</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Repayments of borrowings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(10,867)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(1,512,474)</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(12,042)</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Repayments of long-term debt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(6,563)</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capital contribution from noncontrolling interest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4,356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2,047</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1,881</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Obligation under securities lending</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(29,991)</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(178,218)</w:t>
            </w:r>
          </w:p>
        </w:tc>
        <w:tc>
          <w:tcPr>
            <w:tcW w:w="1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208,209</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400" w:type="dxa"/>
            <w:vAlign w:val="bottom"/>
            <w:shd w:val="clear" w:color="auto" w:fill="CCEEFF"/>
          </w:tcPr>
          <w:p>
            <w:pPr>
              <w:ind w:left="420"/>
              <w:spacing w:after="0" w:line="108" w:lineRule="exact"/>
              <w:rPr>
                <w:sz w:val="20"/>
                <w:szCs w:val="20"/>
                <w:color w:val="auto"/>
              </w:rPr>
            </w:pPr>
            <w:r>
              <w:rPr>
                <w:rFonts w:ascii="Arial" w:cs="Arial" w:eastAsia="Arial" w:hAnsi="Arial"/>
                <w:sz w:val="10"/>
                <w:szCs w:val="10"/>
                <w:color w:val="auto"/>
              </w:rPr>
              <w:t>Net cash flows used in financing activities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(724,151)</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(1,234,625)</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(733,339)</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Net decrease in cash and cash equivalents</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(44,284)</w:t>
            </w: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(38,053)</w:t>
            </w: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(1,157)</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3,788</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776</w:t>
            </w:r>
          </w:p>
        </w:tc>
        <w:tc>
          <w:tcPr>
            <w:tcW w:w="1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(558)</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Cash and cash equivalents, beginning of the year</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622,385</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659,662</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661,377</w:t>
            </w:r>
          </w:p>
        </w:tc>
        <w:tc>
          <w:tcPr>
            <w:tcW w:w="100" w:type="dxa"/>
            <w:vAlign w:val="bottom"/>
          </w:tcPr>
          <w:p>
            <w:pPr>
              <w:spacing w:after="0"/>
              <w:rPr>
                <w:sz w:val="9"/>
                <w:szCs w:val="9"/>
                <w:color w:val="auto"/>
              </w:rPr>
            </w:pPr>
          </w:p>
        </w:tc>
      </w:tr>
      <w:tr>
        <w:trPr>
          <w:trHeight w:val="117"/>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end of the year</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581,889</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622,385</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659,662</w:t>
            </w:r>
          </w:p>
        </w:tc>
      </w:tr>
      <w:tr>
        <w:trPr>
          <w:trHeight w:val="118"/>
        </w:trPr>
        <w:tc>
          <w:tcPr>
            <w:tcW w:w="7400" w:type="dxa"/>
            <w:vAlign w:val="bottom"/>
          </w:tcPr>
          <w:p>
            <w:pPr>
              <w:spacing w:after="0"/>
              <w:rPr>
                <w:sz w:val="20"/>
                <w:szCs w:val="20"/>
                <w:color w:val="auto"/>
              </w:rPr>
            </w:pPr>
            <w:r>
              <w:rPr>
                <w:rFonts w:ascii="Arial" w:cs="Arial" w:eastAsia="Arial" w:hAnsi="Arial"/>
                <w:sz w:val="10"/>
                <w:szCs w:val="10"/>
                <w:color w:val="auto"/>
              </w:rPr>
              <w:t>Supplemental cash flow disclosures:</w:t>
            </w: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paid during the year for:</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320"/>
              <w:spacing w:after="0" w:line="108" w:lineRule="exact"/>
              <w:rPr>
                <w:sz w:val="20"/>
                <w:szCs w:val="20"/>
                <w:color w:val="auto"/>
              </w:rPr>
            </w:pPr>
            <w:r>
              <w:rPr>
                <w:rFonts w:ascii="Arial" w:cs="Arial" w:eastAsia="Arial" w:hAnsi="Arial"/>
                <w:sz w:val="10"/>
                <w:szCs w:val="10"/>
                <w:color w:val="auto"/>
              </w:rPr>
              <w:t>Interest</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68,094</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40,026</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35,439</w:t>
            </w:r>
          </w:p>
        </w:tc>
      </w:tr>
      <w:tr>
        <w:trPr>
          <w:trHeight w:val="108"/>
        </w:trPr>
        <w:tc>
          <w:tcPr>
            <w:tcW w:w="74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Income taxes</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745,402</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371,978</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251,928</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Non-cash financing activity:</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subordinated notes to common and treasury stock</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38,986</w:t>
            </w:r>
          </w:p>
        </w:tc>
      </w:tr>
    </w:tbl>
    <w:p>
      <w:pPr>
        <w:spacing w:after="0" w:line="8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See Note 1,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to our Consolidated Financial Statements for a discussion of non-cash securities lending activities that occurred during the period.</w:t>
      </w:r>
    </w:p>
    <w:p>
      <w:pPr>
        <w:spacing w:after="0" w:line="59" w:lineRule="exact"/>
        <w:rPr>
          <w:sz w:val="20"/>
          <w:szCs w:val="20"/>
          <w:color w:val="auto"/>
        </w:rPr>
      </w:pPr>
    </w:p>
    <w:p>
      <w:pPr>
        <w:ind w:left="680" w:right="200"/>
        <w:spacing w:after="0" w:line="275" w:lineRule="auto"/>
        <w:rPr>
          <w:sz w:val="20"/>
          <w:szCs w:val="20"/>
          <w:color w:val="auto"/>
        </w:rPr>
      </w:pPr>
      <w:r>
        <w:rPr>
          <w:rFonts w:ascii="Arial" w:cs="Arial" w:eastAsia="Arial" w:hAnsi="Arial"/>
          <w:sz w:val="12"/>
          <w:szCs w:val="12"/>
          <w:color w:val="auto"/>
        </w:rPr>
        <w:t xml:space="preserve">See Note 14, </w:t>
      </w:r>
      <w:r>
        <w:rPr>
          <w:rFonts w:ascii="Arial" w:cs="Arial" w:eastAsia="Arial" w:hAnsi="Arial"/>
          <w:sz w:val="12"/>
          <w:szCs w:val="12"/>
          <w:i w:val="1"/>
          <w:iCs w:val="1"/>
          <w:color w:val="auto"/>
        </w:rPr>
        <w:t>Other Consolidated Financial Statement Detail</w:t>
      </w:r>
      <w:r>
        <w:rPr>
          <w:rFonts w:ascii="Arial" w:cs="Arial" w:eastAsia="Arial" w:hAnsi="Arial"/>
          <w:sz w:val="12"/>
          <w:szCs w:val="12"/>
          <w:color w:val="auto"/>
        </w:rPr>
        <w:t xml:space="preserve"> to our Consolidated Financial Statements for discussion of a non monetary transaction under which we sold the development rights on a parcel of land in Cambridge, MA during 2008.</w:t>
      </w:r>
    </w:p>
    <w:p>
      <w:pPr>
        <w:spacing w:after="0" w:line="26"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See accompanying notes to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i w:val="1"/>
          <w:iCs w:val="1"/>
          <w:color w:val="auto"/>
        </w:rPr>
        <w:t>(In thousands)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3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Accumulated</w:t>
            </w:r>
          </w:p>
        </w:tc>
        <w:tc>
          <w:tcPr>
            <w:tcW w:w="60" w:type="dxa"/>
            <w:vAlign w:val="bottom"/>
          </w:tcPr>
          <w:p>
            <w:pPr>
              <w:spacing w:after="0"/>
              <w:rPr>
                <w:sz w:val="7"/>
                <w:szCs w:val="7"/>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8"/>
              </w:rPr>
              <w:t>Retained</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840" w:type="dxa"/>
            <w:vAlign w:val="bottom"/>
            <w:gridSpan w:val="5"/>
            <w:vMerge w:val="restart"/>
          </w:tcPr>
          <w:p>
            <w:pPr>
              <w:ind w:left="60"/>
              <w:spacing w:after="0"/>
              <w:rPr>
                <w:sz w:val="20"/>
                <w:szCs w:val="20"/>
                <w:color w:val="auto"/>
              </w:rPr>
            </w:pPr>
            <w:r>
              <w:rPr>
                <w:rFonts w:ascii="Arial" w:cs="Arial" w:eastAsia="Arial" w:hAnsi="Arial"/>
                <w:sz w:val="8"/>
                <w:szCs w:val="8"/>
                <w:b w:val="1"/>
                <w:bCs w:val="1"/>
                <w:color w:val="auto"/>
              </w:rPr>
              <w:t>Preferred Stock</w:t>
            </w:r>
          </w:p>
        </w:tc>
        <w:tc>
          <w:tcPr>
            <w:tcW w:w="66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w w:val="85"/>
              </w:rPr>
              <w:t>Common Stock</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w w:val="97"/>
              </w:rPr>
              <w:t>Additional</w:t>
            </w:r>
          </w:p>
        </w:tc>
        <w:tc>
          <w:tcPr>
            <w:tcW w:w="40" w:type="dxa"/>
            <w:vAlign w:val="bottom"/>
          </w:tcPr>
          <w:p>
            <w:pPr>
              <w:spacing w:after="0"/>
              <w:rPr>
                <w:sz w:val="8"/>
                <w:szCs w:val="8"/>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Other</w:t>
            </w:r>
          </w:p>
        </w:tc>
        <w:tc>
          <w:tcPr>
            <w:tcW w:w="60" w:type="dxa"/>
            <w:vAlign w:val="bottom"/>
          </w:tcPr>
          <w:p>
            <w:pPr>
              <w:spacing w:after="0"/>
              <w:rPr>
                <w:sz w:val="8"/>
                <w:szCs w:val="8"/>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Earnings/</w:t>
            </w:r>
          </w:p>
        </w:tc>
        <w:tc>
          <w:tcPr>
            <w:tcW w:w="1060" w:type="dxa"/>
            <w:vAlign w:val="bottom"/>
            <w:gridSpan w:val="5"/>
            <w:vMerge w:val="restart"/>
          </w:tcPr>
          <w:p>
            <w:pPr>
              <w:jc w:val="right"/>
              <w:ind w:right="360"/>
              <w:spacing w:after="0"/>
              <w:rPr>
                <w:sz w:val="20"/>
                <w:szCs w:val="20"/>
                <w:color w:val="auto"/>
              </w:rPr>
            </w:pPr>
            <w:r>
              <w:rPr>
                <w:rFonts w:ascii="Arial" w:cs="Arial" w:eastAsia="Arial" w:hAnsi="Arial"/>
                <w:sz w:val="8"/>
                <w:szCs w:val="8"/>
                <w:b w:val="1"/>
                <w:bCs w:val="1"/>
                <w:color w:val="auto"/>
              </w:rPr>
              <w:t>Treasury Stock</w:t>
            </w:r>
          </w:p>
        </w:tc>
        <w:tc>
          <w:tcPr>
            <w:tcW w:w="720" w:type="dxa"/>
            <w:vAlign w:val="bottom"/>
            <w:gridSpan w:val="3"/>
          </w:tcPr>
          <w:p>
            <w:pPr>
              <w:spacing w:after="0"/>
              <w:rPr>
                <w:sz w:val="20"/>
                <w:szCs w:val="20"/>
                <w:color w:val="auto"/>
              </w:rPr>
            </w:pPr>
            <w:r>
              <w:rPr>
                <w:rFonts w:ascii="Arial" w:cs="Arial" w:eastAsia="Arial" w:hAnsi="Arial"/>
                <w:sz w:val="8"/>
                <w:szCs w:val="8"/>
                <w:b w:val="1"/>
                <w:bCs w:val="1"/>
                <w:color w:val="auto"/>
              </w:rPr>
              <w:t>Biogen Idec Inc.</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89"/>
              </w:rPr>
              <w:t>Paid-in</w:t>
            </w:r>
          </w:p>
        </w:tc>
        <w:tc>
          <w:tcPr>
            <w:tcW w:w="70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Comprehensive</w:t>
            </w:r>
          </w:p>
        </w:tc>
        <w:tc>
          <w:tcPr>
            <w:tcW w:w="64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(Accumulated</w:t>
            </w:r>
          </w:p>
        </w:tc>
        <w:tc>
          <w:tcPr>
            <w:tcW w:w="1060" w:type="dxa"/>
            <w:vAlign w:val="bottom"/>
            <w:gridSpan w:val="5"/>
            <w:vMerge w:val="continue"/>
          </w:tcPr>
          <w:p>
            <w:pPr>
              <w:spacing w:after="0"/>
              <w:rPr>
                <w:sz w:val="7"/>
                <w:szCs w:val="7"/>
                <w:color w:val="auto"/>
              </w:rPr>
            </w:pPr>
          </w:p>
        </w:tc>
        <w:tc>
          <w:tcPr>
            <w:tcW w:w="720" w:type="dxa"/>
            <w:vAlign w:val="bottom"/>
            <w:gridSpan w:val="3"/>
          </w:tcPr>
          <w:p>
            <w:pPr>
              <w:jc w:val="right"/>
              <w:ind w:right="200"/>
              <w:spacing w:after="0" w:line="88" w:lineRule="exact"/>
              <w:rPr>
                <w:sz w:val="20"/>
                <w:szCs w:val="20"/>
                <w:color w:val="auto"/>
              </w:rPr>
            </w:pPr>
            <w:r>
              <w:rPr>
                <w:rFonts w:ascii="Arial" w:cs="Arial" w:eastAsia="Arial" w:hAnsi="Arial"/>
                <w:sz w:val="8"/>
                <w:szCs w:val="8"/>
                <w:b w:val="1"/>
                <w:bCs w:val="1"/>
                <w:color w:val="auto"/>
                <w:w w:val="93"/>
              </w:rPr>
              <w:t>Shareholders’</w:t>
            </w:r>
          </w:p>
        </w:tc>
        <w:tc>
          <w:tcPr>
            <w:tcW w:w="68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Noncontrolling</w:t>
            </w:r>
          </w:p>
        </w:tc>
        <w:tc>
          <w:tcPr>
            <w:tcW w:w="500" w:type="dxa"/>
            <w:vAlign w:val="bottom"/>
            <w:gridSpan w:val="3"/>
          </w:tcPr>
          <w:p>
            <w:pPr>
              <w:spacing w:after="0" w:line="88" w:lineRule="exact"/>
              <w:rPr>
                <w:sz w:val="20"/>
                <w:szCs w:val="20"/>
                <w:color w:val="auto"/>
              </w:rPr>
            </w:pPr>
            <w:r>
              <w:rPr>
                <w:rFonts w:ascii="Arial" w:cs="Arial" w:eastAsia="Arial" w:hAnsi="Arial"/>
                <w:sz w:val="8"/>
                <w:szCs w:val="8"/>
                <w:b w:val="1"/>
                <w:bCs w:val="1"/>
                <w:color w:val="auto"/>
                <w:w w:val="89"/>
              </w:rPr>
              <w:t>Shareholders’</w:t>
            </w:r>
          </w:p>
        </w:tc>
        <w:tc>
          <w:tcPr>
            <w:tcW w:w="0" w:type="dxa"/>
            <w:vAlign w:val="bottom"/>
          </w:tcPr>
          <w:p>
            <w:pPr>
              <w:spacing w:after="0"/>
              <w:rPr>
                <w:sz w:val="1"/>
                <w:szCs w:val="1"/>
                <w:color w:val="auto"/>
              </w:rPr>
            </w:pPr>
          </w:p>
        </w:tc>
      </w:tr>
      <w:tr>
        <w:trPr>
          <w:trHeight w:val="78"/>
        </w:trPr>
        <w:tc>
          <w:tcPr>
            <w:tcW w:w="3260" w:type="dxa"/>
            <w:vAlign w:val="bottom"/>
          </w:tcPr>
          <w:p>
            <w:pPr>
              <w:spacing w:after="0"/>
              <w:rPr>
                <w:sz w:val="6"/>
                <w:szCs w:val="6"/>
                <w:color w:val="auto"/>
              </w:rPr>
            </w:pPr>
          </w:p>
        </w:tc>
        <w:tc>
          <w:tcPr>
            <w:tcW w:w="380" w:type="dxa"/>
            <w:vAlign w:val="bottom"/>
            <w:tcBorders>
              <w:top w:val="single" w:sz="8" w:color="auto"/>
            </w:tcBorders>
            <w:gridSpan w:val="2"/>
          </w:tcPr>
          <w:p>
            <w:pPr>
              <w:jc w:val="right"/>
              <w:ind w:right="160"/>
              <w:spacing w:after="0" w:line="79" w:lineRule="exact"/>
              <w:rPr>
                <w:sz w:val="20"/>
                <w:szCs w:val="20"/>
                <w:color w:val="auto"/>
              </w:rPr>
            </w:pPr>
            <w:r>
              <w:rPr>
                <w:rFonts w:ascii="Arial" w:cs="Arial" w:eastAsia="Arial" w:hAnsi="Arial"/>
                <w:sz w:val="8"/>
                <w:szCs w:val="8"/>
                <w:b w:val="1"/>
                <w:bCs w:val="1"/>
                <w:color w:val="auto"/>
                <w:w w:val="74"/>
              </w:rPr>
              <w:t>Shares</w:t>
            </w:r>
          </w:p>
        </w:tc>
        <w:tc>
          <w:tcPr>
            <w:tcW w:w="2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52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97"/>
              </w:rPr>
              <w:t>Shares</w:t>
            </w:r>
          </w:p>
        </w:tc>
        <w:tc>
          <w:tcPr>
            <w:tcW w:w="2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97"/>
              </w:rPr>
              <w:t>Capital</w:t>
            </w:r>
          </w:p>
        </w:tc>
        <w:tc>
          <w:tcPr>
            <w:tcW w:w="40" w:type="dxa"/>
            <w:vAlign w:val="bottom"/>
          </w:tcPr>
          <w:p>
            <w:pPr>
              <w:spacing w:after="0"/>
              <w:rPr>
                <w:sz w:val="6"/>
                <w:szCs w:val="6"/>
                <w:color w:val="auto"/>
              </w:rPr>
            </w:pPr>
          </w:p>
        </w:tc>
        <w:tc>
          <w:tcPr>
            <w:tcW w:w="66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5"/>
              </w:rPr>
              <w:t>Income</w:t>
            </w:r>
          </w:p>
        </w:tc>
        <w:tc>
          <w:tcPr>
            <w:tcW w:w="60" w:type="dxa"/>
            <w:vAlign w:val="bottom"/>
          </w:tcPr>
          <w:p>
            <w:pPr>
              <w:spacing w:after="0"/>
              <w:rPr>
                <w:sz w:val="6"/>
                <w:szCs w:val="6"/>
                <w:color w:val="auto"/>
              </w:rPr>
            </w:pPr>
          </w:p>
        </w:tc>
        <w:tc>
          <w:tcPr>
            <w:tcW w:w="58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95"/>
              </w:rPr>
              <w:t>Deficit)</w:t>
            </w:r>
          </w:p>
        </w:tc>
        <w:tc>
          <w:tcPr>
            <w:tcW w:w="52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97"/>
              </w:rPr>
              <w:t>Shares</w:t>
            </w: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1"/>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Equity</w:t>
            </w:r>
          </w:p>
        </w:tc>
        <w:tc>
          <w:tcPr>
            <w:tcW w:w="80" w:type="dxa"/>
            <w:vAlign w:val="bottom"/>
          </w:tcPr>
          <w:p>
            <w:pPr>
              <w:spacing w:after="0"/>
              <w:rPr>
                <w:sz w:val="6"/>
                <w:szCs w:val="6"/>
                <w:color w:val="auto"/>
              </w:rPr>
            </w:pPr>
          </w:p>
        </w:tc>
        <w:tc>
          <w:tcPr>
            <w:tcW w:w="60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w w:val="96"/>
              </w:rPr>
              <w:t>Interest</w:t>
            </w:r>
          </w:p>
        </w:tc>
        <w:tc>
          <w:tcPr>
            <w:tcW w:w="80" w:type="dxa"/>
            <w:vAlign w:val="bottom"/>
          </w:tcPr>
          <w:p>
            <w:pPr>
              <w:spacing w:after="0"/>
              <w:rPr>
                <w:sz w:val="6"/>
                <w:szCs w:val="6"/>
                <w:color w:val="auto"/>
              </w:rPr>
            </w:pPr>
          </w:p>
        </w:tc>
        <w:tc>
          <w:tcPr>
            <w:tcW w:w="420" w:type="dxa"/>
            <w:vAlign w:val="bottom"/>
            <w:gridSpan w:val="2"/>
          </w:tcPr>
          <w:p>
            <w:pPr>
              <w:jc w:val="right"/>
              <w:ind w:right="140"/>
              <w:spacing w:after="0" w:line="79"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Balance, December 31, 200</w:t>
            </w:r>
            <w:r>
              <w:rPr>
                <w:rFonts w:ascii="Arial" w:cs="Arial" w:eastAsia="Arial" w:hAnsi="Arial"/>
                <w:sz w:val="8"/>
                <w:szCs w:val="8"/>
                <w:color w:val="auto"/>
              </w:rPr>
              <w:t>6</w:t>
            </w:r>
          </w:p>
        </w:tc>
        <w:tc>
          <w:tcPr>
            <w:tcW w:w="3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w:t>
            </w:r>
          </w:p>
        </w:tc>
        <w:tc>
          <w:tcPr>
            <w:tcW w:w="1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345,637</w:t>
            </w:r>
          </w:p>
        </w:tc>
        <w:tc>
          <w:tcPr>
            <w:tcW w:w="1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89"/>
              </w:rPr>
              <w:t>173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5"/>
              </w:rPr>
              <w:t>8,308,232</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21,855</w:t>
            </w:r>
          </w:p>
        </w:tc>
        <w:tc>
          <w:tcPr>
            <w:tcW w:w="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88"/>
              </w:rPr>
              <w:t>$</w:t>
            </w:r>
          </w:p>
        </w:tc>
        <w:tc>
          <w:tcPr>
            <w:tcW w:w="5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(860,827)</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(7,463)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w w:val="99"/>
              </w:rPr>
              <w:t>(319,655)</w:t>
            </w:r>
          </w:p>
        </w:tc>
        <w:tc>
          <w:tcPr>
            <w:tcW w:w="1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7,149,778</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9,839</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7,159,617</w:t>
            </w:r>
          </w:p>
        </w:tc>
        <w:tc>
          <w:tcPr>
            <w:tcW w:w="0" w:type="dxa"/>
            <w:vAlign w:val="bottom"/>
          </w:tcPr>
          <w:p>
            <w:pPr>
              <w:spacing w:after="0"/>
              <w:rPr>
                <w:sz w:val="1"/>
                <w:szCs w:val="1"/>
                <w:color w:val="auto"/>
              </w:rPr>
            </w:pPr>
          </w:p>
        </w:tc>
      </w:tr>
      <w:tr>
        <w:trPr>
          <w:trHeight w:val="88"/>
        </w:trPr>
        <w:tc>
          <w:tcPr>
            <w:tcW w:w="326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2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638,172</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638,172</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(58,427)</w:t>
            </w: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579,745</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Unrealized gains on securities available for sale, net of tax of ($3,984)</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9,124</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9,124</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9,124</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loss on foreign currency forward contracts, net of tax of $2,263</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(3,962)</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(3,962)</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(3,962)</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Unrealized gains on pension benefit obligation, net of tax of ($370)</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2,421</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2,421</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2,421</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Translation adjustment</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49,808</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49,808</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1,397</w:t>
            </w: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51,205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tcPr>
          <w:p>
            <w:pPr>
              <w:ind w:left="180"/>
              <w:spacing w:after="0" w:line="88" w:lineRule="exact"/>
              <w:rPr>
                <w:sz w:val="20"/>
                <w:szCs w:val="20"/>
                <w:color w:val="auto"/>
              </w:rPr>
            </w:pPr>
            <w:r>
              <w:rPr>
                <w:rFonts w:ascii="Arial" w:cs="Arial" w:eastAsia="Arial" w:hAnsi="Arial"/>
                <w:sz w:val="8"/>
                <w:szCs w:val="8"/>
                <w:color w:val="auto"/>
              </w:rPr>
              <w:t>Total comprehensive income</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695,563</w:t>
            </w:r>
          </w:p>
        </w:tc>
        <w:tc>
          <w:tcPr>
            <w:tcW w:w="80" w:type="dxa"/>
            <w:vAlign w:val="bottom"/>
          </w:tcPr>
          <w:p>
            <w:pPr>
              <w:spacing w:after="0"/>
              <w:rPr>
                <w:sz w:val="7"/>
                <w:szCs w:val="7"/>
                <w:color w:val="auto"/>
              </w:rPr>
            </w:pPr>
          </w:p>
        </w:tc>
        <w:tc>
          <w:tcPr>
            <w:tcW w:w="6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(57,030)</w:t>
            </w:r>
          </w:p>
        </w:tc>
        <w:tc>
          <w:tcPr>
            <w:tcW w:w="80" w:type="dxa"/>
            <w:vAlign w:val="bottom"/>
          </w:tcPr>
          <w:p>
            <w:pPr>
              <w:spacing w:after="0"/>
              <w:rPr>
                <w:sz w:val="7"/>
                <w:szCs w:val="7"/>
                <w:color w:val="auto"/>
              </w:rPr>
            </w:pPr>
          </w:p>
        </w:tc>
        <w:tc>
          <w:tcPr>
            <w:tcW w:w="4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rPr>
              <w:t>638,533</w:t>
            </w:r>
          </w:p>
        </w:tc>
        <w:tc>
          <w:tcPr>
            <w:tcW w:w="0" w:type="dxa"/>
            <w:vAlign w:val="bottom"/>
          </w:tcPr>
          <w:p>
            <w:pPr>
              <w:spacing w:after="0"/>
              <w:rPr>
                <w:sz w:val="1"/>
                <w:szCs w:val="1"/>
                <w:color w:val="auto"/>
              </w:rPr>
            </w:pPr>
          </w:p>
        </w:tc>
      </w:tr>
      <w:tr>
        <w:trPr>
          <w:trHeight w:val="81"/>
        </w:trPr>
        <w:tc>
          <w:tcPr>
            <w:tcW w:w="326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w w:val="98"/>
              </w:rPr>
              <w:t>Fair value of assets and liabilities acquired and assigned to noncontrolling interest due to the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260" w:type="dxa"/>
            <w:vAlign w:val="bottom"/>
            <w:shd w:val="clear" w:color="auto" w:fill="CCEEFF"/>
          </w:tcPr>
          <w:p>
            <w:pPr>
              <w:ind w:left="80"/>
              <w:spacing w:after="0"/>
              <w:rPr>
                <w:sz w:val="20"/>
                <w:szCs w:val="20"/>
                <w:color w:val="auto"/>
              </w:rPr>
            </w:pPr>
            <w:r>
              <w:rPr>
                <w:rFonts w:ascii="Arial" w:cs="Arial" w:eastAsia="Arial" w:hAnsi="Arial"/>
                <w:sz w:val="8"/>
                <w:szCs w:val="8"/>
                <w:color w:val="auto"/>
              </w:rPr>
              <w:t>adoption of a new accounting standard for the consolidation of variable interests</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65,038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65,038</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Capital contribution from noncontrolling interest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1,881</w:t>
            </w: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1,881</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Repurchase and retirement of common stock pursuant to tender offer</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(56,424)</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w w:val="98"/>
              </w:rPr>
              <w:t>(29)</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87"/>
              </w:rPr>
              <w:t>(2,991,155)</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(2,991,184)</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w w:val="97"/>
              </w:rPr>
              <w:t>(2,991,184)</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treasury stock from conversion of subordinated notes payable</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(83,682)</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2,850</w:t>
            </w:r>
          </w:p>
        </w:tc>
        <w:tc>
          <w:tcPr>
            <w:tcW w:w="40" w:type="dxa"/>
            <w:vAlign w:val="bottom"/>
          </w:tcPr>
          <w:p>
            <w:pPr>
              <w:spacing w:after="0"/>
              <w:rPr>
                <w:sz w:val="7"/>
                <w:szCs w:val="7"/>
                <w:color w:val="auto"/>
              </w:rPr>
            </w:pP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119,795</w:t>
            </w: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36,113</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36,113</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common stock from conversion of subordinated notes payable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182</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2,371</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2,371</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2,371</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treasury stock under stock option and stock purchase plans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(33,824)</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2,994</w:t>
            </w:r>
          </w:p>
        </w:tc>
        <w:tc>
          <w:tcPr>
            <w:tcW w:w="40" w:type="dxa"/>
            <w:vAlign w:val="bottom"/>
          </w:tcPr>
          <w:p>
            <w:pPr>
              <w:spacing w:after="0"/>
              <w:rPr>
                <w:sz w:val="7"/>
                <w:szCs w:val="7"/>
                <w:color w:val="auto"/>
              </w:rPr>
            </w:pP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135,720</w:t>
            </w: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101,896</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101,896</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common stock under stock option and stock purchase plans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8,017</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386,928</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386,932</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386,932</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treasury stock under stock award plans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(48,292)</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135</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465</w:t>
            </w:r>
          </w:p>
        </w:tc>
        <w:tc>
          <w:tcPr>
            <w:tcW w:w="40" w:type="dxa"/>
            <w:vAlign w:val="bottom"/>
          </w:tcPr>
          <w:p>
            <w:pPr>
              <w:spacing w:after="0"/>
              <w:rPr>
                <w:sz w:val="7"/>
                <w:szCs w:val="7"/>
                <w:color w:val="auto"/>
              </w:rPr>
            </w:pP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18,076</w:t>
            </w: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(30,081)</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line="89" w:lineRule="exact"/>
              <w:rPr>
                <w:sz w:val="20"/>
                <w:szCs w:val="20"/>
                <w:color w:val="auto"/>
              </w:rPr>
            </w:pPr>
            <w:r>
              <w:rPr>
                <w:rFonts w:ascii="Arial" w:cs="Arial" w:eastAsia="Arial" w:hAnsi="Arial"/>
                <w:sz w:val="8"/>
                <w:szCs w:val="8"/>
                <w:color w:val="auto"/>
              </w:rPr>
              <w:t>(30,081)</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common stock under stock award plans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(2,744)</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(676)</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(3,420)</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(3,420)</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Forfeiture of common stock under restricted stock plan</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(16)</w:t>
            </w:r>
          </w:p>
        </w:tc>
        <w:tc>
          <w:tcPr>
            <w:tcW w:w="140" w:type="dxa"/>
            <w:vAlign w:val="bottom"/>
          </w:tcPr>
          <w:p>
            <w:pPr>
              <w:spacing w:after="0"/>
              <w:rPr>
                <w:sz w:val="7"/>
                <w:szCs w:val="7"/>
                <w:color w:val="auto"/>
              </w:rPr>
            </w:pPr>
          </w:p>
        </w:tc>
        <w:tc>
          <w:tcPr>
            <w:tcW w:w="3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2,378</w:t>
            </w:r>
          </w:p>
        </w:tc>
        <w:tc>
          <w:tcPr>
            <w:tcW w:w="5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(50)</w:t>
            </w:r>
          </w:p>
        </w:tc>
        <w:tc>
          <w:tcPr>
            <w:tcW w:w="4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(2,378)</w:t>
            </w: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Compensation expense related to share-based payments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128,101</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128,101</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128,101</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Tax benefit from share-based payments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67,227</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67,227</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67,227</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Adjustment for adoption for accounting of uncertain tax positions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(10,583)</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1,585</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(8,998)</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(8,998)</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Treasury stock reclassifications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(1,743)</w:t>
            </w:r>
          </w:p>
        </w:tc>
        <w:tc>
          <w:tcPr>
            <w:tcW w:w="140" w:type="dxa"/>
            <w:vAlign w:val="bottom"/>
          </w:tcPr>
          <w:p>
            <w:pPr>
              <w:spacing w:after="0"/>
              <w:rPr>
                <w:sz w:val="7"/>
                <w:szCs w:val="7"/>
                <w:color w:val="auto"/>
              </w:rPr>
            </w:pPr>
          </w:p>
        </w:tc>
        <w:tc>
          <w:tcPr>
            <w:tcW w:w="3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5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(33,014)</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(15,430)</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1,204</w:t>
            </w:r>
          </w:p>
        </w:tc>
        <w:tc>
          <w:tcPr>
            <w:tcW w:w="40" w:type="dxa"/>
            <w:vAlign w:val="bottom"/>
          </w:tcPr>
          <w:p>
            <w:pPr>
              <w:spacing w:after="0"/>
              <w:rPr>
                <w:sz w:val="7"/>
                <w:szCs w:val="7"/>
                <w:color w:val="auto"/>
              </w:rPr>
            </w:pP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48,442</w:t>
            </w: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line="89" w:lineRule="exact"/>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shd w:val="clear" w:color="auto" w:fill="CCEEFF"/>
          </w:tcPr>
          <w:p>
            <w:pPr>
              <w:spacing w:after="0" w:line="88" w:lineRule="exact"/>
              <w:rPr>
                <w:sz w:val="20"/>
                <w:szCs w:val="20"/>
                <w:color w:val="auto"/>
              </w:rPr>
            </w:pPr>
            <w:r>
              <w:rPr>
                <w:rFonts w:ascii="Arial" w:cs="Arial" w:eastAsia="Arial" w:hAnsi="Arial"/>
                <w:sz w:val="8"/>
                <w:szCs w:val="8"/>
                <w:b w:val="1"/>
                <w:bCs w:val="1"/>
                <w:color w:val="auto"/>
              </w:rPr>
              <w:t>Balance, December 31, 2007</w:t>
            </w:r>
          </w:p>
        </w:tc>
        <w:tc>
          <w:tcPr>
            <w:tcW w:w="3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8</w:t>
            </w:r>
          </w:p>
        </w:tc>
        <w:tc>
          <w:tcPr>
            <w:tcW w:w="1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shd w:val="clear" w:color="auto" w:fill="CCEEFF"/>
          </w:tcPr>
          <w:p>
            <w:pPr>
              <w:ind w:left="80"/>
              <w:spacing w:after="0" w:line="88"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295,698</w:t>
            </w:r>
          </w:p>
        </w:tc>
        <w:tc>
          <w:tcPr>
            <w:tcW w:w="1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w w:val="89"/>
              </w:rPr>
              <w:t>147</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w w:val="95"/>
              </w:rPr>
              <w:t>5,807,071</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79,246</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w w:val="88"/>
              </w:rPr>
              <w:t>$</w:t>
            </w:r>
          </w:p>
        </w:tc>
        <w:tc>
          <w:tcPr>
            <w:tcW w:w="5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(352,169)</w:t>
            </w:r>
          </w:p>
        </w:tc>
        <w:tc>
          <w:tcPr>
            <w:tcW w:w="5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5,534,295</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19,728</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8"/>
                <w:szCs w:val="8"/>
                <w:color w:val="auto"/>
              </w:rPr>
              <w:t>5,554,023</w:t>
            </w:r>
          </w:p>
        </w:tc>
        <w:tc>
          <w:tcPr>
            <w:tcW w:w="0" w:type="dxa"/>
            <w:vAlign w:val="bottom"/>
          </w:tcPr>
          <w:p>
            <w:pPr>
              <w:spacing w:after="0"/>
              <w:rPr>
                <w:sz w:val="1"/>
                <w:szCs w:val="1"/>
                <w:color w:val="auto"/>
              </w:rPr>
            </w:pPr>
          </w:p>
        </w:tc>
      </w:tr>
      <w:tr>
        <w:trPr>
          <w:trHeight w:val="88"/>
        </w:trPr>
        <w:tc>
          <w:tcPr>
            <w:tcW w:w="326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2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783,167</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783,167</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6,940</w:t>
            </w: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790,107</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Unrealized loss on securities available for sale, net of tax of ($1,123)</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(67)</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(67)</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line="89" w:lineRule="exact"/>
              <w:rPr>
                <w:sz w:val="20"/>
                <w:szCs w:val="20"/>
                <w:color w:val="auto"/>
              </w:rPr>
            </w:pPr>
            <w:r>
              <w:rPr>
                <w:rFonts w:ascii="Arial" w:cs="Arial" w:eastAsia="Arial" w:hAnsi="Arial"/>
                <w:sz w:val="8"/>
                <w:szCs w:val="8"/>
                <w:color w:val="auto"/>
              </w:rPr>
              <w:t>(67)</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loss on foreign currency forward contracts, net of tax of $1,522</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(36,140)</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(36,140)</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(36,140)</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Unrealized loss on pension benefit obligation, net of tax of $0</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(43)</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(43)</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line="89" w:lineRule="exact"/>
              <w:rPr>
                <w:sz w:val="20"/>
                <w:szCs w:val="20"/>
                <w:color w:val="auto"/>
              </w:rPr>
            </w:pPr>
            <w:r>
              <w:rPr>
                <w:rFonts w:ascii="Arial" w:cs="Arial" w:eastAsia="Arial" w:hAnsi="Arial"/>
                <w:sz w:val="8"/>
                <w:szCs w:val="8"/>
                <w:color w:val="auto"/>
              </w:rPr>
              <w:t>(43)</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Translation adjustment</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(54,102)</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(54,102)</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(846)</w:t>
            </w: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(54,948)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tcPr>
          <w:p>
            <w:pPr>
              <w:ind w:left="180"/>
              <w:spacing w:after="0" w:line="88" w:lineRule="exact"/>
              <w:rPr>
                <w:sz w:val="20"/>
                <w:szCs w:val="20"/>
                <w:color w:val="auto"/>
              </w:rPr>
            </w:pPr>
            <w:r>
              <w:rPr>
                <w:rFonts w:ascii="Arial" w:cs="Arial" w:eastAsia="Arial" w:hAnsi="Arial"/>
                <w:sz w:val="8"/>
                <w:szCs w:val="8"/>
                <w:color w:val="auto"/>
              </w:rPr>
              <w:t>Total comprehensive income</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692,815</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6,094</w:t>
            </w:r>
          </w:p>
        </w:tc>
        <w:tc>
          <w:tcPr>
            <w:tcW w:w="80" w:type="dxa"/>
            <w:vAlign w:val="bottom"/>
          </w:tcPr>
          <w:p>
            <w:pPr>
              <w:spacing w:after="0"/>
              <w:rPr>
                <w:sz w:val="7"/>
                <w:szCs w:val="7"/>
                <w:color w:val="auto"/>
              </w:rPr>
            </w:pPr>
          </w:p>
        </w:tc>
        <w:tc>
          <w:tcPr>
            <w:tcW w:w="4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rPr>
              <w:t>698,909</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Distribution to noncontrolling interest</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(2,817)</w:t>
            </w: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(2,817)</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Capital contribution from noncontrolling interest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4,864</w:t>
            </w: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4,864</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Repurchase of common stock for Treasury, at cost</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(12,778)</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w w:val="99"/>
              </w:rPr>
              <w:t>(738,938)</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(738,938)</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(738,938)</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common stock from conversion of subordinated notes payable</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140" w:type="dxa"/>
            <w:vAlign w:val="bottom"/>
          </w:tcPr>
          <w:p>
            <w:pPr>
              <w:spacing w:after="0"/>
              <w:rPr>
                <w:sz w:val="7"/>
                <w:szCs w:val="7"/>
                <w:color w:val="auto"/>
              </w:rPr>
            </w:pPr>
          </w:p>
        </w:tc>
        <w:tc>
          <w:tcPr>
            <w:tcW w:w="3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227</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227</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227</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common stock under stock option and stock purchase plans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852</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34,297</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(56,223)</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3,380</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200,411</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178,486</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178,486</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common stock under stock award plans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688</w:t>
            </w:r>
          </w:p>
        </w:tc>
        <w:tc>
          <w:tcPr>
            <w:tcW w:w="140" w:type="dxa"/>
            <w:vAlign w:val="bottom"/>
          </w:tcPr>
          <w:p>
            <w:pPr>
              <w:spacing w:after="0"/>
              <w:rPr>
                <w:sz w:val="7"/>
                <w:szCs w:val="7"/>
                <w:color w:val="auto"/>
              </w:rPr>
            </w:pPr>
          </w:p>
        </w:tc>
        <w:tc>
          <w:tcPr>
            <w:tcW w:w="3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5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(29,800)</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(26,026)</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191</w:t>
            </w:r>
          </w:p>
        </w:tc>
        <w:tc>
          <w:tcPr>
            <w:tcW w:w="40" w:type="dxa"/>
            <w:vAlign w:val="bottom"/>
          </w:tcPr>
          <w:p>
            <w:pPr>
              <w:spacing w:after="0"/>
              <w:rPr>
                <w:sz w:val="7"/>
                <w:szCs w:val="7"/>
                <w:color w:val="auto"/>
              </w:rPr>
            </w:pP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11,430</w:t>
            </w: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(44,395)</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line="89" w:lineRule="exact"/>
              <w:rPr>
                <w:sz w:val="20"/>
                <w:szCs w:val="20"/>
                <w:color w:val="auto"/>
              </w:rPr>
            </w:pPr>
            <w:r>
              <w:rPr>
                <w:rFonts w:ascii="Arial" w:cs="Arial" w:eastAsia="Arial" w:hAnsi="Arial"/>
                <w:sz w:val="8"/>
                <w:szCs w:val="8"/>
                <w:color w:val="auto"/>
              </w:rPr>
              <w:t>(44,395)</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Forfeiture of common stock under restricted stock plan</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Compensation expense related to share-based payments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153,748</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153,748</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153,748</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Tax benefit from share-based payments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29,845</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29,845</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29,845</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Treasury stock reclassifications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78,569</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(78,569)</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shd w:val="clear" w:color="auto" w:fill="CCEEFF"/>
          </w:tcPr>
          <w:p>
            <w:pPr>
              <w:spacing w:after="0" w:line="88" w:lineRule="exact"/>
              <w:rPr>
                <w:sz w:val="20"/>
                <w:szCs w:val="20"/>
                <w:color w:val="auto"/>
              </w:rPr>
            </w:pPr>
            <w:r>
              <w:rPr>
                <w:rFonts w:ascii="Arial" w:cs="Arial" w:eastAsia="Arial" w:hAnsi="Arial"/>
                <w:sz w:val="8"/>
                <w:szCs w:val="8"/>
                <w:b w:val="1"/>
                <w:bCs w:val="1"/>
                <w:color w:val="auto"/>
              </w:rPr>
              <w:t>Balance, December 31, 2008</w:t>
            </w:r>
          </w:p>
        </w:tc>
        <w:tc>
          <w:tcPr>
            <w:tcW w:w="3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8</w:t>
            </w:r>
          </w:p>
        </w:tc>
        <w:tc>
          <w:tcPr>
            <w:tcW w:w="1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shd w:val="clear" w:color="auto" w:fill="CCEEFF"/>
          </w:tcPr>
          <w:p>
            <w:pPr>
              <w:ind w:left="80"/>
              <w:spacing w:after="0" w:line="88"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297,253</w:t>
            </w:r>
          </w:p>
        </w:tc>
        <w:tc>
          <w:tcPr>
            <w:tcW w:w="1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w w:val="89"/>
              </w:rPr>
              <w:t>149</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w w:val="95"/>
              </w:rPr>
              <w:t>6,073,957</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(11,106)</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w w:val="88"/>
              </w:rPr>
              <w:t>$</w:t>
            </w:r>
          </w:p>
        </w:tc>
        <w:tc>
          <w:tcPr>
            <w:tcW w:w="5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270,180</w:t>
            </w:r>
          </w:p>
        </w:tc>
        <w:tc>
          <w:tcPr>
            <w:tcW w:w="5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(9,207)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w w:val="99"/>
              </w:rPr>
              <w:t>(527,097)</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5,806,083</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27,869</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8"/>
                <w:szCs w:val="8"/>
                <w:color w:val="auto"/>
              </w:rPr>
              <w:t>5,833,952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See accompanying notes to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 — (Continued)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i w:val="1"/>
          <w:iCs w:val="1"/>
          <w:color w:val="auto"/>
        </w:rPr>
        <w:t>(In thousands)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3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Accumulated</w:t>
            </w:r>
          </w:p>
        </w:tc>
        <w:tc>
          <w:tcPr>
            <w:tcW w:w="60" w:type="dxa"/>
            <w:vAlign w:val="bottom"/>
          </w:tcPr>
          <w:p>
            <w:pPr>
              <w:spacing w:after="0"/>
              <w:rPr>
                <w:sz w:val="7"/>
                <w:szCs w:val="7"/>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8"/>
              </w:rPr>
              <w:t>Retained</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840" w:type="dxa"/>
            <w:vAlign w:val="bottom"/>
            <w:gridSpan w:val="5"/>
            <w:vMerge w:val="restart"/>
          </w:tcPr>
          <w:p>
            <w:pPr>
              <w:ind w:left="60"/>
              <w:spacing w:after="0"/>
              <w:rPr>
                <w:sz w:val="20"/>
                <w:szCs w:val="20"/>
                <w:color w:val="auto"/>
              </w:rPr>
            </w:pPr>
            <w:r>
              <w:rPr>
                <w:rFonts w:ascii="Arial" w:cs="Arial" w:eastAsia="Arial" w:hAnsi="Arial"/>
                <w:sz w:val="8"/>
                <w:szCs w:val="8"/>
                <w:b w:val="1"/>
                <w:bCs w:val="1"/>
                <w:color w:val="auto"/>
              </w:rPr>
              <w:t>Preferred Stock</w:t>
            </w:r>
          </w:p>
        </w:tc>
        <w:tc>
          <w:tcPr>
            <w:tcW w:w="66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w w:val="85"/>
              </w:rPr>
              <w:t>Common Stock</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w w:val="97"/>
              </w:rPr>
              <w:t>Additional</w:t>
            </w:r>
          </w:p>
        </w:tc>
        <w:tc>
          <w:tcPr>
            <w:tcW w:w="40" w:type="dxa"/>
            <w:vAlign w:val="bottom"/>
          </w:tcPr>
          <w:p>
            <w:pPr>
              <w:spacing w:after="0"/>
              <w:rPr>
                <w:sz w:val="8"/>
                <w:szCs w:val="8"/>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Other</w:t>
            </w:r>
          </w:p>
        </w:tc>
        <w:tc>
          <w:tcPr>
            <w:tcW w:w="60" w:type="dxa"/>
            <w:vAlign w:val="bottom"/>
          </w:tcPr>
          <w:p>
            <w:pPr>
              <w:spacing w:after="0"/>
              <w:rPr>
                <w:sz w:val="8"/>
                <w:szCs w:val="8"/>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Earnings/</w:t>
            </w:r>
          </w:p>
        </w:tc>
        <w:tc>
          <w:tcPr>
            <w:tcW w:w="1060" w:type="dxa"/>
            <w:vAlign w:val="bottom"/>
            <w:gridSpan w:val="4"/>
            <w:vMerge w:val="restart"/>
          </w:tcPr>
          <w:p>
            <w:pPr>
              <w:jc w:val="right"/>
              <w:ind w:right="360"/>
              <w:spacing w:after="0"/>
              <w:rPr>
                <w:sz w:val="20"/>
                <w:szCs w:val="20"/>
                <w:color w:val="auto"/>
              </w:rPr>
            </w:pPr>
            <w:r>
              <w:rPr>
                <w:rFonts w:ascii="Arial" w:cs="Arial" w:eastAsia="Arial" w:hAnsi="Arial"/>
                <w:sz w:val="8"/>
                <w:szCs w:val="8"/>
                <w:b w:val="1"/>
                <w:bCs w:val="1"/>
                <w:color w:val="auto"/>
              </w:rPr>
              <w:t>Treasury Stock</w:t>
            </w:r>
          </w:p>
        </w:tc>
        <w:tc>
          <w:tcPr>
            <w:tcW w:w="720" w:type="dxa"/>
            <w:vAlign w:val="bottom"/>
            <w:gridSpan w:val="3"/>
          </w:tcPr>
          <w:p>
            <w:pPr>
              <w:jc w:val="center"/>
              <w:ind w:right="160"/>
              <w:spacing w:after="0"/>
              <w:rPr>
                <w:sz w:val="20"/>
                <w:szCs w:val="20"/>
                <w:color w:val="auto"/>
              </w:rPr>
            </w:pPr>
            <w:r>
              <w:rPr>
                <w:rFonts w:ascii="Arial" w:cs="Arial" w:eastAsia="Arial" w:hAnsi="Arial"/>
                <w:sz w:val="8"/>
                <w:szCs w:val="8"/>
                <w:b w:val="1"/>
                <w:bCs w:val="1"/>
                <w:color w:val="auto"/>
                <w:w w:val="91"/>
              </w:rPr>
              <w:t>Biogen Idec Inc.</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w w:val="83"/>
              </w:rPr>
              <w:t>Total</w:t>
            </w: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rPr>
              <w:t>Paid-in</w:t>
            </w:r>
          </w:p>
        </w:tc>
        <w:tc>
          <w:tcPr>
            <w:tcW w:w="700" w:type="dxa"/>
            <w:vAlign w:val="bottom"/>
            <w:gridSpan w:val="3"/>
          </w:tcPr>
          <w:p>
            <w:pPr>
              <w:jc w:val="center"/>
              <w:ind w:right="180"/>
              <w:spacing w:after="0" w:line="88" w:lineRule="exact"/>
              <w:rPr>
                <w:sz w:val="20"/>
                <w:szCs w:val="20"/>
                <w:color w:val="auto"/>
              </w:rPr>
            </w:pPr>
            <w:r>
              <w:rPr>
                <w:rFonts w:ascii="Arial" w:cs="Arial" w:eastAsia="Arial" w:hAnsi="Arial"/>
                <w:sz w:val="8"/>
                <w:szCs w:val="8"/>
                <w:b w:val="1"/>
                <w:bCs w:val="1"/>
                <w:color w:val="auto"/>
                <w:w w:val="86"/>
              </w:rPr>
              <w:t>Comprehensive</w:t>
            </w:r>
          </w:p>
        </w:tc>
        <w:tc>
          <w:tcPr>
            <w:tcW w:w="640" w:type="dxa"/>
            <w:vAlign w:val="bottom"/>
            <w:gridSpan w:val="3"/>
          </w:tcPr>
          <w:p>
            <w:pPr>
              <w:jc w:val="center"/>
              <w:ind w:right="180"/>
              <w:spacing w:after="0" w:line="88" w:lineRule="exact"/>
              <w:rPr>
                <w:sz w:val="20"/>
                <w:szCs w:val="20"/>
                <w:color w:val="auto"/>
              </w:rPr>
            </w:pPr>
            <w:r>
              <w:rPr>
                <w:rFonts w:ascii="Arial" w:cs="Arial" w:eastAsia="Arial" w:hAnsi="Arial"/>
                <w:sz w:val="8"/>
                <w:szCs w:val="8"/>
                <w:b w:val="1"/>
                <w:bCs w:val="1"/>
                <w:color w:val="auto"/>
                <w:w w:val="86"/>
              </w:rPr>
              <w:t>(Accumulated</w:t>
            </w:r>
          </w:p>
        </w:tc>
        <w:tc>
          <w:tcPr>
            <w:tcW w:w="1060" w:type="dxa"/>
            <w:vAlign w:val="bottom"/>
            <w:gridSpan w:val="4"/>
            <w:vMerge w:val="continue"/>
          </w:tcPr>
          <w:p>
            <w:pPr>
              <w:spacing w:after="0"/>
              <w:rPr>
                <w:sz w:val="7"/>
                <w:szCs w:val="7"/>
                <w:color w:val="auto"/>
              </w:rPr>
            </w:pPr>
          </w:p>
        </w:tc>
        <w:tc>
          <w:tcPr>
            <w:tcW w:w="720" w:type="dxa"/>
            <w:vAlign w:val="bottom"/>
            <w:gridSpan w:val="3"/>
          </w:tcPr>
          <w:p>
            <w:pPr>
              <w:jc w:val="center"/>
              <w:ind w:right="160"/>
              <w:spacing w:after="0" w:line="88" w:lineRule="exact"/>
              <w:rPr>
                <w:sz w:val="20"/>
                <w:szCs w:val="20"/>
                <w:color w:val="auto"/>
              </w:rPr>
            </w:pPr>
            <w:r>
              <w:rPr>
                <w:rFonts w:ascii="Arial" w:cs="Arial" w:eastAsia="Arial" w:hAnsi="Arial"/>
                <w:sz w:val="8"/>
                <w:szCs w:val="8"/>
                <w:b w:val="1"/>
                <w:bCs w:val="1"/>
                <w:color w:val="auto"/>
                <w:w w:val="89"/>
              </w:rPr>
              <w:t>Shareholders’</w:t>
            </w:r>
          </w:p>
        </w:tc>
        <w:tc>
          <w:tcPr>
            <w:tcW w:w="68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Noncontrolling</w:t>
            </w:r>
          </w:p>
        </w:tc>
        <w:tc>
          <w:tcPr>
            <w:tcW w:w="500" w:type="dxa"/>
            <w:vAlign w:val="bottom"/>
            <w:gridSpan w:val="2"/>
          </w:tcPr>
          <w:p>
            <w:pPr>
              <w:jc w:val="center"/>
              <w:ind w:right="20"/>
              <w:spacing w:after="0" w:line="88" w:lineRule="exact"/>
              <w:rPr>
                <w:sz w:val="20"/>
                <w:szCs w:val="20"/>
                <w:color w:val="auto"/>
              </w:rPr>
            </w:pPr>
            <w:r>
              <w:rPr>
                <w:rFonts w:ascii="Arial" w:cs="Arial" w:eastAsia="Arial" w:hAnsi="Arial"/>
                <w:sz w:val="8"/>
                <w:szCs w:val="8"/>
                <w:b w:val="1"/>
                <w:bCs w:val="1"/>
                <w:color w:val="auto"/>
                <w:w w:val="89"/>
              </w:rPr>
              <w:t>Shareholders’</w:t>
            </w:r>
          </w:p>
        </w:tc>
        <w:tc>
          <w:tcPr>
            <w:tcW w:w="0" w:type="dxa"/>
            <w:vAlign w:val="bottom"/>
          </w:tcPr>
          <w:p>
            <w:pPr>
              <w:spacing w:after="0"/>
              <w:rPr>
                <w:sz w:val="1"/>
                <w:szCs w:val="1"/>
                <w:color w:val="auto"/>
              </w:rPr>
            </w:pPr>
          </w:p>
        </w:tc>
      </w:tr>
      <w:tr>
        <w:trPr>
          <w:trHeight w:val="78"/>
        </w:trPr>
        <w:tc>
          <w:tcPr>
            <w:tcW w:w="3260" w:type="dxa"/>
            <w:vAlign w:val="bottom"/>
          </w:tcPr>
          <w:p>
            <w:pPr>
              <w:spacing w:after="0"/>
              <w:rPr>
                <w:sz w:val="6"/>
                <w:szCs w:val="6"/>
                <w:color w:val="auto"/>
              </w:rPr>
            </w:pPr>
          </w:p>
        </w:tc>
        <w:tc>
          <w:tcPr>
            <w:tcW w:w="3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52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97"/>
              </w:rPr>
              <w:t>Shares</w:t>
            </w:r>
          </w:p>
        </w:tc>
        <w:tc>
          <w:tcPr>
            <w:tcW w:w="2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160" w:type="dxa"/>
            <w:vAlign w:val="bottom"/>
          </w:tcPr>
          <w:p>
            <w:pPr>
              <w:spacing w:after="0"/>
              <w:rPr>
                <w:sz w:val="6"/>
                <w:szCs w:val="6"/>
                <w:color w:val="auto"/>
              </w:rPr>
            </w:pPr>
          </w:p>
        </w:tc>
        <w:tc>
          <w:tcPr>
            <w:tcW w:w="6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Capital</w:t>
            </w:r>
          </w:p>
        </w:tc>
        <w:tc>
          <w:tcPr>
            <w:tcW w:w="40" w:type="dxa"/>
            <w:vAlign w:val="bottom"/>
          </w:tcPr>
          <w:p>
            <w:pPr>
              <w:spacing w:after="0"/>
              <w:rPr>
                <w:sz w:val="6"/>
                <w:szCs w:val="6"/>
                <w:color w:val="auto"/>
              </w:rPr>
            </w:pPr>
          </w:p>
        </w:tc>
        <w:tc>
          <w:tcPr>
            <w:tcW w:w="66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5"/>
              </w:rPr>
              <w:t>Income</w:t>
            </w:r>
          </w:p>
        </w:tc>
        <w:tc>
          <w:tcPr>
            <w:tcW w:w="60" w:type="dxa"/>
            <w:vAlign w:val="bottom"/>
          </w:tcPr>
          <w:p>
            <w:pPr>
              <w:spacing w:after="0"/>
              <w:rPr>
                <w:sz w:val="6"/>
                <w:szCs w:val="6"/>
                <w:color w:val="auto"/>
              </w:rPr>
            </w:pPr>
          </w:p>
        </w:tc>
        <w:tc>
          <w:tcPr>
            <w:tcW w:w="58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95"/>
              </w:rPr>
              <w:t>Deficit)</w:t>
            </w:r>
          </w:p>
        </w:tc>
        <w:tc>
          <w:tcPr>
            <w:tcW w:w="52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97"/>
              </w:rPr>
              <w:t>Shares</w:t>
            </w:r>
          </w:p>
        </w:tc>
        <w:tc>
          <w:tcPr>
            <w:tcW w:w="360" w:type="dxa"/>
            <w:vAlign w:val="bottom"/>
            <w:tcBorders>
              <w:top w:val="single" w:sz="8" w:color="auto"/>
            </w:tcBorders>
          </w:tcPr>
          <w:p>
            <w:pPr>
              <w:jc w:val="right"/>
              <w:ind w:right="1"/>
              <w:spacing w:after="0" w:line="79" w:lineRule="exact"/>
              <w:rPr>
                <w:sz w:val="20"/>
                <w:szCs w:val="20"/>
                <w:color w:val="auto"/>
              </w:rPr>
            </w:pPr>
            <w:r>
              <w:rPr>
                <w:rFonts w:ascii="Arial" w:cs="Arial" w:eastAsia="Arial" w:hAnsi="Arial"/>
                <w:sz w:val="8"/>
                <w:szCs w:val="8"/>
                <w:b w:val="1"/>
                <w:bCs w:val="1"/>
                <w:color w:val="auto"/>
                <w:w w:val="99"/>
              </w:rPr>
              <w:t>Amount</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97"/>
              </w:rPr>
              <w:t>Equity</w:t>
            </w:r>
          </w:p>
        </w:tc>
        <w:tc>
          <w:tcPr>
            <w:tcW w:w="80" w:type="dxa"/>
            <w:vAlign w:val="bottom"/>
          </w:tcPr>
          <w:p>
            <w:pPr>
              <w:spacing w:after="0"/>
              <w:rPr>
                <w:sz w:val="6"/>
                <w:szCs w:val="6"/>
                <w:color w:val="auto"/>
              </w:rPr>
            </w:pPr>
          </w:p>
        </w:tc>
        <w:tc>
          <w:tcPr>
            <w:tcW w:w="60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w w:val="96"/>
              </w:rPr>
              <w:t>Interest</w:t>
            </w:r>
          </w:p>
        </w:tc>
        <w:tc>
          <w:tcPr>
            <w:tcW w:w="500" w:type="dxa"/>
            <w:vAlign w:val="bottom"/>
            <w:gridSpan w:val="2"/>
          </w:tcPr>
          <w:p>
            <w:pPr>
              <w:jc w:val="center"/>
              <w:ind w:right="20"/>
              <w:spacing w:after="0" w:line="79" w:lineRule="exact"/>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Net income</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970,132</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970,132</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6,930</w:t>
            </w:r>
          </w:p>
        </w:tc>
        <w:tc>
          <w:tcPr>
            <w:tcW w:w="50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977,062</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gains on securities available for sale, net of tax of $(379)</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795</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795</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795</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Unrealized gains on foreign currency forward contracts, net of tax of $(3,582)</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41,668</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41,668</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41,668</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gains on pension benefit obligation, net of tax of $(67)</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501</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501</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501</w:t>
            </w:r>
          </w:p>
        </w:tc>
        <w:tc>
          <w:tcPr>
            <w:tcW w:w="0" w:type="dxa"/>
            <w:vAlign w:val="bottom"/>
          </w:tcPr>
          <w:p>
            <w:pPr>
              <w:spacing w:after="0"/>
              <w:rPr>
                <w:sz w:val="1"/>
                <w:szCs w:val="1"/>
                <w:color w:val="auto"/>
              </w:rPr>
            </w:pPr>
          </w:p>
        </w:tc>
      </w:tr>
      <w:tr>
        <w:trPr>
          <w:trHeight w:val="88"/>
        </w:trPr>
        <w:tc>
          <w:tcPr>
            <w:tcW w:w="3260" w:type="dxa"/>
            <w:vAlign w:val="bottom"/>
          </w:tcPr>
          <w:p>
            <w:pPr>
              <w:ind w:left="80"/>
              <w:spacing w:after="0" w:line="89" w:lineRule="exact"/>
              <w:rPr>
                <w:sz w:val="20"/>
                <w:szCs w:val="20"/>
                <w:color w:val="auto"/>
              </w:rPr>
            </w:pPr>
            <w:r>
              <w:rPr>
                <w:rFonts w:ascii="Arial" w:cs="Arial" w:eastAsia="Arial" w:hAnsi="Arial"/>
                <w:sz w:val="8"/>
                <w:szCs w:val="8"/>
                <w:color w:val="auto"/>
              </w:rPr>
              <w:t>Translation adjustment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18,638</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18,638</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1,197</w:t>
            </w:r>
          </w:p>
        </w:tc>
        <w:tc>
          <w:tcPr>
            <w:tcW w:w="50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19,835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shd w:val="clear" w:color="auto" w:fill="CCEEFF"/>
          </w:tcPr>
          <w:p>
            <w:pPr>
              <w:ind w:left="180"/>
              <w:spacing w:after="0" w:line="88" w:lineRule="exact"/>
              <w:rPr>
                <w:sz w:val="20"/>
                <w:szCs w:val="20"/>
                <w:color w:val="auto"/>
              </w:rPr>
            </w:pPr>
            <w:r>
              <w:rPr>
                <w:rFonts w:ascii="Arial" w:cs="Arial" w:eastAsia="Arial" w:hAnsi="Arial"/>
                <w:sz w:val="8"/>
                <w:szCs w:val="8"/>
                <w:color w:val="auto"/>
              </w:rPr>
              <w:t>Total comprehensive income</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1,031,734</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8,127</w:t>
            </w:r>
          </w:p>
        </w:tc>
        <w:tc>
          <w:tcPr>
            <w:tcW w:w="50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8"/>
                <w:szCs w:val="8"/>
                <w:color w:val="auto"/>
              </w:rPr>
              <w:t>1,039,861</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Distrbution to noncontrolling interest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(2,832)</w:t>
            </w:r>
          </w:p>
        </w:tc>
        <w:tc>
          <w:tcPr>
            <w:tcW w:w="500" w:type="dxa"/>
            <w:vAlign w:val="bottom"/>
            <w:gridSpan w:val="2"/>
          </w:tcPr>
          <w:p>
            <w:pPr>
              <w:jc w:val="right"/>
              <w:spacing w:after="0" w:line="89" w:lineRule="exact"/>
              <w:rPr>
                <w:sz w:val="20"/>
                <w:szCs w:val="20"/>
                <w:color w:val="auto"/>
              </w:rPr>
            </w:pPr>
            <w:r>
              <w:rPr>
                <w:rFonts w:ascii="Arial" w:cs="Arial" w:eastAsia="Arial" w:hAnsi="Arial"/>
                <w:sz w:val="8"/>
                <w:szCs w:val="8"/>
                <w:color w:val="auto"/>
              </w:rPr>
              <w:t>(2,832)</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Capital contribution from noncontrolling interest</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7,188</w:t>
            </w:r>
          </w:p>
        </w:tc>
        <w:tc>
          <w:tcPr>
            <w:tcW w:w="50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7,188</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Repurchase of common stock for Treasury, at cost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(15,982)</w:t>
            </w:r>
          </w:p>
        </w:tc>
        <w:tc>
          <w:tcPr>
            <w:tcW w:w="54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(751,170)</w:t>
            </w: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(751,170)</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gridSpan w:val="2"/>
          </w:tcPr>
          <w:p>
            <w:pPr>
              <w:jc w:val="right"/>
              <w:spacing w:after="0" w:line="89" w:lineRule="exact"/>
              <w:rPr>
                <w:sz w:val="20"/>
                <w:szCs w:val="20"/>
                <w:color w:val="auto"/>
              </w:rPr>
            </w:pPr>
            <w:r>
              <w:rPr>
                <w:rFonts w:ascii="Arial" w:cs="Arial" w:eastAsia="Arial" w:hAnsi="Arial"/>
                <w:sz w:val="8"/>
                <w:szCs w:val="8"/>
                <w:color w:val="auto"/>
              </w:rPr>
              <w:t>(751,170)</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Retirement of common stock pursuant to 2009 stock repurchase plan</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(8,759)</w:t>
            </w:r>
          </w:p>
        </w:tc>
        <w:tc>
          <w:tcPr>
            <w:tcW w:w="1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w:t>
            </w: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(422,415)</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8,759</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422,420</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Issuance of treasury stock under stock option and stock purchase plans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(27,191)</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1,181</w:t>
            </w:r>
          </w:p>
        </w:tc>
        <w:tc>
          <w:tcPr>
            <w:tcW w:w="5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75,001</w:t>
            </w: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47,810</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47,810</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treasury stock under stock award plans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(144,231)</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1,610</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100,926</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(43,305)</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(43,305)</w:t>
            </w:r>
          </w:p>
        </w:tc>
        <w:tc>
          <w:tcPr>
            <w:tcW w:w="0" w:type="dxa"/>
            <w:vAlign w:val="bottom"/>
          </w:tcPr>
          <w:p>
            <w:pPr>
              <w:spacing w:after="0"/>
              <w:rPr>
                <w:sz w:val="1"/>
                <w:szCs w:val="1"/>
                <w:color w:val="auto"/>
              </w:rPr>
            </w:pPr>
          </w:p>
        </w:tc>
      </w:tr>
      <w:tr>
        <w:trPr>
          <w:trHeight w:val="88"/>
        </w:trPr>
        <w:tc>
          <w:tcPr>
            <w:tcW w:w="3260" w:type="dxa"/>
            <w:vAlign w:val="bottom"/>
          </w:tcPr>
          <w:p>
            <w:pPr>
              <w:spacing w:after="0" w:line="89" w:lineRule="exact"/>
              <w:rPr>
                <w:sz w:val="20"/>
                <w:szCs w:val="20"/>
                <w:color w:val="auto"/>
              </w:rPr>
            </w:pPr>
            <w:r>
              <w:rPr>
                <w:rFonts w:ascii="Arial" w:cs="Arial" w:eastAsia="Arial" w:hAnsi="Arial"/>
                <w:sz w:val="8"/>
                <w:szCs w:val="8"/>
                <w:color w:val="auto"/>
              </w:rPr>
              <w:t>Compensation expense related to share-based payments</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167,207</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167,207</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167,207</w:t>
            </w:r>
          </w:p>
        </w:tc>
        <w:tc>
          <w:tcPr>
            <w:tcW w:w="0" w:type="dxa"/>
            <w:vAlign w:val="bottom"/>
          </w:tcPr>
          <w:p>
            <w:pPr>
              <w:spacing w:after="0"/>
              <w:rPr>
                <w:sz w:val="1"/>
                <w:szCs w:val="1"/>
                <w:color w:val="auto"/>
              </w:rPr>
            </w:pPr>
          </w:p>
        </w:tc>
      </w:tr>
      <w:tr>
        <w:trPr>
          <w:trHeight w:val="88"/>
        </w:trPr>
        <w:tc>
          <w:tcPr>
            <w:tcW w:w="3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Tax benefit from share-based payments</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(36,829)</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(36,829)</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(36,829)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8"/>
                <w:szCs w:val="8"/>
                <w:b w:val="1"/>
                <w:bCs w:val="1"/>
                <w:color w:val="auto"/>
              </w:rPr>
              <w:t>Balance, December 31, 2009</w:t>
            </w: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vMerge w:val="continue"/>
          </w:tcPr>
          <w:p>
            <w:pPr>
              <w:spacing w:after="0"/>
              <w:rPr>
                <w:sz w:val="7"/>
                <w:szCs w:val="7"/>
                <w:color w:val="auto"/>
              </w:rPr>
            </w:pPr>
          </w:p>
        </w:tc>
        <w:tc>
          <w:tcPr>
            <w:tcW w:w="200" w:type="dxa"/>
            <w:vAlign w:val="bottom"/>
          </w:tcPr>
          <w:p>
            <w:pPr>
              <w:jc w:val="right"/>
              <w:spacing w:after="0" w:line="88" w:lineRule="exact"/>
              <w:rPr>
                <w:sz w:val="20"/>
                <w:szCs w:val="20"/>
                <w:color w:val="auto"/>
              </w:rPr>
            </w:pPr>
            <w:r>
              <w:rPr>
                <w:rFonts w:ascii="Arial" w:cs="Arial" w:eastAsia="Arial" w:hAnsi="Arial"/>
                <w:sz w:val="8"/>
                <w:szCs w:val="8"/>
                <w:color w:val="auto"/>
              </w:rPr>
              <w:t>8</w:t>
            </w:r>
          </w:p>
        </w:tc>
        <w:tc>
          <w:tcPr>
            <w:tcW w:w="180" w:type="dxa"/>
            <w:vAlign w:val="bottom"/>
          </w:tcPr>
          <w:p>
            <w:pPr>
              <w:spacing w:after="0"/>
              <w:rPr>
                <w:sz w:val="7"/>
                <w:szCs w:val="7"/>
                <w:color w:val="auto"/>
              </w:rPr>
            </w:pPr>
          </w:p>
        </w:tc>
        <w:tc>
          <w:tcPr>
            <w:tcW w:w="120" w:type="dxa"/>
            <w:vAlign w:val="bottom"/>
          </w:tcPr>
          <w:p>
            <w:pPr>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tcPr>
          <w:p>
            <w:pPr>
              <w:ind w:left="80"/>
              <w:spacing w:after="0" w:line="88"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288,494</w:t>
            </w:r>
          </w:p>
        </w:tc>
        <w:tc>
          <w:tcPr>
            <w:tcW w:w="140" w:type="dxa"/>
            <w:vAlign w:val="bottom"/>
          </w:tcPr>
          <w:p>
            <w:pPr>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89"/>
              </w:rPr>
              <w:t>144</w:t>
            </w:r>
          </w:p>
        </w:tc>
        <w:tc>
          <w:tcPr>
            <w:tcW w:w="6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4"/>
              </w:rPr>
              <w:t>$  5,781,920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50,496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1,068,890</w:t>
            </w:r>
          </w:p>
        </w:tc>
        <w:tc>
          <w:tcPr>
            <w:tcW w:w="5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(13,639)</w:t>
            </w:r>
          </w:p>
        </w:tc>
        <w:tc>
          <w:tcPr>
            <w:tcW w:w="54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w w:val="87"/>
              </w:rPr>
              <w:t>$  (679,920)</w:t>
            </w:r>
          </w:p>
        </w:tc>
        <w:tc>
          <w:tcPr>
            <w:tcW w:w="100" w:type="dxa"/>
            <w:vAlign w:val="bottom"/>
          </w:tcPr>
          <w:p>
            <w:pPr>
              <w:jc w:val="right"/>
              <w:ind w:right="25"/>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6,221,530</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40,352</w:t>
            </w:r>
          </w:p>
        </w:tc>
        <w:tc>
          <w:tcPr>
            <w:tcW w:w="50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w w:val="98"/>
              </w:rPr>
              <w:t>$   6,261,882</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See accompanying notes to these consolidated financial statements.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Consolidation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Biogen Idec Inc. (“Biogen Idec,” “we,” “us” or “the Company”) is a global biotechnology company that creates new standards of care in therapeutic areas with high unmet medical needs. Our consolidated financial statements reflect our financial statements, those of our wholly-owned subsidiaries, certain variable interest entities in which we are the primary beneficiary and those of our joint ventures in Italy and Switzerland, Biogen Dompé SRL and Biogen Dompé Switzerland GmbH, respectively. For such consolidated entities in which we own less than a 100% interest, we record net income (loss) attributable to noncontrolling interest in our consolidated statements of income equal to the percentage of the interest retained in the collaborative arrangement by the respective noncontrolling parties. All material intercompany balances and transactions have been eliminated in consolidation.</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determining whether we are the primary beneficiary, we consider a number of factors, including determining the expected losses and residual returns of the technologies being developed pursuant to collaborations and other economic risk and reward of such collaborations; these considerations impact the way we account for our existing collaborative relationships and may result in the future consolidation of companies or entities with which we have a collaborative arrangement.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Use of Estimates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preparation of consolidated financial statements in accordance with U.S. GAAP requires our management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marketable securities, derivatives and hedging activities, inventory, impairments of long-lived assets including intangible assets, impairments of goodwill, income taxes including the valuation allowance for deferred tax assets, valuation of investments, research and development expenses, contingencies and litigation, and share-based payments.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Where specified, certain prior-year amounts have been reclassified to conform to the current year’s presentation.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Subsequent Events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evaluated all events and transactions through February 9, 2009, the date we issued these financial statements. During this period we did not have any material recognizable subsequent events. However, we did have the following nonrecognizable subsequent events:</w:t>
      </w:r>
    </w:p>
    <w:p>
      <w:pPr>
        <w:spacing w:after="0" w:line="59" w:lineRule="exact"/>
        <w:rPr>
          <w:sz w:val="20"/>
          <w:szCs w:val="20"/>
          <w:color w:val="auto"/>
        </w:rPr>
      </w:pPr>
    </w:p>
    <w:p>
      <w:pPr>
        <w:ind w:left="1280" w:right="220" w:hanging="190"/>
        <w:spacing w:after="0" w:line="260"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In January 2010, Syntonix Pharmaceuticals, Inc. (Syntonix) achieved a significant development milestone obligating us to pay $40.0 million to its former shareholders. As the milestone occurred after December 31, 2009, the obligation is not reflected within our consolidated balance sheet as of that date. Such obligations are recorded when the milestone has been achieved due to the uncertainty surrounding triggering events. Refer to Note 2,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xml:space="preserve"> to our Consolidated Financial Statements for additional discussion.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collectibility is reasonably assured.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Revenues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Revenues from product sales are recognized when title and risk of loss have passed to the customer, which is typically upon delivery. However, sales of TYSABRI in the U.S. are recognized on the “sell-through” model, that is, upon shipment of the product by Elan Pharma International, Ltd. (Elan), an affiliate of Elan Corporation, plc, Elan to its third party distributor rather than upon shipment to Elan.</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Product revenues are recorded net of applicable reserves for trade term discounts, wholesaler incentives, Medicaid rebates, Veterans Administration (VA) rebates, managed care rebates, product returns and other applicable allowances.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 from Unconsolidated Joint Business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collaborate with the Roche Group, through its wholly-owned member Genentech, Inc., on the development and commercialization of RITUXAN. Revenues from unconsolidated joint business consist of (1) our share of pre-tax co-promotion profits in the U.S.; (2) reimbursement of our selling and development expense in the U.S.; and (3) revenue on sales of RITUXAN in the rest of world, which consist of our share of pretax co-promotion profits in Canada and royalty revenue on sales of RITUXAN outside the U.S. and Canada by F. Hoffmann-La Roche Ltd.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and joint development expenses incurred by Genentech, Roche and us. We record our royalty and co-promotion profits revenue on sales of RITUXAN in the rest of world on a cash basis.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Royalty Revenues</w:t>
      </w:r>
    </w:p>
    <w:p>
      <w:pPr>
        <w:spacing w:after="0" w:line="96"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We receive royalty revenues on sales by our licensees of other products covered under patents that we own. There are no future performance obligations on our part under these license arrangements.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We maintain regular communication with our licensees in order to assess the reasonableness of our estimates. Differences between actual royalty revenues and estimated royalty revenues are adjusted for in the period in which they become known, typically the following quarter. Historically, adjustments have not been material when compared to actual amounts paid by licensees. To the extent we do not have sufficient ability to accurately estimate revenue, we record revenues on a cash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Milestone Revenues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Under the terms of our collaboration agreement with Elan was required to make milestone payments to us in order to continue sharing equally in the collaboration’s results. These amounts, recorded as deferred revenue upon receipt, are recognized as product revenue in our consolidated statements of income over the term of the collaboration agreement based on a units of revenue method whereby the revenue recognized is based on the ratio of units shipped in the current period over the total units expected to be shipped over the remaining term of the collaboration.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Reserves for Discounts and Allowances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establish reserves for trade term discounts, wholesaler incentives, Medicaid rebates, Veteran’s Administration (VA) rebates, managed care rebates, product returns and other applicable allowances. Reserves established for these discounts and allowances are classified as reductions of accounts receivable (if the amount is payable to our customer) or a liability (if the amount is payable to a party other than our customer).</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we distribute no-charge product to qualifying patients under our patient assistance and patient replacement goods programs. This program is administered through one of our distribution partners, who ships product for qualifying patients from their own inventory purchased from us. Gross revenue and the related reserves are not recorded on product shipped under this program and cost of sales is recorded when the product is shipped.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Product revenue reserves are categorized as follows: discounts, contractual adjustments, and returns.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Discount reserves include trade term discounts and wholesaler incentives. Trade term discounts and wholesaler incentive reserves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experience, including the timing of customer payments.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Contractual adjustment reserves primarily relate to Medicaid, VA and managed care rebates.</w:t>
      </w:r>
    </w:p>
    <w:p>
      <w:pPr>
        <w:spacing w:after="0" w:line="96" w:lineRule="exact"/>
        <w:rPr>
          <w:sz w:val="20"/>
          <w:szCs w:val="20"/>
          <w:color w:val="auto"/>
        </w:rPr>
      </w:pPr>
    </w:p>
    <w:p>
      <w:pPr>
        <w:ind w:left="1280" w:right="140" w:hanging="190"/>
        <w:spacing w:after="0" w:line="260"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Medicaid rebate reserves relate to our estimated obligations to states under established reimbursement arrangements. Rebate accruals are recorded in the same period the related revenue is recognized resulting in a reduction of product revenue and the establishment of a liability which is included in accrued expenses and other current liabilities. Rebate amounts are generally determined at the time of claim by the state, and we generally make cash payments for such amounts within a few weeks of receiving billings from the state.</w:t>
      </w:r>
    </w:p>
    <w:p>
      <w:pPr>
        <w:spacing w:after="0" w:line="59" w:lineRule="exact"/>
        <w:rPr>
          <w:rFonts w:ascii="Arial" w:cs="Arial" w:eastAsia="Arial" w:hAnsi="Arial"/>
          <w:sz w:val="13"/>
          <w:szCs w:val="13"/>
          <w:color w:val="auto"/>
        </w:rPr>
      </w:pPr>
    </w:p>
    <w:p>
      <w:pPr>
        <w:ind w:left="1280" w:hanging="190"/>
        <w:spacing w:after="0" w:line="258"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VA rebates or chargeback reserves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accruals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receiving notification from the wholesaler.</w:t>
      </w:r>
    </w:p>
    <w:p>
      <w:pPr>
        <w:spacing w:after="0" w:line="61" w:lineRule="exact"/>
        <w:rPr>
          <w:rFonts w:ascii="Arial" w:cs="Arial" w:eastAsia="Arial" w:hAnsi="Arial"/>
          <w:sz w:val="13"/>
          <w:szCs w:val="13"/>
          <w:color w:val="auto"/>
        </w:rPr>
      </w:pPr>
    </w:p>
    <w:p>
      <w:pPr>
        <w:ind w:left="1280" w:right="20" w:hanging="190"/>
        <w:spacing w:after="0" w:line="289" w:lineRule="auto"/>
        <w:tabs>
          <w:tab w:leader="none" w:pos="12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Managed care rebates reserves represent our estimated obligations to third parties, primarily pharmacy benefit managers. Rebate accruals are recorded in the same period the related revenue is recognized resulting in a reduction to product revenue and the establishment of a liability which is included in accrued expenses and other current liabilities. These rebates result from performance-based offers that are primarily based on attaining contractually specified sales volumes and growth. The calculation of the accrual for these rebates is based on an estimate of the customer’s buying patterns and the resulting applicable contractual rebate rate(s) to be earned over a contractual period.</w:t>
      </w:r>
    </w:p>
    <w:p>
      <w:pPr>
        <w:spacing w:after="0" w:line="5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Allowances for product returns are established for returns made by wholesalers and patients and are recorded in the period the related revenue is recognized, resulting in a reduction to product revenue. In accordance with contractual terms, wholesalers are permitted to return product for reasons such as damaged or expired product. We also accept returns from our patients for various reasons.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Bad debt reserves are based on our estimated uncollectible accounts receivable. Given our historical experiences with bad debts, combined with our credit management policies and practices, we do not presently maintain significant bad debt reserves.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and distribution services. We have established the fair value of these services and classified these customer service contracts as sales and marketing expense. If we had concluded that we did not receive a separate identifiable benefit or have sufficient evidence that the fair value did not exist for these services, we would have been required to classify these costs as a reduction of revenue.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consider only those investments which are highly liquid, readily convertible to cash and that mature within three months from date of purchase to be cash equivalents. As of December 31, 2009, cash equivalents were comprised of money market funds and commercial paper.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Effective January 1, 2009, we adopted a newly issued accounting standard for fair value measurements of all nonfinancial assets and nonfinancial liabilities not recognized or disclosed at fair value in the financial statements on a recurring basis. The adoption of the accounting standard for these assets and liabilities did not have a material impact on our financial position or results of operations; however, this standard may impact us in subsequent periods and require additional disclosures.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second quarter of 2009, we implemented newly issued accounting standards which provide guidance for determining fair value when the volume and level of activity for the asset or liability have significantly decreased and identifying circumstances that indicate that a transaction is not orderly. Specifically, the new standards provide additional guidelines for making fair value measurements more consistent with the principles presented and provide authoritative guidance in determining whether a market is active or inactive, and whether a transaction is distressed. This guidance is applicable to all assets and liabilities (i.e. financial and nonfinancial) and requires enhanced disclosures, including interim and annual disclosure of the input and valuation techniques (or changes in techniques) used to measure fair value and the defining of the major security types comprising debt and equity securities held based upon the nature and risk of the security. The adoption of the new standards did not impact our financial position or results of operations; however, adoption has enhanced disclosures for our investments in marketable debt securities and resulted in the reclassification of certain amounts included within our previously reported disclosures to conform to the presentation adopted in the current year.</w:t>
      </w:r>
    </w:p>
    <w:p>
      <w:pPr>
        <w:spacing w:after="0" w:line="7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Effective January 1, 2008, we adopted a standard for fair value measurements for our financial assets and liabilities that are re-measured and reported at fair value at each reporting period, and non-financial assets and liabilities that are re-measured and reported at fair value at least annually. The adoption of this guidance did not have an impact on our consolidated financial position or results of operations.</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59"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Fair values are determined utilizing quoted prices (unadjusted) in active markets for identical assets or liabilities that we have the ability to access;</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Fair values are determined by utilizing quoted prices for identical or similar assets and liabilities in active markets or other market observable inputs such as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rates, yield curves and foreign currency spot rates;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Prices or valuations that require inputs that are both significant to the fair value measurement and unobservable.</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carrying amounts reflected in the consolidated balance sheets for cash, accounts receivable, due from unconsolidated joint business, other current assets, accounts payable, and accrued expenses and other, approximate fair value due to their short-term maturities.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primary exposure to credit risk derives from our cash, cash equivalents, marketable securities, and receivables from customers and collaborative partners.</w:t>
      </w:r>
    </w:p>
    <w:p>
      <w:pPr>
        <w:spacing w:after="0" w:line="96" w:lineRule="exact"/>
        <w:rPr>
          <w:sz w:val="20"/>
          <w:szCs w:val="20"/>
          <w:color w:val="auto"/>
        </w:rPr>
      </w:pPr>
    </w:p>
    <w:p>
      <w:pPr>
        <w:jc w:val="both"/>
        <w:ind w:left="680" w:right="380" w:firstLine="399"/>
        <w:spacing w:after="0" w:line="334" w:lineRule="auto"/>
        <w:rPr>
          <w:sz w:val="20"/>
          <w:szCs w:val="20"/>
          <w:color w:val="auto"/>
        </w:rPr>
      </w:pPr>
      <w:r>
        <w:rPr>
          <w:rFonts w:ascii="Arial" w:cs="Arial" w:eastAsia="Arial" w:hAnsi="Arial"/>
          <w:sz w:val="11"/>
          <w:szCs w:val="11"/>
          <w:color w:val="auto"/>
        </w:rPr>
        <w:t>Until required for use in the business, we invest our cash in bank deposits, certificates of deposit, commercial paper, corporate notes, foreign and U.S. government instruments, including government sponsored enterprise mortgage-backed securities, credit card and auto loan asset-backed securities and other marketable debt instruments in accordance with our investment policy. We mitigate credit risk by maintaining a well diversified portfolio and limiting the amount of investment exposure as to institution, maturity and investment type.</w:t>
      </w:r>
    </w:p>
    <w:p>
      <w:pPr>
        <w:spacing w:after="0" w:line="3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Concentrations of credit risk with respect to receivables, which are typically unsecured, are generally limited due to the wide variety of customers and markets using our products, as well as their dispersion across many different geographic areas. Our accounts receivable are payable by wholesale distributors, large pharmaceutical companies and public hospitals. We monitor the financial performance and credit worthiness of our large customers so that we can properly assess and respond to changes in their credit profile. Our historical write-offs of accounts receivable have not been significant. As of December 31, 2009 and 2008, one wholesale distributor accounted for approximately 8.1% and 11.0% of consolidated receivables,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and Other Investments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Marketable Debt Securities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Available-for-sale debt securities are recorded at fair market value and unrealized gains and losses are included in accumulated other comprehensive income in shareholders’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Strategic Investments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part of our strategic product development efforts, we invest in equity securities of certain biotechnology companies. These investments are known as strategic investments and are classified as available-for-sale and accounted for as marketable equity investments or as cost investments based upon our percentage ownership interest and other factors which may indicate the presumption of significant influence. When assessing whether a decline in the fair value of a strategic investment below our cost basis is other-than-temporary, we consider the fair market value of the security, the duration of the security’s decline, and prospects for the underlying business, including favorable clinical trial results, new product initiatives and new collaborative agreements with the companies in which we have invested.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Non-Marketable Equity Securities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also invest in equity securities of companies whose securities are not publicly traded and where fair value is not readily available. These investments are recorded using either the cost method or the equity method of accounting, depending on our percentage ownership interest and other factors which may indicate the presence of significant influence. We monitor these investments to evaluate whether any decline in their value has occurred that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would be other-than-temporary, based on the implied value from any recent rounds of financing completed by the company, public market prices of comparable companies, and general market conditions.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Securities Lending</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able to loan certain securities from our portfolio to other institutions. Such securities are classified as loaned securities on the accompanying consolidated balance sheets. Collateral for the loaned securities, consisting of cash or other securities, is maintained at a rate of approximately 102% of the market value of each loaned security. We previously loaned certain securities from our portfolio to other institutions and held collateral in the amount of $30.0 million as of December 31, 2008 in relation to such loans. The cash collateral was recorded as collateral received for loaned securities on the accompanying consolidated balance sheet. No such loans were outstanding as of December 31, 2009; accordingly, no collateral was held as of December 31,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Other-than-Temporary Impairments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April 2009, we implemented a newly issued accounting standard which provides guidance for the recognition, measurement and presentation of other-than-temporary impairments. This newly issued standard amended the other-than-temporary impairment model for debt securities and requires additional disclosures regarding the calculation of credit losses and the factors considered in reaching a conclusion that an investment is other-than-temporarily impaired. The impairment model for equity securities was not affected.</w:t>
      </w:r>
    </w:p>
    <w:p>
      <w:pPr>
        <w:spacing w:after="0" w:line="5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Prior to our adoption of this new accounting standard, we recognized all other-than-temporary impairment amounts related to our debt securities in earnings as required under the previously effective guidance which required that management assert that it had the ability and intent to hold a debt security until maturity or until we recovered the cost of our investment. Under the new accounting standards,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expected cash flows to be received must be evaluated to determine if a credit loss has occurred. In the event of a credit loss, only the amount associated with the credit loss is recognized in income. The amount of losses relating to other factors, including those resulting from changes in interest rates, are recorded in accumulated other comprehensive income. The adoption of this guidance did not have a material impact on our financial position or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(FIFO) method. Included in inventory are raw materials used in the production of pre-clinical and clinical products, which are charged to research and development expense when consumed.</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capitalize inventory costs associated with our products prior to regulatory approval when, based on management’s judgment, future commercialization is considered probable and the future economic benefit is expected to be realized.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 Write-Offs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periodically review our inventories for excess or obsolete inventory and write-down obsolete or otherwise unmarketable inventory to its estimated net realizable value.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Property, plant and equipment are carried at cost, subject to review for impairment whenever events or changes in circumstances indicate that the carrying amount of the asset may not be recoverable. Interest costs incurred during the construction of major capital projects are capitalized until the underlying asset is ready for its intended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use, at which point the interest costs are amortized as depreciation expense over the life of the underlying asset. We also capitalize certain direct and incremental costs associated with the validation effort required for licensing by regulatory agencies of manufacturing equipment for the production of a commercially approved drug. These costs include primarily direct labor and material and are incurred in preparing the equipment for its intended use. The validation costs are amortized over the life of the related equipment. Maintenance costs are expensed as incurred.</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generally depreciate or amortize the cost of our property, plant and equipment using the straight-line method over the estimated useful lives of the respective assets, which are summarized as follows:</w:t>
      </w:r>
    </w:p>
    <w:p>
      <w:pPr>
        <w:sectPr>
          <w:pgSz w:w="11900" w:h="16838" w:orient="portrait"/>
          <w:cols w:equalWidth="0" w:num="1">
            <w:col w:w="10660"/>
          </w:cols>
          <w:pgMar w:left="220" w:top="343" w:right="1019" w:bottom="1440" w:gutter="0" w:footer="0" w:header="0"/>
        </w:sectPr>
      </w:pPr>
    </w:p>
    <w:p>
      <w:pPr>
        <w:spacing w:after="0" w:line="61" w:lineRule="exact"/>
        <w:rPr>
          <w:sz w:val="20"/>
          <w:szCs w:val="20"/>
          <w:color w:val="auto"/>
        </w:rPr>
      </w:pPr>
    </w:p>
    <w:p>
      <w:pPr>
        <w:ind w:left="680"/>
        <w:spacing w:after="0"/>
        <w:rPr>
          <w:sz w:val="20"/>
          <w:szCs w:val="20"/>
          <w:color w:val="auto"/>
        </w:rPr>
      </w:pPr>
      <w:r>
        <w:rPr>
          <w:rFonts w:ascii="Arial" w:cs="Arial" w:eastAsia="Arial" w:hAnsi="Arial"/>
          <w:sz w:val="9"/>
          <w:szCs w:val="9"/>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19685</wp:posOffset>
            </wp:positionV>
            <wp:extent cx="2476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U</w:t>
      </w:r>
      <w:r>
        <w:rPr>
          <w:rFonts w:ascii="Arial" w:cs="Arial" w:eastAsia="Arial" w:hAnsi="Arial"/>
          <w:sz w:val="9"/>
          <w:szCs w:val="9"/>
          <w:b w:val="1"/>
          <w:bCs w:val="1"/>
          <w:color w:val="auto"/>
        </w:rPr>
        <w:t>seful Lives</w:t>
      </w:r>
    </w:p>
    <w:p>
      <w:pPr>
        <w:spacing w:after="0" w:line="72" w:lineRule="exact"/>
        <w:rPr>
          <w:sz w:val="20"/>
          <w:szCs w:val="20"/>
          <w:color w:val="auto"/>
        </w:rPr>
      </w:pPr>
    </w:p>
    <w:p>
      <w:pPr>
        <w:sectPr>
          <w:pgSz w:w="11900" w:h="16838" w:orient="portrait"/>
          <w:cols w:equalWidth="0" w:num="2">
            <w:col w:w="4260" w:space="720"/>
            <w:col w:w="568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Land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Buildings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Leasehold Improvements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Machinery and Equipment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Furniture and Fixtures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Computer Software and 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Not depreciated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15 to 40 years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Lesser of the useful life or the term of the respective lease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6 to 15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7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 to 5 years</w:t>
      </w:r>
    </w:p>
    <w:p>
      <w:pPr>
        <w:spacing w:after="0" w:line="167" w:lineRule="exact"/>
        <w:rPr>
          <w:sz w:val="20"/>
          <w:szCs w:val="20"/>
          <w:color w:val="auto"/>
        </w:rPr>
      </w:pPr>
    </w:p>
    <w:p>
      <w:pPr>
        <w:sectPr>
          <w:pgSz w:w="11900" w:h="16838" w:orient="portrait"/>
          <w:cols w:equalWidth="0" w:num="2">
            <w:col w:w="4260" w:space="720"/>
            <w:col w:w="5680"/>
          </w:cols>
          <w:pgMar w:left="220" w:top="343" w:right="101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Effective January 1, 2009, we implemented an amendment to the accounting and disclosure requirements related to intangible assets. This amendment provides guidance for determining the useful life of a recognized intangible asset and requires enhanced disclosures so that users of financial statements are able to assess the extent to which the expected future cash flows associated with the asset are affected by our intent and ability to renew or extend the arrangement. The adoption of this guidance did not impact our financial position or results of operations as this standard was required to be implemented prospectively; however, this standard may impact us in subsequent periods.</w:t>
      </w:r>
    </w:p>
    <w:p>
      <w:pPr>
        <w:spacing w:after="0" w:line="53"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Our intangible assets consist of patents, licenses, core developed technology, trademarks, tradenames, assembled workforce, and distribution rights, the majority of which arose in connection with the merger of Biogen Inc. and IDEC Pharmaceuticals Corporation. These intangible assets were recorded at fair value and are stated net of accumulated amortization and impairments.</w:t>
      </w:r>
    </w:p>
    <w:p>
      <w:pPr>
        <w:spacing w:after="0" w:line="67"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The useful lives of our intangible assets are primarily based on the legal or contractual life of the underlying patent or contract, which does not include additional years for the potential extension or renewal of the contract or patent. Our policy is based on the generally accepted accounting principles for amortization of intangible assets, which requires that the amortization of intangible assets reflect the pattern that the economic benefits of the intangible assets are consumed.</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Intangible assets related to patents, licenses, core developed technology, assembled workforce, and distribution rights are amortized over their remaining estimated useful lives. Intangible assets related to trademarks and tradenames have indefinite lives, and as a result are not amortized, but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5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Our most significant intangible asset is the core technology related to our AVONEX product which was established at the time of the merger of Biogen, Inc. and IDEC Pharmaceuticals Corporation. The net book value of this asset as of December 31, 2009 was $1,516.7 million.</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believe the economic benefit of this core technology is consumed as revenue is generated from our AVONEX product. An analysis of the anticipated lifetime revenue of AVONEX is performed at least annually during our long range planning cycle. The results of this forecast serve as the basis for our assumptions used in the economic consumption amortization model for our core technology intangible asset. Although we believe this process has allowed us to reliably determine the best estimate of the pattern in which we will consume the economic benefits of our core technology intangible asset, the model could result in deferring amortization charges to future periods in certain instances due to continued sales of the product at a nominal level after patent expiration or</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22" w:lineRule="auto"/>
        <w:rPr>
          <w:sz w:val="20"/>
          <w:szCs w:val="20"/>
          <w:color w:val="auto"/>
        </w:rPr>
      </w:pPr>
      <w:r>
        <w:rPr>
          <w:rFonts w:ascii="Arial" w:cs="Arial" w:eastAsia="Arial" w:hAnsi="Arial"/>
          <w:sz w:val="11"/>
          <w:szCs w:val="11"/>
          <w:color w:val="auto"/>
        </w:rPr>
        <w:t>otherwise. In order to ensure amortization charges are not unreasonably deferred to future periods, we use the straight-line method to determine the minimum annual amount of amortization expense (the minimum amortization amount). This minimum amortization amount is recalculated each year based on the remaining unamortized balance of the intangible asset and the remaining estimated useful life of the intangible asset and is compared to the amount of amortization determined under the economic consumption model. We record amortization based upon the higher of the amount of amortization determined under the economic consumption model or the minimum amortization amount determined under the straight-line method.</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Long-lived assets to be held and used, including property, plant and equipment as well as intangible assets are reviewed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Goodwill relates largely to amounts that arose in connection with the merger of Biogen, Inc. and IDEC Pharmaceuticals Corporation and represents the difference between the purchase price and the fair value of the identifiable tangible and intangible net assets when accounted for using the purchase method of accounting. Goodwill is not amortized, but is subject to periodic review for impairment. Goodwill is reviewed annually, as of October 31, and whenever events or changes in circumstances indicate that the carrying amount of the goodwill might not be recoverable.</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We perform a two-step impairment test. In the first step, we compare the fair value of the reporting unit to its carrying value. If the carrying value of the net assets assigned to the reporting unit exceeds the fair value of the reporting unit, then the second step of the impairment test is performed in order to determine the implied fair value of the reporting unit’s goodwill. If the carrying value of a reporting unit’s goodwill exceeds its implied fair value, then the company records an impairment loss equal to the difference. As described in Note 20, </w:t>
      </w:r>
      <w:r>
        <w:rPr>
          <w:rFonts w:ascii="Arial" w:cs="Arial" w:eastAsia="Arial" w:hAnsi="Arial"/>
          <w:sz w:val="12"/>
          <w:szCs w:val="12"/>
          <w:i w:val="1"/>
          <w:iCs w:val="1"/>
          <w:color w:val="auto"/>
        </w:rPr>
        <w:t>Segment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Information </w:t>
      </w:r>
      <w:r>
        <w:rPr>
          <w:rFonts w:ascii="Arial" w:cs="Arial" w:eastAsia="Arial" w:hAnsi="Arial"/>
          <w:sz w:val="12"/>
          <w:szCs w:val="12"/>
          <w:color w:val="auto"/>
        </w:rPr>
        <w:t>to our Consolidated Financial Statements, we operate in one business segment which we consider our only reporting unit.</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Research and development expenses are expensed as incurred. Payments we make for research and development services prior to the services being rendered are recorded as prepaid assets on our consolidated balance sheets and are expensed as the services are provided.</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From time to time, we enter into development agreements in which we share expenses with a collaborative partner. We record payments received from our collaborative partners for their share of the development costs as a reduction of research and development expense.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Acquired In-Process Research and Development (IPR&amp;D)</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Acquired IPR&amp;D represents the fair value assigned to research and development projects that we acquire that have not been completed at the date of acquisition and which have no future alternative use. The value assigned to acquired IPR&amp;D is determined by estimating the costs to develop the acquired technology into commercially viable products, estimating the resulting net cash flows from the projects, and discounting the net cash flows to present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322" w:lineRule="auto"/>
        <w:rPr>
          <w:sz w:val="20"/>
          <w:szCs w:val="20"/>
          <w:color w:val="auto"/>
        </w:rPr>
      </w:pPr>
      <w:r>
        <w:rPr>
          <w:rFonts w:ascii="Arial" w:cs="Arial" w:eastAsia="Arial" w:hAnsi="Arial"/>
          <w:sz w:val="11"/>
          <w:szCs w:val="11"/>
          <w:color w:val="auto"/>
        </w:rPr>
        <w:t>value. The revenue and costs projections used to value acquired IPR&amp;D were, as applicable, reduced based on the probability of developing a new drug. Additionally, the projections considered the relevant market sizes and growth factors, expected trends in technology, and the nature and expected timing of new product introductions by us and our competitors. The resulting net cash flows from such projects are based on management’s estimates of cost of sales, operating expenses, and income taxes from such projects. The rates utilized to discount the net cash flows to their present value were commensurate with the stage of development of the projects and uncertainties in the economic estimates used in the projections described above.</w:t>
      </w:r>
    </w:p>
    <w:p>
      <w:pPr>
        <w:spacing w:after="0" w:line="39"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Effective January 1, 2009, we account for business combinations completed on or after January 1, 2009 in accordance with the revised guidance for accounting for business combinations, which modifies the criteria that must be met to qualify as a business combination and prescribes new accounting requirements, including the accounting treatment associated with acquired IPR&amp;D. Prior to January 1, 2009, we measured acquired IPR&amp;D at fair value and expensed it on acquisition date, or capitalized as an intangible assets if certain criteria were met; however, effective January 1, 2009, acquired IPR&amp;D will be measured at fair value and capitalized as an intangible assets and tested for impairment until completion of the programs and amortized from the date of completion over the estimated useful life.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Share-based Compensation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share-based compensation programs grant awards which have included stock options, time-vested restricted stock units, performance-vested restricted stock units, restricted stock awards and shares issued under our employee stock purchase plan (ESPP). We charge the estimated fair value of awards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on which the employee is retirement eligible.</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fair values of our stock option grants are estimated as of the date of grant using a Black-Scholes option valuation model. The estimated fair values of the stock options, including the effect of estimated forfeitures, are then expensed over the options’ vesting periods. The fair values of our time-vested restricted units and restricted stock awards are based on the market value of our stock on the date of grant. Compensation expense for restricted stock units and restricted stock awards are recognized over the applicable service period, adjusted for the effect of estimated forfeitures.</w:t>
      </w:r>
    </w:p>
    <w:p>
      <w:pPr>
        <w:spacing w:after="0" w:line="7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We apply a graded vesting expense methodology when accounting for our performance-vested restricted stock units. The number of units reflected as granted represents the target number of shares that are eligible to vest in full or in part and are earned subject to the attainment of certain performance criteria established at the beginning of the performance period. The vesting of these awards is also subject to the respective employees’ continued employment. Compensation expense associated with these units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42"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purchase price of common stock under the ESPP is equal to 85% of the lower of (i) the market value per share of the common stock on the participant’s entry date into an offering period or (ii) the market value per share of the common stock on the purchase date. However, for each participant whose entry date is other than the start date of the offering period, the amount shall in no event be less than the market value per share of the common stock as of the beginning of the related offering period. The fair value of the discounted purchases made under the employee stock purchase plan is calculated using the Black-Scholes model. The fair value of the look-back provision plus the 15% discount is recognized as compensation expense over the purchase period. We apply a graded vesting approach since our ESPP provides for multiple purchase periods and is, in substance, a series of linked awards.</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 xml:space="preserve">We calculate earnings per share in accordance with the </w:t>
      </w:r>
      <w:r>
        <w:rPr>
          <w:rFonts w:ascii="Arial" w:cs="Arial" w:eastAsia="Arial" w:hAnsi="Arial"/>
          <w:sz w:val="13"/>
          <w:szCs w:val="13"/>
          <w:i w:val="1"/>
          <w:iCs w:val="1"/>
          <w:color w:val="auto"/>
        </w:rPr>
        <w:t>Earning Per Share</w:t>
      </w:r>
      <w:r>
        <w:rPr>
          <w:rFonts w:ascii="Arial" w:cs="Arial" w:eastAsia="Arial" w:hAnsi="Arial"/>
          <w:sz w:val="13"/>
          <w:szCs w:val="13"/>
          <w:color w:val="auto"/>
        </w:rPr>
        <w:t xml:space="preserve"> Topic of the Codification which requires the presentation of “basic” earnings per share and “diluted” earnings per share.</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Basic earnings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have allocated a portion of net income to our preferred shares on a pro rata basis. Net income allocated to preferred shares is excluded from the calculation of basic earnings per share. For basic earnings per share, net income available to holders of common stock is divided by the weighted average number of shares of common stock outstanding. For purposes of calculating diluted earnings per share, net income is adjusted for the after-tax amount of interest associated with convertible debt and net income allocable to preferred shares, and the denominator includes both the weighted average number of shares of common stock outstanding and potential dilutive shares of common stock from stock options, unvested restricted stock awards, restricted stock units and other convertible securities, to the extent they are dilutive.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account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We evaluate this tax position on a quarterly basis. We also accrue for potential interest and penalties, related to unrecognized tax benefits in income tax expense.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 Activities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Accounting standards require that all derivatives be recognized on the balance sheets at their fair value. Changes in the fair value of derivatives are recorded each period in current earnings or accumulated other comprehensive income (loss), depending on whether a derivative is designated as part of a hedge transaction and, if it is, the type of hedge transaction. 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The functional currency for most of our foreign subsidiaries is their local currency. Assets and liabilities are translated at current rates of exchange at the balance sheet date. Income and expense items are translated at the average foreign exchange rates for the period. Adjustments resulting from the translation of the financial statements of our foreign operations into U.S. dollars are excluded from the determination of net income and are recorded in accumulated other comprehensive income, a separate component of shareholders’ equity.</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Foreign exchange transaction gains and losses are included in the results of operations in other income (expense), net. We had net foreign exchange gains (losses) of $11.4 million, $(9.8) million, and $3.0 million in 2009, 2008, and 2007,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Held for Sale</w:t>
      </w:r>
    </w:p>
    <w:p>
      <w:pPr>
        <w:spacing w:after="0" w:line="96"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We consider certain real property and certain other miscellaneous assets as held for sale when they meet the criteria set out in the accounting standard for impairment or disposal of long-lived assets.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and 2008, there were no assets held for sale on the accompanying consolidated balance sheets.</w:t>
      </w:r>
    </w:p>
    <w:p>
      <w:pPr>
        <w:spacing w:after="0" w:line="171"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Dispositions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Syntonix Pharmaceuticals, Inc.</w:t>
      </w:r>
    </w:p>
    <w:p>
      <w:pPr>
        <w:spacing w:after="0" w:line="96" w:lineRule="exact"/>
        <w:rPr>
          <w:sz w:val="20"/>
          <w:szCs w:val="20"/>
          <w:color w:val="auto"/>
        </w:rPr>
      </w:pPr>
    </w:p>
    <w:p>
      <w:pPr>
        <w:ind w:left="680" w:right="860" w:firstLine="399"/>
        <w:spacing w:after="0" w:line="256" w:lineRule="auto"/>
        <w:rPr>
          <w:sz w:val="20"/>
          <w:szCs w:val="20"/>
          <w:color w:val="auto"/>
        </w:rPr>
      </w:pPr>
      <w:r>
        <w:rPr>
          <w:rFonts w:ascii="Arial" w:cs="Arial" w:eastAsia="Arial" w:hAnsi="Arial"/>
          <w:sz w:val="13"/>
          <w:szCs w:val="13"/>
          <w:color w:val="auto"/>
        </w:rPr>
        <w:t>In January 2007, we acquired 100% of the stock of Syntonix. Syntonix focuses on discovering and developing long-acting therapeutic products to improve treatment regimens for chronic diseases, and is engaged in multiple programs in hemophilia. The purchase price was $44.4 million, including transaction costs, and could increase to as much as $124.4 million if certain development milestones with respect to Syntonix’s lead product, long-acting recombinant Factor IX, a proprietary long-acting Factor IX product for the treatment of hemophilia B, are achieved. Under the acquisition agreement we also agreed to make additional future consideration payments upon the achievement of certain milestone events. Future contingent consideration payments, if any, will be recorded as IPR&amp;D. Due to the uncertainty surrounding triggering events related to the attainment of milestones, such charges and related obligations are generally recorded when the milestone has been achieved. The acquisition was funded from our existing cash on hand and was accounted for as an asset acquisition as Syntonix was a development-stage company.</w:t>
      </w:r>
    </w:p>
    <w:p>
      <w:pPr>
        <w:spacing w:after="0" w:line="73"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purpose of the acquisition was to enhance our pipeline and to expand into additional specialized markets and as a result of the acquisition we obtained the rights to the in-process technology of the Fc-fusion technology platform. Syntonix has two programs in development using the Fc-fusion platform, long-acting recombinant Factor IX and long-acting recombinant Factor VIII. Syntonix’s lead product, long-acting recombinant Factor IX, is a proprietary long-acting Factor IX product for the treatment of hemophilia B. Long-acting recombinant Factor VIII is a product being developed for the treatment of hemophilia A and is the subject of a Phase 1 study in hemophilia A.</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In January 2010, we initiated patient enrollment in a registrational study for long-acting recombinant Factor IX in hemophilia B. The initiation of this study resulted in the achievement of a significant milestone, obligating us to pay $40.0 million to the former shareholders of Syntonix. As the milestone occurred subsequent to December 31, 2009, the obligation is not reflected in our consolidated balance sheet as of that date and will be reflected as IPR&amp;D expense in the first quarter of 2010.</w:t>
      </w:r>
    </w:p>
    <w:p>
      <w:pPr>
        <w:spacing w:after="0" w:line="67"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results of operations of Syntonix are included in our consolidated results of operations from the date of acquisition. We have completed our purchase price allocation for the acquisition as set out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2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5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420" w:type="dxa"/>
            <w:vAlign w:val="bottom"/>
            <w:tcBorders>
              <w:top w:val="single" w:sz="8" w:color="auto"/>
            </w:tcBorders>
          </w:tcPr>
          <w:p>
            <w:pPr>
              <w:spacing w:after="0"/>
              <w:rPr>
                <w:sz w:val="2"/>
                <w:szCs w:val="2"/>
                <w:color w:val="auto"/>
              </w:rPr>
            </w:pPr>
          </w:p>
        </w:tc>
        <w:tc>
          <w:tcPr>
            <w:tcW w:w="59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Fixed assets</w:t>
            </w: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5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27.8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Assembled workforce</w:t>
            </w: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5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Current liabilities</w:t>
            </w: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purchase price</w:t>
            </w:r>
          </w:p>
        </w:tc>
        <w:tc>
          <w:tcPr>
            <w:tcW w:w="6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44.4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140" w:type="dxa"/>
            <w:vAlign w:val="bottom"/>
            <w:gridSpan w:val="2"/>
          </w:tcPr>
          <w:p>
            <w:pPr>
              <w:ind w:left="1460"/>
              <w:spacing w:after="0"/>
              <w:rPr>
                <w:sz w:val="20"/>
                <w:szCs w:val="20"/>
                <w:color w:val="auto"/>
              </w:rPr>
            </w:pPr>
            <w:r>
              <w:rPr>
                <w:rFonts w:ascii="Arial" w:cs="Arial" w:eastAsia="Arial" w:hAnsi="Arial"/>
                <w:sz w:val="13"/>
                <w:szCs w:val="13"/>
                <w:color w:val="auto"/>
              </w:rPr>
              <w:t>F-17</w:t>
            </w: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59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The purchase price included $2.0 million in loan forgiveness and $0.7 million in transaction fees. In addition, $0.3 million of severance charges were accrued as a result of the acquisition. The amount allocated to IPR&amp;D relates to the development of long-acting recombinant Factor IX and long-acting recombinant Factor VIII. At the date of acquisition, these compounds were in development stage, had not reached technological feasibility and had no alternative future use. Accordingly, $18.4 million in IPR&amp;D was expensed upon acquisition.</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Upon acquisition, we recognized a deferred tax asset of $27.8 million. The deferred tax asset included approximately $12.8 million of net operating loss and research credit carryovers that will be utilized prior to applicable expiration dates, as well as approximately $15.3 million of other deferred tax assets primarily related to start-up and research expenditures that have been capitalized for tax purposes and are being amortized over the next several years.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 forma impact on total revenue, operating income (loss) and net income (loss) of the acquisition was not material for the year ended December 31, 2007.</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 xml:space="preserve">We collaborate with Swedish Orphan Biovitrum AB (Biovitrum) on the development and commercialization of long-acting recombinant Factor VIII and Factor IX.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a description and summary of activities related to this collaboration.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product line previously included ZEVALIN (</w:t>
      </w:r>
      <w:r>
        <w:rPr>
          <w:rFonts w:ascii="Arial" w:cs="Arial" w:eastAsia="Arial" w:hAnsi="Arial"/>
          <w:sz w:val="12"/>
          <w:szCs w:val="12"/>
          <w:i w:val="1"/>
          <w:iCs w:val="1"/>
          <w:color w:val="auto"/>
        </w:rPr>
        <w:t>ibritumomab tiuxetan</w:t>
      </w:r>
      <w:r>
        <w:rPr>
          <w:rFonts w:ascii="Arial" w:cs="Arial" w:eastAsia="Arial" w:hAnsi="Arial"/>
          <w:sz w:val="12"/>
          <w:szCs w:val="12"/>
          <w:color w:val="auto"/>
        </w:rPr>
        <w:t>), which is part of a treatment regimen for certain B-cell NHL. In December 2007, we sold the rights to market, sell, manufacture and develop ZEVALIN in the U.S. to Cell Therapeutics, Inc. (CTI), for an upfront payment of $10.0 million and agreed to supply ZEVALIN product to CTI through 2014. In the European Union, we continue to sell ZEVALIN to Bayer Schering Pharma AG (Schering), our licensee for sales of ZEVALIN outside the U.S.</w:t>
      </w:r>
    </w:p>
    <w:p>
      <w:pPr>
        <w:spacing w:after="0" w:line="5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Under the terms of our agreement with CTI, we are further entitled to receive additional payments contingent upon the achievement of certain milestone events. In September 2009, the FDA approved an expansion of ZEVALIN’s label as part of the first line therapy in the treatment of follicular non-Hodgkin’s lymphoma. This approval triggered a $5.5 million payment to us in October 2009. We may receive up to an additional $10.0 million in milestone payments.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addition, during December 2008 we received an additional $2.2 million payment from CTI pursuant to an amendment to our agreement with CTI as well as a $0.8 million consent fee received from CTI upon assigning their rights under the agreement to a third party in March 2009.</w:t>
      </w:r>
    </w:p>
    <w:p>
      <w:pPr>
        <w:spacing w:after="0" w:line="59"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We recognize our sales of ZEVALIN to Schering for distribution in the European Union as product revenue, and we recognize sales related to our supply of ZEVALIN to CTI as corporate partner revenue. We continue to recognize royalties received from Schering on their sales of ZEVALIN in the European Union within the royalty revenue component of other revenues. The $10.0 million upfront and $7.7 million milestone payments received to date are being recognized in our results of operations over the term of our supply agreement with CTI.</w:t>
      </w:r>
    </w:p>
    <w:p>
      <w:pPr>
        <w:spacing w:after="0" w:line="107"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Reserves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for Discounts and Allowances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Revenues are recorded net of applicable reserves for trade term discounts, wholesaler incentives, Medicaid rebates, VA rebates, managed care rebates, product returns and other applicable allowances. Reserves established for these discounts and allowances are classified as reductions of accounts receivable (if the amount is payable to our customer) or a liability (if the amount is payable to a party other than our customer).</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Our product revenue reserves are based on estimates of the amounts earned or to be claimed on the related sales. These estimates take into consideration our historical experience, current contractual requirements and statutory requirements, specific known market events and trends and forecasted customer buying patterns. If actual future results vary, we may need to adjust these estimates, which could have an effect on earnings in the period of the adjustment.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86"/>
              </w:rPr>
              <w:t>Discounts</w:t>
            </w:r>
          </w:p>
        </w:tc>
        <w:tc>
          <w:tcPr>
            <w:tcW w:w="120" w:type="dxa"/>
            <w:vAlign w:val="bottom"/>
          </w:tcPr>
          <w:p>
            <w:pPr>
              <w:spacing w:after="0"/>
              <w:rPr>
                <w:sz w:val="10"/>
                <w:szCs w:val="10"/>
                <w:color w:val="auto"/>
              </w:rPr>
            </w:pPr>
          </w:p>
        </w:tc>
        <w:tc>
          <w:tcPr>
            <w:tcW w:w="1180" w:type="dxa"/>
            <w:vAlign w:val="bottom"/>
            <w:gridSpan w:val="4"/>
          </w:tcPr>
          <w:p>
            <w:pPr>
              <w:jc w:val="right"/>
              <w:ind w:right="531"/>
              <w:spacing w:after="0"/>
              <w:rPr>
                <w:sz w:val="20"/>
                <w:szCs w:val="20"/>
                <w:color w:val="auto"/>
              </w:rPr>
            </w:pPr>
            <w:r>
              <w:rPr>
                <w:rFonts w:ascii="Arial" w:cs="Arial" w:eastAsia="Arial" w:hAnsi="Arial"/>
                <w:sz w:val="10"/>
                <w:szCs w:val="10"/>
                <w:b w:val="1"/>
                <w:bCs w:val="1"/>
                <w:color w:val="auto"/>
              </w:rPr>
              <w:t>Contractual</w:t>
            </w:r>
          </w:p>
        </w:tc>
        <w:tc>
          <w:tcPr>
            <w:tcW w:w="6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9"/>
              </w:rPr>
              <w:t>Returns</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right"/>
              <w:ind w:right="511"/>
              <w:spacing w:after="0"/>
              <w:rPr>
                <w:sz w:val="20"/>
                <w:szCs w:val="20"/>
                <w:color w:val="auto"/>
              </w:rPr>
            </w:pPr>
            <w:r>
              <w:rPr>
                <w:rFonts w:ascii="Arial" w:cs="Arial" w:eastAsia="Arial" w:hAnsi="Arial"/>
                <w:sz w:val="10"/>
                <w:szCs w:val="10"/>
                <w:b w:val="1"/>
                <w:bCs w:val="1"/>
                <w:color w:val="auto"/>
                <w:w w:val="98"/>
              </w:rPr>
              <w:t>Adjustments</w:t>
            </w: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Beginning balance</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192.5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4"/>
          </w:tcPr>
          <w:p>
            <w:pPr>
              <w:jc w:val="right"/>
              <w:ind w:right="35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r>
              <w:rPr>
                <w:rFonts w:ascii="Arial" w:cs="Arial" w:eastAsia="Arial" w:hAnsi="Arial"/>
                <w:sz w:val="13"/>
                <w:szCs w:val="13"/>
                <w:u w:val="single" w:color="auto"/>
                <w:color w:val="auto"/>
              </w:rPr>
              <w:t>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67.1</w:t>
            </w: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150.6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relating to prior years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Beginning balance</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30.5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(30.3)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5900" w:type="dxa"/>
            <w:vAlign w:val="bottom"/>
          </w:tcPr>
          <w:p>
            <w:pPr>
              <w:ind w:left="400"/>
              <w:spacing w:after="0"/>
              <w:rPr>
                <w:sz w:val="20"/>
                <w:szCs w:val="20"/>
                <w:color w:val="auto"/>
              </w:rPr>
            </w:pPr>
            <w:r>
              <w:rPr>
                <w:rFonts w:ascii="Arial" w:cs="Arial" w:eastAsia="Arial" w:hAnsi="Arial"/>
                <w:sz w:val="13"/>
                <w:szCs w:val="13"/>
                <w:color w:val="auto"/>
                <w:w w:val="96"/>
              </w:rPr>
              <w:t>The total reserves above, included in our consolidated balance sheets, are summarized as follows:</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As of 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590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Reduction of accounts receivable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Current liability</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reserves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5900" w:type="dxa"/>
            <w:vAlign w:val="bottom"/>
          </w:tcPr>
          <w:p>
            <w:pPr>
              <w:ind w:left="4880"/>
              <w:spacing w:after="0"/>
              <w:rPr>
                <w:sz w:val="20"/>
                <w:szCs w:val="20"/>
                <w:color w:val="auto"/>
              </w:rPr>
            </w:pPr>
            <w:r>
              <w:rPr>
                <w:rFonts w:ascii="Arial" w:cs="Arial" w:eastAsia="Arial" w:hAnsi="Arial"/>
                <w:sz w:val="13"/>
                <w:szCs w:val="13"/>
                <w:color w:val="auto"/>
              </w:rPr>
              <w:t>F-19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Reserves for discounts, contractual adjustments and returns that reduced gross product revenues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 except percentages)</w:t>
            </w:r>
          </w:p>
        </w:tc>
        <w:tc>
          <w:tcPr>
            <w:tcW w:w="1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8"/>
          </w:tcPr>
          <w:p>
            <w:pPr>
              <w:jc w:val="right"/>
              <w:ind w:right="51"/>
              <w:spacing w:after="0"/>
              <w:rPr>
                <w:sz w:val="20"/>
                <w:szCs w:val="20"/>
                <w:color w:val="auto"/>
              </w:rPr>
            </w:pPr>
            <w:r>
              <w:rPr>
                <w:rFonts w:ascii="Arial" w:cs="Arial" w:eastAsia="Arial" w:hAnsi="Arial"/>
                <w:sz w:val="10"/>
                <w:szCs w:val="10"/>
                <w:b w:val="1"/>
                <w:bCs w:val="1"/>
                <w:color w:val="auto"/>
              </w:rPr>
              <w:t>For the Years Ended December 31,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w w:val="89"/>
              </w:rPr>
              <w:t>2008</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Borders>
              <w:top w:val="single" w:sz="8" w:color="auto"/>
            </w:tcBorders>
          </w:tcPr>
          <w:p>
            <w:pPr>
              <w:spacing w:after="0"/>
              <w:rPr>
                <w:sz w:val="2"/>
                <w:szCs w:val="2"/>
                <w:color w:val="auto"/>
              </w:rPr>
            </w:pPr>
          </w:p>
        </w:tc>
        <w:tc>
          <w:tcPr>
            <w:tcW w:w="6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Discounts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74.0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Contractual adjustments</w:t>
            </w: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192.5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149.0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Returns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6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reserves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686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283.1</w:t>
            </w:r>
          </w:p>
        </w:tc>
        <w:tc>
          <w:tcPr>
            <w:tcW w:w="8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228.3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Gross product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3,068.0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2,309.8</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980" w:type="dxa"/>
            <w:vAlign w:val="bottom"/>
            <w:gridSpan w:val="3"/>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6860" w:type="dxa"/>
            <w:vAlign w:val="bottom"/>
            <w:gridSpan w:val="2"/>
          </w:tcPr>
          <w:p>
            <w:pPr>
              <w:ind w:left="200"/>
              <w:spacing w:after="0"/>
              <w:rPr>
                <w:sz w:val="20"/>
                <w:szCs w:val="20"/>
                <w:color w:val="auto"/>
              </w:rPr>
            </w:pPr>
            <w:r>
              <w:rPr>
                <w:rFonts w:ascii="Arial" w:cs="Arial" w:eastAsia="Arial" w:hAnsi="Arial"/>
                <w:sz w:val="13"/>
                <w:szCs w:val="13"/>
                <w:b w:val="1"/>
                <w:bCs w:val="1"/>
                <w:color w:val="auto"/>
              </w:rPr>
              <w:t>Inventory</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860" w:type="dxa"/>
            <w:vAlign w:val="bottom"/>
            <w:gridSpan w:val="2"/>
          </w:tcPr>
          <w:p>
            <w:pPr>
              <w:ind w:left="280"/>
              <w:spacing w:after="0"/>
              <w:rPr>
                <w:sz w:val="20"/>
                <w:szCs w:val="20"/>
                <w:color w:val="auto"/>
              </w:rPr>
            </w:pPr>
            <w:r>
              <w:rPr>
                <w:rFonts w:ascii="Arial" w:cs="Arial" w:eastAsia="Arial" w:hAnsi="Arial"/>
                <w:sz w:val="13"/>
                <w:szCs w:val="13"/>
                <w:color w:val="auto"/>
              </w:rPr>
              <w:t>The components of inventories are summarized as follows: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9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6980" w:type="dxa"/>
            <w:vAlign w:val="bottom"/>
            <w:tcBorders>
              <w:bottom w:val="single" w:sz="8" w:color="auto"/>
            </w:tcBorders>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4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Work in process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174.0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180.0</w:t>
            </w:r>
          </w:p>
        </w:tc>
        <w:tc>
          <w:tcPr>
            <w:tcW w:w="0" w:type="dxa"/>
            <w:vAlign w:val="bottom"/>
          </w:tcPr>
          <w:p>
            <w:pPr>
              <w:spacing w:after="0"/>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4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6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inventory</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6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294.0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263.6</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4"/>
                <w:szCs w:val="24"/>
                <w:color w:val="auto"/>
              </w:rPr>
            </w:pPr>
          </w:p>
        </w:tc>
        <w:tc>
          <w:tcPr>
            <w:tcW w:w="6860" w:type="dxa"/>
            <w:vAlign w:val="bottom"/>
            <w:gridSpan w:val="2"/>
          </w:tcPr>
          <w:p>
            <w:pPr>
              <w:ind w:left="280"/>
              <w:spacing w:after="0"/>
              <w:rPr>
                <w:sz w:val="20"/>
                <w:szCs w:val="20"/>
                <w:color w:val="auto"/>
              </w:rPr>
            </w:pPr>
            <w:r>
              <w:rPr>
                <w:rFonts w:ascii="Arial" w:cs="Arial" w:eastAsia="Arial" w:hAnsi="Arial"/>
                <w:sz w:val="13"/>
                <w:szCs w:val="13"/>
                <w:color w:val="auto"/>
              </w:rPr>
              <w:t>The following table provides a summary of work in process and finished goods by product: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9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6980" w:type="dxa"/>
            <w:vAlign w:val="bottom"/>
            <w:tcBorders>
              <w:bottom w:val="single" w:sz="8" w:color="auto"/>
            </w:tcBorders>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AVONEX</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4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TYSABRI</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144.0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4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6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finished goods and work in process</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6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244.8</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233.8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4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6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inventory</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6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294.0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263.6</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Write-downs from Unmarketable Inventory</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Amounts written-down related to unmarketable inventory are charged to cost of sales, excluding amortization of acquired intangible assets. Amounts written-down during 2009, 2008, and 2007 totaled $16.9 million, $29.8 million and $21.6 million,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and Goodwill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net of accumulated amortization, impairment charges and adjustments,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Estimated</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w w:val="98"/>
              </w:rPr>
              <w:t>As of December 31, 2009</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98"/>
              </w:rPr>
              <w:t>As of December 31, 2008</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Cost</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7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Net</w:t>
            </w:r>
          </w:p>
        </w:tc>
        <w:tc>
          <w:tcPr>
            <w:tcW w:w="140" w:type="dxa"/>
            <w:vAlign w:val="bottom"/>
          </w:tcPr>
          <w:p>
            <w:pPr>
              <w:spacing w:after="0"/>
              <w:rPr>
                <w:sz w:val="7"/>
                <w:szCs w:val="7"/>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Cost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5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3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400"/>
              <w:spacing w:after="0"/>
              <w:rPr>
                <w:sz w:val="20"/>
                <w:szCs w:val="20"/>
                <w:color w:val="auto"/>
              </w:rPr>
            </w:pPr>
            <w:r>
              <w:rPr>
                <w:rFonts w:ascii="Arial" w:cs="Arial" w:eastAsia="Arial" w:hAnsi="Arial"/>
                <w:sz w:val="10"/>
                <w:szCs w:val="10"/>
                <w:b w:val="1"/>
                <w:bCs w:val="1"/>
                <w:color w:val="auto"/>
              </w:rPr>
              <w:t>Life</w:t>
            </w: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8"/>
              </w:rPr>
              <w:t>Amortization</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8"/>
              </w:rPr>
              <w:t>Amortization</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Out-licensed patents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 years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(306.0)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272.0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327.7</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20"/>
                <w:szCs w:val="20"/>
                <w:color w:val="auto"/>
              </w:rPr>
            </w:pPr>
            <w:r>
              <w:rPr>
                <w:rFonts w:ascii="Arial" w:cs="Arial" w:eastAsia="Arial" w:hAnsi="Arial"/>
                <w:sz w:val="13"/>
                <w:szCs w:val="13"/>
                <w:color w:val="auto"/>
              </w:rPr>
              <w:t>Core developed technology</w:t>
            </w:r>
          </w:p>
        </w:tc>
        <w:tc>
          <w:tcPr>
            <w:tcW w:w="22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15-23 years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3,005.3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(1,472.4)</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1,532.9</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3,005.3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(1,241.0)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1,764.3</w:t>
            </w: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Trademarks and tradenames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Indefinite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20"/>
                <w:szCs w:val="20"/>
                <w:color w:val="auto"/>
              </w:rPr>
            </w:pPr>
            <w:r>
              <w:rPr>
                <w:rFonts w:ascii="Arial" w:cs="Arial" w:eastAsia="Arial" w:hAnsi="Arial"/>
                <w:sz w:val="13"/>
                <w:szCs w:val="13"/>
                <w:color w:val="auto"/>
              </w:rPr>
              <w:t>In-licensed patents</w:t>
            </w:r>
          </w:p>
        </w:tc>
        <w:tc>
          <w:tcPr>
            <w:tcW w:w="22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14 years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Assembled workforce</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 years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20"/>
                <w:szCs w:val="20"/>
                <w:color w:val="auto"/>
              </w:rPr>
            </w:pPr>
            <w:r>
              <w:rPr>
                <w:rFonts w:ascii="Arial" w:cs="Arial" w:eastAsia="Arial" w:hAnsi="Arial"/>
                <w:sz w:val="13"/>
                <w:szCs w:val="13"/>
                <w:color w:val="auto"/>
              </w:rPr>
              <w:t>Distribution rights</w:t>
            </w:r>
          </w:p>
        </w:tc>
        <w:tc>
          <w:tcPr>
            <w:tcW w:w="22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2 years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12.7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intangible assets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(1,794.0)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1,871.1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(1,504.0)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2,161.1</w:t>
            </w: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were unchanged as of December 31, 2009 as compared to December 31, 2008 exclusive of the impact of foreign exchange and amortization.</w:t>
      </w:r>
    </w:p>
    <w:p>
      <w:pPr>
        <w:spacing w:after="0" w:line="96"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In September 2009, we were issued a U.S. patent for the use of beta interferon for immunomodulation or treating a viral condition, viral disease, cancers or tumors. This patent, expiring in September 2026, covers the treatment of multiple sclerosis with AVONEX, which is our brand of recombinant beta interferon and extends the expected remaining life of the related core intangible asset.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Acquired Intangible Assets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4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80" w:type="dxa"/>
            <w:vAlign w:val="bottom"/>
            <w:vMerge w:val="restart"/>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For the Years Ended December 31,</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4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80" w:type="dxa"/>
            <w:vAlign w:val="bottom"/>
            <w:tcBorders>
              <w:bottom w:val="single" w:sz="8" w:color="auto"/>
            </w:tcBorders>
          </w:tcPr>
          <w:p>
            <w:pPr>
              <w:jc w:val="right"/>
              <w:ind w:right="161"/>
              <w:spacing w:after="0" w:line="98" w:lineRule="exact"/>
              <w:rPr>
                <w:sz w:val="20"/>
                <w:szCs w:val="20"/>
                <w:color w:val="auto"/>
              </w:rPr>
            </w:pPr>
            <w:r>
              <w:rPr>
                <w:rFonts w:ascii="Arial" w:cs="Arial" w:eastAsia="Arial" w:hAnsi="Arial"/>
                <w:sz w:val="10"/>
                <w:szCs w:val="10"/>
                <w:b w:val="1"/>
                <w:bCs w:val="1"/>
                <w:color w:val="auto"/>
              </w:rPr>
              <w:t>2009</w:t>
            </w:r>
          </w:p>
        </w:tc>
        <w:tc>
          <w:tcPr>
            <w:tcW w:w="460" w:type="dxa"/>
            <w:vAlign w:val="bottom"/>
          </w:tcPr>
          <w:p>
            <w:pPr>
              <w:spacing w:after="0"/>
              <w:rPr>
                <w:sz w:val="8"/>
                <w:szCs w:val="8"/>
                <w:color w:val="auto"/>
              </w:rPr>
            </w:pPr>
          </w:p>
        </w:tc>
        <w:tc>
          <w:tcPr>
            <w:tcW w:w="68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2008</w:t>
            </w:r>
          </w:p>
        </w:tc>
        <w:tc>
          <w:tcPr>
            <w:tcW w:w="460" w:type="dxa"/>
            <w:vAlign w:val="bottom"/>
          </w:tcPr>
          <w:p>
            <w:pPr>
              <w:spacing w:after="0"/>
              <w:rPr>
                <w:sz w:val="8"/>
                <w:szCs w:val="8"/>
                <w:color w:val="auto"/>
              </w:rPr>
            </w:pPr>
          </w:p>
        </w:tc>
        <w:tc>
          <w:tcPr>
            <w:tcW w:w="680" w:type="dxa"/>
            <w:vAlign w:val="bottom"/>
            <w:tcBorders>
              <w:bottom w:val="single" w:sz="8" w:color="auto"/>
            </w:tcBorders>
          </w:tcPr>
          <w:p>
            <w:pPr>
              <w:jc w:val="right"/>
              <w:ind w:right="161"/>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85"/>
        </w:trPr>
        <w:tc>
          <w:tcPr>
            <w:tcW w:w="7020" w:type="dxa"/>
            <w:vAlign w:val="bottom"/>
            <w:gridSpan w:val="2"/>
          </w:tcPr>
          <w:p>
            <w:pPr>
              <w:spacing w:after="0"/>
              <w:rPr>
                <w:sz w:val="20"/>
                <w:szCs w:val="20"/>
                <w:color w:val="auto"/>
              </w:rPr>
            </w:pPr>
            <w:r>
              <w:rPr>
                <w:rFonts w:ascii="Arial" w:cs="Arial" w:eastAsia="Arial" w:hAnsi="Arial"/>
                <w:sz w:val="13"/>
                <w:szCs w:val="13"/>
                <w:color w:val="auto"/>
              </w:rPr>
              <w:t>Amortization of acquired intangible assets</w:t>
            </w:r>
          </w:p>
        </w:tc>
        <w:tc>
          <w:tcPr>
            <w:tcW w:w="680" w:type="dxa"/>
            <w:vAlign w:val="bottom"/>
          </w:tcPr>
          <w:p>
            <w:pPr>
              <w:jc w:val="right"/>
              <w:ind w:right="121"/>
              <w:spacing w:after="0"/>
              <w:rPr>
                <w:sz w:val="20"/>
                <w:szCs w:val="20"/>
                <w:color w:val="auto"/>
              </w:rPr>
            </w:pPr>
            <w:r>
              <w:rPr>
                <w:rFonts w:ascii="Arial" w:cs="Arial" w:eastAsia="Arial" w:hAnsi="Arial"/>
                <w:sz w:val="13"/>
                <w:szCs w:val="13"/>
                <w:color w:val="auto"/>
              </w:rPr>
              <w:t>$289.8</w:t>
            </w:r>
          </w:p>
        </w:tc>
        <w:tc>
          <w:tcPr>
            <w:tcW w:w="1140" w:type="dxa"/>
            <w:vAlign w:val="bottom"/>
            <w:gridSpan w:val="2"/>
          </w:tcPr>
          <w:p>
            <w:pPr>
              <w:jc w:val="right"/>
              <w:ind w:right="128"/>
              <w:spacing w:after="0"/>
              <w:rPr>
                <w:sz w:val="20"/>
                <w:szCs w:val="20"/>
                <w:color w:val="auto"/>
              </w:rPr>
            </w:pPr>
            <w:r>
              <w:rPr>
                <w:rFonts w:ascii="Arial" w:cs="Arial" w:eastAsia="Arial" w:hAnsi="Arial"/>
                <w:sz w:val="13"/>
                <w:szCs w:val="13"/>
                <w:color w:val="auto"/>
              </w:rPr>
              <w:t>$332.7</w:t>
            </w:r>
          </w:p>
        </w:tc>
        <w:tc>
          <w:tcPr>
            <w:tcW w:w="460" w:type="dxa"/>
            <w:vAlign w:val="bottom"/>
          </w:tcPr>
          <w:p>
            <w:pPr>
              <w:spacing w:after="0"/>
              <w:rPr>
                <w:sz w:val="16"/>
                <w:szCs w:val="16"/>
                <w:color w:val="auto"/>
              </w:rPr>
            </w:pPr>
          </w:p>
        </w:tc>
        <w:tc>
          <w:tcPr>
            <w:tcW w:w="680" w:type="dxa"/>
            <w:vAlign w:val="bottom"/>
          </w:tcPr>
          <w:p>
            <w:pPr>
              <w:jc w:val="right"/>
              <w:ind w:right="121"/>
              <w:spacing w:after="0"/>
              <w:rPr>
                <w:sz w:val="20"/>
                <w:szCs w:val="20"/>
                <w:color w:val="auto"/>
              </w:rPr>
            </w:pPr>
            <w:r>
              <w:rPr>
                <w:rFonts w:ascii="Arial" w:cs="Arial" w:eastAsia="Arial" w:hAnsi="Arial"/>
                <w:sz w:val="13"/>
                <w:szCs w:val="13"/>
                <w:color w:val="auto"/>
              </w:rPr>
              <w:t>$257.5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Our most significant intangible asset is the core technology related to our AVONEX product. We believe the economic benefit of our core technology is consumed as revenue is generated from our AVONEX product, which we refer to as the economic consumption amortization model. An analysis of the anticipated product sales of AVONEX is performed annually during our long range planning cycle each year. This analysis serves as the basis for the calculation of economic consumption for the core technology intangible asset.</w:t>
      </w:r>
    </w:p>
    <w:p>
      <w:pPr>
        <w:spacing w:after="0" w:line="5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completed our most recent long range planning cycle in the third quarter of 2009, which includes an analysis of the anticipated product sales of AVONEX. Based upon our most recent analysis, amortization of intangible assets included within our consolidated balance sheet as of December 31, 2009 is expected to be in the range of approximately $160.0 million to $220.0 million for each of the next five years.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changes to goodwill:</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8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Borders>
              <w:top w:val="single" w:sz="8" w:color="auto"/>
            </w:tcBorders>
          </w:tcPr>
          <w:p>
            <w:pPr>
              <w:spacing w:after="0"/>
              <w:rPr>
                <w:sz w:val="2"/>
                <w:szCs w:val="2"/>
                <w:color w:val="auto"/>
              </w:rPr>
            </w:pPr>
          </w:p>
        </w:tc>
        <w:tc>
          <w:tcPr>
            <w:tcW w:w="7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Balance as of January 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1,138.6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1,137.4</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98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Balance as of December 31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1,138.6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1,138.6</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7980" w:type="dxa"/>
            <w:vAlign w:val="bottom"/>
            <w:gridSpan w:val="2"/>
          </w:tcPr>
          <w:p>
            <w:pPr>
              <w:ind w:left="280"/>
              <w:spacing w:after="0"/>
              <w:rPr>
                <w:sz w:val="20"/>
                <w:szCs w:val="20"/>
                <w:color w:val="auto"/>
              </w:rPr>
            </w:pPr>
            <w:r>
              <w:rPr>
                <w:rFonts w:ascii="Arial" w:cs="Arial" w:eastAsia="Arial" w:hAnsi="Arial"/>
                <w:sz w:val="13"/>
                <w:szCs w:val="13"/>
                <w:color w:val="auto"/>
              </w:rPr>
              <w:t>As of December 31, 2009 we had no accumulated impairment losses.</w:t>
            </w: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7980" w:type="dxa"/>
            <w:vAlign w:val="bottom"/>
            <w:gridSpan w:val="2"/>
          </w:tcPr>
          <w:p>
            <w:pPr>
              <w:ind w:left="200"/>
              <w:spacing w:after="0"/>
              <w:rPr>
                <w:sz w:val="20"/>
                <w:szCs w:val="20"/>
                <w:color w:val="auto"/>
              </w:rPr>
            </w:pPr>
            <w:r>
              <w:rPr>
                <w:rFonts w:ascii="Arial" w:cs="Arial" w:eastAsia="Arial" w:hAnsi="Arial"/>
                <w:sz w:val="13"/>
                <w:szCs w:val="13"/>
                <w:b w:val="1"/>
                <w:bCs w:val="1"/>
                <w:color w:val="auto"/>
              </w:rPr>
              <w:t>Fair Value Measurements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gridSpan w:val="2"/>
          </w:tcPr>
          <w:p>
            <w:pPr>
              <w:ind w:left="80"/>
              <w:spacing w:after="0"/>
              <w:rPr>
                <w:sz w:val="20"/>
                <w:szCs w:val="20"/>
                <w:color w:val="auto"/>
              </w:rPr>
            </w:pPr>
            <w:r>
              <w:rPr>
                <w:rFonts w:ascii="Arial" w:cs="Arial" w:eastAsia="Arial" w:hAnsi="Arial"/>
                <w:sz w:val="13"/>
                <w:szCs w:val="13"/>
                <w:b w:val="1"/>
                <w:bCs w:val="1"/>
                <w:i w:val="1"/>
                <w:iCs w:val="1"/>
                <w:color w:val="auto"/>
              </w:rPr>
              <w:t>Summary of Assets and Liabilities Recorded at Fair Value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The tables below present information about our assets and liabilities that are measured at fair value on a recurring basis as of December 31, 2009 and 2008 and indicate the fair value hierarchy of the valuation techniques we utilized to determine such fair value, which is described further within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to our Consolidated Financial Statements.</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 majority of our financial assets and liabilities have been classified as Level 2. These assets and liabilities have been initially valued at the transaction price and subsequently valued typically utilizing third 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 party pricing services by understanding the models used, obtaining market values from other pricing sources, analyzing pricing data in certain instances and confirming those securities trade in active markets. After completing our validation procedures, we did not adjust or override any fair value measurements provided by our pricing services as of December 31, 2009 and 2008.</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strategic investments in publicly traded equity securities are classified as Level 1 assets as their fair values are readily determinable and based on quoted market prices.</w:t>
      </w:r>
    </w:p>
    <w:p>
      <w:pPr>
        <w:spacing w:after="0" w:line="10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venture capital investments are the only assets for which we used Level 3 inputs to determine the fair value. Venture capital investments represented approximately 0.3% of total assets as of December 31, 2009 and 2008. We have funding commitments of up to approximately $24.8 million as part of our investment in these funds. These funds primarily invest in small privately-owned, ventured-backed, biotechnology companies. The fair value of funds has been estimated using the net asset value of our ownership interest in partner’s capital. The investments cannot be redeemed within the funds. Distributions from each will be received as the underlying investments of the fund are liquidated. The funds and therefore a majority of the underlying assets of the funds will not be liquidated in the near future. The underlying assets in these funds are initially measured at transaction prices and subsequently valued using the pricing of recent financing or by reviewing the underlying economic fundamentals and liquidation value of the companies. Gains and losses (realized and unrealized) included in earnings for the period are reported in other income (expense), net.</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set forth our financial assets and liabilities that were recorded at fair value: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Quoted</w:t>
            </w: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 of</w:t>
            </w: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6"/>
              </w:rPr>
              <w:t>Prices</w:t>
            </w: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80" w:type="dxa"/>
            <w:vAlign w:val="bottom"/>
            <w:gridSpan w:val="3"/>
          </w:tcPr>
          <w:p>
            <w:pPr>
              <w:jc w:val="center"/>
              <w:ind w:right="360"/>
              <w:spacing w:after="0" w:line="108" w:lineRule="exact"/>
              <w:rPr>
                <w:sz w:val="20"/>
                <w:szCs w:val="20"/>
                <w:color w:val="auto"/>
              </w:rPr>
            </w:pPr>
            <w:r>
              <w:rPr>
                <w:rFonts w:ascii="Arial" w:cs="Arial" w:eastAsia="Arial" w:hAnsi="Arial"/>
                <w:sz w:val="10"/>
                <w:szCs w:val="10"/>
                <w:b w:val="1"/>
                <w:bCs w:val="1"/>
                <w:color w:val="auto"/>
                <w:w w:val="95"/>
              </w:rPr>
              <w:t>in Active</w:t>
            </w: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5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8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rPr>
              <w:t>Markets</w:t>
            </w: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5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7"/>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(Level 1)</w:t>
            </w: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5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476.4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476.4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debt securities: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280"/>
              <w:spacing w:after="0"/>
              <w:rPr>
                <w:sz w:val="20"/>
                <w:szCs w:val="20"/>
                <w:color w:val="auto"/>
              </w:rPr>
            </w:pPr>
            <w:r>
              <w:rPr>
                <w:rFonts w:ascii="Arial" w:cs="Arial" w:eastAsia="Arial" w:hAnsi="Arial"/>
                <w:sz w:val="13"/>
                <w:szCs w:val="13"/>
                <w:color w:val="auto"/>
              </w:rPr>
              <w:t>Corporate debt securities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504.1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504.1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Government securities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280"/>
              <w:spacing w:after="0"/>
              <w:rPr>
                <w:sz w:val="20"/>
                <w:szCs w:val="20"/>
                <w:color w:val="auto"/>
              </w:rPr>
            </w:pPr>
            <w:r>
              <w:rPr>
                <w:rFonts w:ascii="Arial" w:cs="Arial" w:eastAsia="Arial" w:hAnsi="Arial"/>
                <w:sz w:val="13"/>
                <w:szCs w:val="13"/>
                <w:color w:val="auto"/>
              </w:rPr>
              <w:t>Mortgage and other asset backed securities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Strategic investments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Venture capital investments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Plan assets for deferred compensation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2,409.5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2,381.7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6"/>
        </w:trPr>
        <w:tc>
          <w:tcPr>
            <w:tcW w:w="5500" w:type="dxa"/>
            <w:vAlign w:val="bottom"/>
          </w:tcPr>
          <w:p>
            <w:pPr>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97"/>
              </w:rPr>
              <w:t>Quoted</w:t>
            </w: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center"/>
              <w:ind w:right="38"/>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 of</w:t>
            </w: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6"/>
              </w:rPr>
              <w:t>Prices</w:t>
            </w: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80" w:type="dxa"/>
            <w:vAlign w:val="bottom"/>
            <w:gridSpan w:val="3"/>
          </w:tcPr>
          <w:p>
            <w:pPr>
              <w:jc w:val="center"/>
              <w:ind w:right="360"/>
              <w:spacing w:after="0" w:line="108" w:lineRule="exact"/>
              <w:rPr>
                <w:sz w:val="20"/>
                <w:szCs w:val="20"/>
                <w:color w:val="auto"/>
              </w:rPr>
            </w:pPr>
            <w:r>
              <w:rPr>
                <w:rFonts w:ascii="Arial" w:cs="Arial" w:eastAsia="Arial" w:hAnsi="Arial"/>
                <w:sz w:val="10"/>
                <w:szCs w:val="10"/>
                <w:b w:val="1"/>
                <w:bCs w:val="1"/>
                <w:color w:val="auto"/>
                <w:w w:val="95"/>
              </w:rPr>
              <w:t>in Active</w:t>
            </w: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5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8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rPr>
              <w:t>Markets</w:t>
            </w: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5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7"/>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(Level 1)</w:t>
            </w: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5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500.9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debt securities: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280"/>
              <w:spacing w:after="0"/>
              <w:rPr>
                <w:sz w:val="20"/>
                <w:szCs w:val="20"/>
                <w:color w:val="auto"/>
              </w:rPr>
            </w:pPr>
            <w:r>
              <w:rPr>
                <w:rFonts w:ascii="Arial" w:cs="Arial" w:eastAsia="Arial" w:hAnsi="Arial"/>
                <w:sz w:val="13"/>
                <w:szCs w:val="13"/>
                <w:color w:val="auto"/>
              </w:rPr>
              <w:t>Corporate debt securities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328.5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328.5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Government securities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1,005.0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280"/>
              <w:spacing w:after="0"/>
              <w:rPr>
                <w:sz w:val="20"/>
                <w:szCs w:val="20"/>
                <w:color w:val="auto"/>
              </w:rPr>
            </w:pPr>
            <w:r>
              <w:rPr>
                <w:rFonts w:ascii="Arial" w:cs="Arial" w:eastAsia="Arial" w:hAnsi="Arial"/>
                <w:sz w:val="13"/>
                <w:szCs w:val="13"/>
                <w:color w:val="auto"/>
              </w:rPr>
              <w:t>Mortgage and other asset backed securities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306.9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306.9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Strategic investments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Venture capital investments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Plan assets for deferred compensation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2,185.0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6"/>
        </w:trPr>
        <w:tc>
          <w:tcPr>
            <w:tcW w:w="5500" w:type="dxa"/>
            <w:vAlign w:val="bottom"/>
          </w:tcPr>
          <w:p>
            <w:pPr>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fair values of our cash equivalents, marketable debt securities, derivative contracts and plan assets for deferred compensation are determined through market and observable sources.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roll forward of the fair value of our venture capital investments, where fair value is determined by Level 3 inputs: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8000" w:type="dxa"/>
            <w:vAlign w:val="bottom"/>
            <w:tcBorders>
              <w:bottom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Total net unrealized gains (losses) included in earnings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2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Purchases, issuances, and settlements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gridSpan w:val="2"/>
            <w:vMerge w:val="continue"/>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54"/>
        </w:trPr>
        <w:tc>
          <w:tcPr>
            <w:tcW w:w="8000" w:type="dxa"/>
            <w:vAlign w:val="bottom"/>
            <w:gridSpan w:val="2"/>
          </w:tcPr>
          <w:p>
            <w:pPr>
              <w:ind w:left="400"/>
              <w:spacing w:after="0"/>
              <w:rPr>
                <w:sz w:val="20"/>
                <w:szCs w:val="20"/>
                <w:color w:val="auto"/>
              </w:rPr>
            </w:pPr>
            <w:r>
              <w:rPr>
                <w:rFonts w:ascii="Arial" w:cs="Arial" w:eastAsia="Arial" w:hAnsi="Arial"/>
                <w:sz w:val="13"/>
                <w:szCs w:val="13"/>
                <w:color w:val="auto"/>
              </w:rPr>
              <w:t>The fair values of our debt instruments are summarized as follows: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line from Dompé</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Notes payable to Fumedica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31.3</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6.0% Senior Notes due 2013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475.7</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429.8</w:t>
            </w:r>
          </w:p>
        </w:tc>
        <w:tc>
          <w:tcPr>
            <w:tcW w:w="0" w:type="dxa"/>
            <w:vAlign w:val="bottom"/>
          </w:tcPr>
          <w:p>
            <w:pPr>
              <w:spacing w:after="0"/>
              <w:rPr>
                <w:sz w:val="1"/>
                <w:szCs w:val="1"/>
                <w:color w:val="auto"/>
              </w:rPr>
            </w:pP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6.875% Senior Notes due 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589.1</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562.4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fair value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1,113.3</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1,046.</w:t>
            </w:r>
            <w:r>
              <w:rPr>
                <w:rFonts w:ascii="Arial" w:cs="Arial" w:eastAsia="Arial" w:hAnsi="Arial"/>
                <w:sz w:val="13"/>
                <w:szCs w:val="13"/>
                <w:u w:val="single" w:color="auto"/>
                <w:color w:val="auto"/>
                <w:w w:val="96"/>
              </w:rPr>
              <w:t>1</w:t>
            </w: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fair values of our credit line from Dompe and our note payable to Fumedica were estimated using market observable inputs. The fair value of our Senior Notes was determined through market, observable and corroborated sources. Within the hierarchy of fair value measurements, these are Level 2 fair values.</w:t>
      </w:r>
    </w:p>
    <w:p>
      <w:pPr>
        <w:spacing w:after="0" w:line="134" w:lineRule="exact"/>
        <w:rPr>
          <w:sz w:val="20"/>
          <w:szCs w:val="20"/>
          <w:color w:val="auto"/>
        </w:rPr>
      </w:pPr>
    </w:p>
    <w:p>
      <w:pPr>
        <w:ind w:left="1000" w:hanging="313"/>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including Strategic 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summarize our marketable securities and strategic investments: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rPr>
              <w:t>Fair</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8"/>
              </w:rPr>
              <w:t>Amortized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2009 (In millions):</w:t>
            </w:r>
          </w:p>
        </w:tc>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4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242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280"/>
              <w:spacing w:after="0"/>
              <w:rPr>
                <w:sz w:val="20"/>
                <w:szCs w:val="20"/>
                <w:color w:val="auto"/>
              </w:rPr>
            </w:pPr>
            <w:r>
              <w:rPr>
                <w:rFonts w:ascii="Arial" w:cs="Arial" w:eastAsia="Arial" w:hAnsi="Arial"/>
                <w:sz w:val="13"/>
                <w:szCs w:val="13"/>
                <w:color w:val="auto"/>
              </w:rPr>
              <w:t>Non-current</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326.9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securities</w:t>
            </w:r>
          </w:p>
        </w:tc>
        <w:tc>
          <w:tcPr>
            <w:tcW w:w="2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280"/>
              <w:spacing w:after="0"/>
              <w:rPr>
                <w:sz w:val="20"/>
                <w:szCs w:val="20"/>
                <w:color w:val="auto"/>
              </w:rPr>
            </w:pPr>
            <w:r>
              <w:rPr>
                <w:rFonts w:ascii="Arial" w:cs="Arial" w:eastAsia="Arial" w:hAnsi="Arial"/>
                <w:sz w:val="13"/>
                <w:szCs w:val="13"/>
                <w:color w:val="auto"/>
              </w:rPr>
              <w:t>Current</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501.6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w:t>
            </w:r>
          </w:p>
        </w:tc>
        <w:tc>
          <w:tcPr>
            <w:tcW w:w="2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631.9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Mortgage and other asset backed securities</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2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280"/>
              <w:spacing w:after="0"/>
              <w:rPr>
                <w:sz w:val="20"/>
                <w:szCs w:val="20"/>
                <w:color w:val="auto"/>
              </w:rPr>
            </w:pPr>
            <w:r>
              <w:rPr>
                <w:rFonts w:ascii="Arial" w:cs="Arial" w:eastAsia="Arial" w:hAnsi="Arial"/>
                <w:sz w:val="13"/>
                <w:szCs w:val="13"/>
                <w:color w:val="auto"/>
              </w:rPr>
              <w:t>Non-current</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available-for-sale securities</w:t>
            </w:r>
          </w:p>
        </w:tc>
        <w:tc>
          <w:tcPr>
            <w:tcW w:w="22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1,860.</w:t>
            </w:r>
            <w:r>
              <w:rPr>
                <w:rFonts w:ascii="Arial" w:cs="Arial" w:eastAsia="Arial" w:hAnsi="Arial"/>
                <w:sz w:val="13"/>
                <w:szCs w:val="13"/>
                <w:u w:val="single" w:color="auto"/>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Strategic investments, non-current</w:t>
            </w:r>
          </w:p>
        </w:tc>
        <w:tc>
          <w:tcPr>
            <w:tcW w:w="22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60" w:type="dxa"/>
            <w:vAlign w:val="bottom"/>
            <w:gridSpan w:val="2"/>
          </w:tcPr>
          <w:p>
            <w:pPr>
              <w:ind w:left="1240"/>
              <w:spacing w:after="0"/>
              <w:rPr>
                <w:sz w:val="20"/>
                <w:szCs w:val="20"/>
                <w:color w:val="auto"/>
              </w:rPr>
            </w:pPr>
            <w:r>
              <w:rPr>
                <w:rFonts w:ascii="Arial" w:cs="Arial" w:eastAsia="Arial" w:hAnsi="Arial"/>
                <w:sz w:val="13"/>
                <w:szCs w:val="13"/>
                <w:color w:val="auto"/>
              </w:rPr>
              <w:t>F-24</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rPr>
              <w:t>Fair</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8"/>
              </w:rPr>
              <w:t>Amortized</w:t>
            </w:r>
          </w:p>
        </w:tc>
        <w:tc>
          <w:tcPr>
            <w:tcW w:w="0" w:type="dxa"/>
            <w:vAlign w:val="bottom"/>
          </w:tcPr>
          <w:p>
            <w:pPr>
              <w:spacing w:after="0"/>
              <w:rPr>
                <w:sz w:val="1"/>
                <w:szCs w:val="1"/>
                <w:color w:val="auto"/>
              </w:rPr>
            </w:pPr>
          </w:p>
        </w:tc>
      </w:tr>
      <w:tr>
        <w:trPr>
          <w:trHeight w:val="108"/>
        </w:trPr>
        <w:tc>
          <w:tcPr>
            <w:tcW w:w="570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2008 (In millions):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0" w:type="dxa"/>
            <w:vAlign w:val="bottom"/>
          </w:tcPr>
          <w:p>
            <w:pPr>
              <w:spacing w:after="0"/>
              <w:rPr>
                <w:sz w:val="1"/>
                <w:szCs w:val="1"/>
                <w:color w:val="auto"/>
              </w:rPr>
            </w:pPr>
          </w:p>
        </w:tc>
      </w:tr>
      <w:tr>
        <w:trPr>
          <w:trHeight w:val="29"/>
        </w:trPr>
        <w:tc>
          <w:tcPr>
            <w:tcW w:w="5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57"/>
        </w:trPr>
        <w:tc>
          <w:tcPr>
            <w:tcW w:w="5700" w:type="dxa"/>
            <w:vAlign w:val="bottom"/>
          </w:tcPr>
          <w:p>
            <w:pPr>
              <w:ind w:left="280"/>
              <w:spacing w:after="0"/>
              <w:rPr>
                <w:sz w:val="20"/>
                <w:szCs w:val="20"/>
                <w:color w:val="auto"/>
              </w:rPr>
            </w:pPr>
            <w:r>
              <w:rPr>
                <w:rFonts w:ascii="Arial" w:cs="Arial" w:eastAsia="Arial" w:hAnsi="Arial"/>
                <w:sz w:val="13"/>
                <w:szCs w:val="13"/>
                <w:color w:val="auto"/>
              </w:rPr>
              <w:t>Non-current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197.7</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securities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280"/>
              <w:spacing w:after="0"/>
              <w:rPr>
                <w:sz w:val="20"/>
                <w:szCs w:val="20"/>
                <w:color w:val="auto"/>
              </w:rPr>
            </w:pPr>
            <w:r>
              <w:rPr>
                <w:rFonts w:ascii="Arial" w:cs="Arial" w:eastAsia="Arial" w:hAnsi="Arial"/>
                <w:sz w:val="13"/>
                <w:szCs w:val="13"/>
                <w:color w:val="auto"/>
              </w:rPr>
              <w:t>Current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582.8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581.3</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413.5</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Mortgage and other asset backed securities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57"/>
        </w:trPr>
        <w:tc>
          <w:tcPr>
            <w:tcW w:w="5700" w:type="dxa"/>
            <w:vAlign w:val="bottom"/>
          </w:tcPr>
          <w:p>
            <w:pPr>
              <w:ind w:left="280"/>
              <w:spacing w:after="0"/>
              <w:rPr>
                <w:sz w:val="20"/>
                <w:szCs w:val="20"/>
                <w:color w:val="auto"/>
              </w:rPr>
            </w:pPr>
            <w:r>
              <w:rPr>
                <w:rFonts w:ascii="Arial" w:cs="Arial" w:eastAsia="Arial" w:hAnsi="Arial"/>
                <w:sz w:val="13"/>
                <w:szCs w:val="13"/>
                <w:color w:val="auto"/>
              </w:rPr>
              <w:t>Non-current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available-for-sale securities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1,624.</w:t>
            </w:r>
            <w:r>
              <w:rPr>
                <w:rFonts w:ascii="Arial" w:cs="Arial" w:eastAsia="Arial" w:hAnsi="Arial"/>
                <w:sz w:val="13"/>
                <w:szCs w:val="13"/>
                <w:u w:val="single" w:color="auto"/>
                <w:color w:val="auto"/>
              </w:rPr>
              <w:t>2</w:t>
            </w:r>
          </w:p>
        </w:tc>
        <w:tc>
          <w:tcPr>
            <w:tcW w:w="0" w:type="dxa"/>
            <w:vAlign w:val="bottom"/>
          </w:tcPr>
          <w:p>
            <w:pPr>
              <w:spacing w:after="0"/>
              <w:rPr>
                <w:sz w:val="1"/>
                <w:szCs w:val="1"/>
                <w:color w:val="auto"/>
              </w:rPr>
            </w:pPr>
          </w:p>
        </w:tc>
      </w:tr>
      <w:tr>
        <w:trPr>
          <w:trHeight w:val="166"/>
        </w:trPr>
        <w:tc>
          <w:tcPr>
            <w:tcW w:w="570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Strategic investments, non-current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the tables above, as of December 31, 2009 and 2008, government securities included $298.8 million and $139.1 million, respectively, of Federal Deposit Insurance Corporation (FDIC) guaranteed senior notes issued by financial institutions under the Temporary Liquidity Guarantee Programs.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Certain commercial paper and short-term debt securities with original maturities of less than 90 days are included in cash and cash equivalents on the accompanying consolidated balance sheets and are not included in the tables above. As of December 31, 2009 and 2008, such commercial paper, including accrued interest, had fair and carrying values of $76.9 million and $42.7 million, respectively, and short-term debt securities had fair and carrying values of $399.5 million and $458.2 million, respectively.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balances as of December 31, 2008 include amounts related to loaned securities under our securities lending program.</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Contractual Maturities: Available-for-Sale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fair value and amortized cost of securities, excluding strategic investments, available-for-sale by contractual maturity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 2009</w:t>
            </w:r>
          </w:p>
        </w:tc>
        <w:tc>
          <w:tcPr>
            <w:tcW w:w="80" w:type="dxa"/>
            <w:vAlign w:val="bottom"/>
          </w:tcPr>
          <w:p>
            <w:pPr>
              <w:spacing w:after="0"/>
              <w:rPr>
                <w:sz w:val="10"/>
                <w:szCs w:val="10"/>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As of December 31, 2008</w:t>
            </w:r>
          </w:p>
        </w:tc>
        <w:tc>
          <w:tcPr>
            <w:tcW w:w="0" w:type="dxa"/>
            <w:vAlign w:val="bottom"/>
          </w:tcPr>
          <w:p>
            <w:pPr>
              <w:spacing w:after="0"/>
              <w:rPr>
                <w:sz w:val="1"/>
                <w:szCs w:val="1"/>
                <w:color w:val="auto"/>
              </w:rPr>
            </w:pPr>
          </w:p>
        </w:tc>
      </w:tr>
      <w:tr>
        <w:trPr>
          <w:trHeight w:val="81"/>
        </w:trPr>
        <w:tc>
          <w:tcPr>
            <w:tcW w:w="5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0"/>
              <w:spacing w:after="0" w:line="81" w:lineRule="exact"/>
              <w:rPr>
                <w:sz w:val="20"/>
                <w:szCs w:val="20"/>
                <w:color w:val="auto"/>
              </w:rPr>
            </w:pPr>
            <w:r>
              <w:rPr>
                <w:rFonts w:ascii="Arial" w:cs="Arial" w:eastAsia="Arial" w:hAnsi="Arial"/>
                <w:sz w:val="9"/>
                <w:szCs w:val="9"/>
                <w:b w:val="1"/>
                <w:bCs w:val="1"/>
                <w:color w:val="auto"/>
              </w:rPr>
              <w:t>Amortized</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Estimated</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0"/>
              <w:spacing w:after="0" w:line="81" w:lineRule="exact"/>
              <w:rPr>
                <w:sz w:val="20"/>
                <w:szCs w:val="20"/>
                <w:color w:val="auto"/>
              </w:rPr>
            </w:pPr>
            <w:r>
              <w:rPr>
                <w:rFonts w:ascii="Arial" w:cs="Arial" w:eastAsia="Arial" w:hAnsi="Arial"/>
                <w:sz w:val="9"/>
                <w:szCs w:val="9"/>
                <w:b w:val="1"/>
                <w:bCs w:val="1"/>
                <w:color w:val="auto"/>
              </w:rPr>
              <w:t>Amortized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0" w:type="dxa"/>
            <w:vAlign w:val="bottom"/>
          </w:tcPr>
          <w:p>
            <w:pPr>
              <w:spacing w:after="0"/>
              <w:rPr>
                <w:sz w:val="1"/>
                <w:szCs w:val="1"/>
                <w:color w:val="auto"/>
              </w:rPr>
            </w:pPr>
          </w:p>
        </w:tc>
      </w:tr>
      <w:tr>
        <w:trPr>
          <w:trHeight w:val="29"/>
        </w:trPr>
        <w:tc>
          <w:tcPr>
            <w:tcW w:w="5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713.0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1,133.4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733.7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722.0</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after five years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189.2</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1,875.9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1,860.5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1,640.4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1,624.2</w:t>
            </w: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average maturity of our marketable securities as of December 31, 2009 and 2008 was 15 months and 13 months, respectively.</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Proceeds from Maturities and Sales of Marketable Securities, excluding Strategic Investments</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The proceeds from maturities and sales of marketable securities, excluding strategic investments, which were primarily reinvested and resulting realized gains and losses, are summarized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6"/>
          </w:tcPr>
          <w:p>
            <w:pPr>
              <w:jc w:val="center"/>
              <w:ind w:left="300"/>
              <w:spacing w:after="0"/>
              <w:rPr>
                <w:sz w:val="20"/>
                <w:szCs w:val="20"/>
                <w:color w:val="auto"/>
              </w:rPr>
            </w:pPr>
            <w:r>
              <w:rPr>
                <w:rFonts w:ascii="Arial" w:cs="Arial" w:eastAsia="Arial" w:hAnsi="Arial"/>
                <w:sz w:val="10"/>
                <w:szCs w:val="10"/>
                <w:b w:val="1"/>
                <w:bCs w:val="1"/>
                <w:color w:val="auto"/>
                <w:w w:val="94"/>
              </w:rPr>
              <w:t>For the Years Ended 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20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maturities and sales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3,319.0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2,941.1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3,154.3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Realized gains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19.8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Realized losses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realized losses for the year ended December 31, 2009 and 2008 primarily relate to losses on the sale of corporate debt securities and non-agency mortgage-backed securities.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Strategic Investments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2009 we sold two strategic investments for $5.9 million, which resulted in a $3.0 million gain. In 2008, we did not sell any portion of our strategic investments. In 2007, we sold our share in one strategic investment for $99.5 million, which resulted in a $17.2 million gain. Strategic investments are included in investments and other assets on the accompanying consolidated balance sheets.</w:t>
      </w:r>
    </w:p>
    <w:p>
      <w:pPr>
        <w:spacing w:after="0" w:line="6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 xml:space="preserve">In addition to the strategic investments and venture capital investments noted in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to our Consolidated Financial Statements, we hold other investments in equity securities of certain privately held biotechnology companies and biotechnology oriented venture capital funds accounted for using the cost method. The cost basis of these securities as of December 31, 2009 and 2008 is $73.9 million and $40.8 million, respectively. These securities are also included in investments and other assets on the accompanying consolidated balance sheets.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Evaluating Investments for Other-than-Temporary Impairments</w:t>
      </w:r>
    </w:p>
    <w:p>
      <w:pPr>
        <w:spacing w:after="0" w:line="96"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We conduct periodic reviews to identify and evaluate each investment that has an unrealized loss, in accordance with the meaning of other-than-temporary impairment and its application to certain investments, as required by U.S. GAAP.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32"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recorded within earnings as an impairment loss.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Regardless of our intent to sell a security, we perform additional analysis on all securities with unrealized losses to evaluate losses associated with the creditworthiness of the security.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losses are identified where we do not expect to receive cash flows sufficient to recover the amortized cost basis of a security.</w:t>
      </w:r>
    </w:p>
    <w:p>
      <w:pPr>
        <w:spacing w:after="0" w:line="8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equity securities, when assessing whether a decline in fair value below our cost basis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recorded within earnings as an impairment loss.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Recognition and Measurement of Other-than-Temporary Impairment</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Prior to the adoption of new accounting standards for the recognition, measurement and presentation of other-than-temporary impairments in April 2009, we recognized all other-than-temporary impairment amounts related to our marketable debt securities in earnings as required under the previously effective guidance which required that management assert that it had the ability and intent to hold a debt security until maturity or until we recovered the cost of our investment.</w:t>
      </w:r>
    </w:p>
    <w:p>
      <w:pPr>
        <w:spacing w:after="0" w:line="67"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 2009, 2008, and 2007, we recognized $3.8 million, $16.3 million, and $17.6 million in charges, respectively, for the impairment of publicly-held strategic investments and for declines in value of funds that were determined to be other-than-temporary.</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2009, 2008, and 2007, we recorded $3.2 million, $2.3 million, and $0.8 million, respectively, in charges for the impairment for certain investments in privately-held companies and declines in value of funds recorded under the cost method that were determined to be other-than-temporary.</w:t>
      </w:r>
    </w:p>
    <w:p>
      <w:pPr>
        <w:spacing w:after="0" w:line="59"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In 2009, we recognized $3.6 million in charges for the other-than-temporary impairment on marketable debt securities. For 2008 and 2007, we recognized $41.7 million and $7.5 million, respectively, in charges for the other-than-temporary impairment of marketable debt securities primarily related to mortgage and asset-backed securities.</w:t>
      </w:r>
    </w:p>
    <w:p>
      <w:pPr>
        <w:spacing w:after="0" w:line="110" w:lineRule="exact"/>
        <w:rPr>
          <w:sz w:val="20"/>
          <w:szCs w:val="20"/>
          <w:color w:val="auto"/>
        </w:rPr>
      </w:pPr>
    </w:p>
    <w:p>
      <w:pPr>
        <w:ind w:left="1000" w:hanging="313"/>
        <w:spacing w:after="0"/>
        <w:tabs>
          <w:tab w:leader="none" w:pos="10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Forward Contracts and Interest Rate Swaps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On January 1, 2009, we adopted a newly issued accounting standard which requires additional disclosure about our objectives for using derivative instruments, the level of derivative activity we engage in, and the effect of derivative instruments and related hedged items on our financial position and performance. The adoption of this standard did not impact our financial position or results of operations.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primary market exposure is to foreign exchange rates and interest rates. We use certain derivative instruments to help manage these exposures. We execute these instruments with financial institutions we judge to be creditworthy and the majority of these instruments are denominated in currencies of major industrial countries. We do not hold or issue derivative instruments for trading or speculative purposes.</w:t>
      </w:r>
    </w:p>
    <w:p>
      <w:pPr>
        <w:spacing w:after="0" w:line="6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recognize all derivative instruments as either assets or liabilities at fair value in our consolidated balance sheets. We classify the cash flows from these instruments in the same category as the cash flows from the hedged items.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Contracts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Due to the global nature of our operations, portions of our revenues are in currencies other than the U.S. dollar. The value of revenue measured in U.S. dollars is subject to changes in foreign exchange rates. In order to mitigate these changes we use forward contracts to lock in foreign exchange rates. We do not engage in currency speculation.</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All foreign currency forward contracts in effect as of December 31, 2009 and 2008 had durations of 1 to 12 months. These contracts have been designated as cash flow hedges and accordingly, to the extent effective, any unrealized gains or losses on these foreign currency forward contracts are reported in accumulated other comprehensive income (loss). Realized gains and losses for the effective portion of such contracts are recognized in revenue when the sale of product in the currency being hedged is recognized. To the extent ineffective, hedge transaction gains and losses are reported in other income (expense), net at each reporting date.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Foreign currency forward contracts that were entered into to hedge forecasted revenue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Notional Amount</w:t>
            </w:r>
          </w:p>
        </w:tc>
        <w:tc>
          <w:tcPr>
            <w:tcW w:w="0" w:type="dxa"/>
            <w:vAlign w:val="bottom"/>
          </w:tcPr>
          <w:p>
            <w:pPr>
              <w:spacing w:after="0"/>
              <w:rPr>
                <w:sz w:val="1"/>
                <w:szCs w:val="1"/>
                <w:color w:val="auto"/>
              </w:rPr>
            </w:pPr>
          </w:p>
        </w:tc>
      </w:tr>
      <w:tr>
        <w:trPr>
          <w:trHeight w:val="125"/>
        </w:trPr>
        <w:tc>
          <w:tcPr>
            <w:tcW w:w="8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Foreign Currency: (In millions)</w:t>
            </w:r>
          </w:p>
        </w:tc>
        <w:tc>
          <w:tcPr>
            <w:tcW w:w="100" w:type="dxa"/>
            <w:vAlign w:val="bottom"/>
          </w:tcPr>
          <w:p>
            <w:pPr>
              <w:spacing w:after="0"/>
              <w:rPr>
                <w:sz w:val="10"/>
                <w:szCs w:val="10"/>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850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Euro</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489.4</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Canadian Dollar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523.5</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portion of the fair value of these contracts that was included in accumulated other comprehensive income (loss) within total equity reflected gains of $1.2 million and losses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$44.1 million as of December 31, 2009 and 2008, respectively. We consider the impact of our and our counterparties’ credit risk on the fair value of the contracts as well as the ability of each</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party to execute its obligations under the contract. As of December 31, 2009 and 2008, respectively, credit risk did not materially change the fair value of our foreign currency forward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contracts.</w:t>
      </w:r>
    </w:p>
    <w:p>
      <w:pPr>
        <w:spacing w:after="0" w:line="8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relation to our foreign currency forward contracts, we recognize gains and losses in earnings due to hedge ineffectiveness. During the years ended December 31, 2009, 2008 and 2007 we recognized net losses of $1.1 million, $0.2 million, and $2.6 million, respectively. In addition, we recognized $49.7 million, $8.5 million, and $13.1 million, respectively, of losses in product revenue for the settlement of certain effective cash flow hedge instruments for the years ended December 31, 2009, 2008 and 2007, respectively. These settlements were recorded in the same period as the related forecasted revenue.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connection with the issuance of our 6.875% Senior Notes in March 2008, we entered into interest rate swap contracts with an aggregate notional amount of $550.0 million. These contracts were settled in December 2008. Under the settlement we received $53.9 million. As the interest rate swaps were settled in 2008, no hedge ineffectiveness was recognized for the year ended December 31, 2009. In the year ended December 31, 2008, we recognized a net loss of $8.9 million in earnings due to hedge ineffectiveness.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Additionally, upon termination of the swaps in December 2008, the carrying amount of the 6.875% Senior Notes increased $62.8 million. This amount will be recognized as a reduction of interest expense and amortized using the effective interest rate method over the remaining life of the 6.875% Senior Notes. In 2009, approximately $5.4 million was recorded as a reduction of interest expense.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Summary of Derivatives Designated as Hedging Instruments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and presentation in the consolidated balance sheets for derivatives designated as hedging instruments: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gridSpan w:val="4"/>
          </w:tcPr>
          <w:p>
            <w:pPr>
              <w:ind w:left="320"/>
              <w:spacing w:after="0"/>
              <w:rPr>
                <w:sz w:val="20"/>
                <w:szCs w:val="20"/>
                <w:color w:val="auto"/>
              </w:rPr>
            </w:pPr>
            <w:r>
              <w:rPr>
                <w:rFonts w:ascii="Arial" w:cs="Arial" w:eastAsia="Arial" w:hAnsi="Arial"/>
                <w:sz w:val="10"/>
                <w:szCs w:val="10"/>
                <w:b w:val="1"/>
                <w:bCs w:val="1"/>
                <w:color w:val="auto"/>
              </w:rPr>
              <w:t>Foreign Currency Contracts</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1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8"/>
                <w:szCs w:val="8"/>
                <w:color w:val="auto"/>
              </w:rPr>
            </w:pPr>
          </w:p>
        </w:tc>
        <w:tc>
          <w:tcPr>
            <w:tcW w:w="2140" w:type="dxa"/>
            <w:vAlign w:val="bottom"/>
            <w:tcBorders>
              <w:bottom w:val="single" w:sz="8" w:color="auto"/>
            </w:tcBorders>
            <w:gridSpan w:val="2"/>
          </w:tcPr>
          <w:p>
            <w:pPr>
              <w:ind w:left="980"/>
              <w:spacing w:after="0" w:line="98" w:lineRule="exact"/>
              <w:rPr>
                <w:sz w:val="20"/>
                <w:szCs w:val="20"/>
                <w:color w:val="auto"/>
              </w:rPr>
            </w:pPr>
            <w:r>
              <w:rPr>
                <w:rFonts w:ascii="Arial" w:cs="Arial" w:eastAsia="Arial" w:hAnsi="Arial"/>
                <w:sz w:val="10"/>
                <w:szCs w:val="10"/>
                <w:b w:val="1"/>
                <w:bCs w:val="1"/>
                <w:color w:val="auto"/>
              </w:rPr>
              <w:t>Asset Derivatives</w:t>
            </w: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80" w:type="dxa"/>
            <w:vAlign w:val="bottom"/>
            <w:tcBorders>
              <w:bottom w:val="single" w:sz="8" w:color="auto"/>
            </w:tcBorders>
            <w:gridSpan w:val="2"/>
          </w:tcPr>
          <w:p>
            <w:pPr>
              <w:jc w:val="center"/>
              <w:ind w:left="541"/>
              <w:spacing w:after="0" w:line="98" w:lineRule="exact"/>
              <w:rPr>
                <w:sz w:val="20"/>
                <w:szCs w:val="20"/>
                <w:color w:val="auto"/>
              </w:rPr>
            </w:pPr>
            <w:r>
              <w:rPr>
                <w:rFonts w:ascii="Arial" w:cs="Arial" w:eastAsia="Arial" w:hAnsi="Arial"/>
                <w:sz w:val="10"/>
                <w:szCs w:val="10"/>
                <w:b w:val="1"/>
                <w:bCs w:val="1"/>
                <w:color w:val="auto"/>
                <w:w w:val="97"/>
              </w:rPr>
              <w:t>Liability Derivatives</w:t>
            </w: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720" w:type="dxa"/>
            <w:vAlign w:val="bottom"/>
            <w:tcBorders>
              <w:bottom w:val="single" w:sz="8" w:color="auto"/>
            </w:tcBorders>
          </w:tcPr>
          <w:p>
            <w:pPr>
              <w:ind w:left="34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2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8"/>
                <w:szCs w:val="8"/>
                <w:color w:val="auto"/>
              </w:rPr>
            </w:pPr>
          </w:p>
        </w:tc>
        <w:tc>
          <w:tcPr>
            <w:tcW w:w="2480" w:type="dxa"/>
            <w:vAlign w:val="bottom"/>
            <w:tcBorders>
              <w:bottom w:val="single" w:sz="8" w:color="auto"/>
            </w:tcBorders>
          </w:tcPr>
          <w:p>
            <w:pPr>
              <w:ind w:left="72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5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Fair Value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300" w:type="dxa"/>
            <w:vAlign w:val="bottom"/>
            <w:gridSpan w:val="2"/>
          </w:tcPr>
          <w:p>
            <w:pPr>
              <w:spacing w:after="0"/>
              <w:rPr>
                <w:sz w:val="20"/>
                <w:szCs w:val="20"/>
                <w:color w:val="auto"/>
              </w:rPr>
            </w:pPr>
            <w:r>
              <w:rPr>
                <w:rFonts w:ascii="Arial" w:cs="Arial" w:eastAsia="Arial" w:hAnsi="Arial"/>
                <w:sz w:val="13"/>
                <w:szCs w:val="13"/>
                <w:color w:val="auto"/>
              </w:rPr>
              <w:t>December 31, 2009</w:t>
            </w:r>
          </w:p>
        </w:tc>
        <w:tc>
          <w:tcPr>
            <w:tcW w:w="2140" w:type="dxa"/>
            <w:vAlign w:val="bottom"/>
            <w:gridSpan w:val="2"/>
          </w:tcPr>
          <w:p>
            <w:pPr>
              <w:ind w:left="620"/>
              <w:spacing w:after="0"/>
              <w:rPr>
                <w:sz w:val="20"/>
                <w:szCs w:val="20"/>
                <w:color w:val="auto"/>
              </w:rPr>
            </w:pPr>
            <w:r>
              <w:rPr>
                <w:rFonts w:ascii="Arial" w:cs="Arial" w:eastAsia="Arial" w:hAnsi="Arial"/>
                <w:sz w:val="13"/>
                <w:szCs w:val="13"/>
                <w:color w:val="auto"/>
              </w:rPr>
              <w:t>Other Current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2880" w:type="dxa"/>
            <w:vAlign w:val="bottom"/>
            <w:gridSpan w:val="2"/>
          </w:tcPr>
          <w:p>
            <w:pPr>
              <w:jc w:val="center"/>
              <w:ind w:left="501"/>
              <w:spacing w:after="0"/>
              <w:rPr>
                <w:sz w:val="20"/>
                <w:szCs w:val="20"/>
                <w:color w:val="auto"/>
              </w:rPr>
            </w:pPr>
            <w:r>
              <w:rPr>
                <w:rFonts w:ascii="Arial" w:cs="Arial" w:eastAsia="Arial" w:hAnsi="Arial"/>
                <w:sz w:val="13"/>
                <w:szCs w:val="13"/>
                <w:color w:val="auto"/>
                <w:w w:val="89"/>
              </w:rPr>
              <w:t>Accrued Expenses and Other</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65"/>
        </w:trPr>
        <w:tc>
          <w:tcPr>
            <w:tcW w:w="3300" w:type="dxa"/>
            <w:vAlign w:val="bottom"/>
            <w:gridSpan w:val="2"/>
          </w:tcPr>
          <w:p>
            <w:pPr>
              <w:spacing w:after="0"/>
              <w:rPr>
                <w:sz w:val="20"/>
                <w:szCs w:val="20"/>
                <w:color w:val="auto"/>
              </w:rPr>
            </w:pPr>
            <w:r>
              <w:rPr>
                <w:rFonts w:ascii="Arial" w:cs="Arial" w:eastAsia="Arial" w:hAnsi="Arial"/>
                <w:sz w:val="13"/>
                <w:szCs w:val="13"/>
                <w:color w:val="auto"/>
              </w:rPr>
              <w:t>December 31, 2008</w:t>
            </w:r>
          </w:p>
        </w:tc>
        <w:tc>
          <w:tcPr>
            <w:tcW w:w="2140" w:type="dxa"/>
            <w:vAlign w:val="bottom"/>
            <w:gridSpan w:val="2"/>
          </w:tcPr>
          <w:p>
            <w:pPr>
              <w:ind w:left="620"/>
              <w:spacing w:after="0"/>
              <w:rPr>
                <w:sz w:val="20"/>
                <w:szCs w:val="20"/>
                <w:color w:val="auto"/>
              </w:rPr>
            </w:pPr>
            <w:r>
              <w:rPr>
                <w:rFonts w:ascii="Arial" w:cs="Arial" w:eastAsia="Arial" w:hAnsi="Arial"/>
                <w:sz w:val="13"/>
                <w:szCs w:val="13"/>
                <w:color w:val="auto"/>
              </w:rPr>
              <w:t>Other Current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2880" w:type="dxa"/>
            <w:vAlign w:val="bottom"/>
            <w:gridSpan w:val="2"/>
          </w:tcPr>
          <w:p>
            <w:pPr>
              <w:jc w:val="center"/>
              <w:ind w:left="501"/>
              <w:spacing w:after="0"/>
              <w:rPr>
                <w:sz w:val="20"/>
                <w:szCs w:val="20"/>
                <w:color w:val="auto"/>
              </w:rPr>
            </w:pPr>
            <w:r>
              <w:rPr>
                <w:rFonts w:ascii="Arial" w:cs="Arial" w:eastAsia="Arial" w:hAnsi="Arial"/>
                <w:sz w:val="13"/>
                <w:szCs w:val="13"/>
                <w:color w:val="auto"/>
                <w:w w:val="89"/>
              </w:rPr>
              <w:t>Accrued Expenses and Other</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noted above, the interest rate swap contracts were settled in December 2008.</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effect of derivatives designated as hedging instruments on the consolidated statements of income:</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3"/>
              </w:rPr>
              <w:t>Amount</w:t>
            </w: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3"/>
              </w:rPr>
              <w:t>Amount</w:t>
            </w: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88"/>
              </w:rPr>
              <w:t>Recognized in</w:t>
            </w: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0"/>
              </w:rPr>
              <w:t>Reclassified from</w:t>
            </w: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3"/>
              </w:rPr>
              <w:t>Accumulated Other</w:t>
            </w: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3"/>
              </w:rPr>
              <w:t>Accumulated Other</w:t>
            </w: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88"/>
              </w:rPr>
              <w:t>Comprehensive</w:t>
            </w: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8"/>
              </w:rPr>
              <w:t>Comprehensive</w:t>
            </w: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8"/>
              </w:rPr>
              <w:t>Income</w:t>
            </w: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3"/>
              </w:rPr>
              <w:t>Amount of</w:t>
            </w: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1"/>
              </w:rPr>
              <w:t>on Derivative</w:t>
            </w:r>
          </w:p>
        </w:tc>
        <w:tc>
          <w:tcPr>
            <w:tcW w:w="13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0"/>
              </w:rPr>
              <w:t>Income Statement</w:t>
            </w:r>
          </w:p>
        </w:tc>
        <w:tc>
          <w:tcPr>
            <w:tcW w:w="160" w:type="dxa"/>
            <w:vAlign w:val="bottom"/>
          </w:tcPr>
          <w:p>
            <w:pPr>
              <w:spacing w:after="0"/>
              <w:rPr>
                <w:sz w:val="8"/>
                <w:szCs w:val="8"/>
                <w:color w:val="auto"/>
              </w:rPr>
            </w:pPr>
          </w:p>
        </w:tc>
        <w:tc>
          <w:tcPr>
            <w:tcW w:w="13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0"/>
              </w:rPr>
              <w:t>into Income</w:t>
            </w:r>
          </w:p>
        </w:tc>
        <w:tc>
          <w:tcPr>
            <w:tcW w:w="14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Income Statement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2"/>
              </w:rPr>
              <w:t>Gain/(Loss)</w:t>
            </w:r>
          </w:p>
        </w:tc>
      </w:tr>
      <w:tr>
        <w:trPr>
          <w:trHeight w:val="98"/>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2"/>
              </w:rPr>
              <w:t>Gain/(Loss)</w:t>
            </w:r>
          </w:p>
        </w:tc>
        <w:tc>
          <w:tcPr>
            <w:tcW w:w="13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0"/>
              </w:rPr>
              <w:t>Location</w:t>
            </w:r>
          </w:p>
        </w:tc>
        <w:tc>
          <w:tcPr>
            <w:tcW w:w="160" w:type="dxa"/>
            <w:vAlign w:val="bottom"/>
          </w:tcPr>
          <w:p>
            <w:pPr>
              <w:spacing w:after="0"/>
              <w:rPr>
                <w:sz w:val="8"/>
                <w:szCs w:val="8"/>
                <w:color w:val="auto"/>
              </w:rPr>
            </w:pPr>
          </w:p>
        </w:tc>
        <w:tc>
          <w:tcPr>
            <w:tcW w:w="13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2"/>
              </w:rPr>
              <w:t>Gain/(Loss)</w:t>
            </w:r>
          </w:p>
        </w:tc>
        <w:tc>
          <w:tcPr>
            <w:tcW w:w="14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Location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1"/>
              </w:rPr>
              <w:t>Recorded</w:t>
            </w:r>
          </w:p>
        </w:tc>
      </w:tr>
      <w:tr>
        <w:trPr>
          <w:trHeight w:val="111"/>
        </w:trPr>
        <w:tc>
          <w:tcPr>
            <w:tcW w:w="2600" w:type="dxa"/>
            <w:vAlign w:val="bottom"/>
          </w:tcPr>
          <w:p>
            <w:pPr>
              <w:spacing w:after="0"/>
              <w:rPr>
                <w:sz w:val="20"/>
                <w:szCs w:val="20"/>
                <w:color w:val="auto"/>
              </w:rPr>
            </w:pPr>
            <w:r>
              <w:rPr>
                <w:rFonts w:ascii="Arial" w:cs="Arial" w:eastAsia="Arial" w:hAnsi="Arial"/>
                <w:sz w:val="9"/>
                <w:szCs w:val="9"/>
                <w:b w:val="1"/>
                <w:bCs w:val="1"/>
                <w:color w:val="auto"/>
              </w:rPr>
              <w:t>For the Years Ended (In millions)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2"/>
              </w:rPr>
              <w:t>(Effective Portion)</w:t>
            </w:r>
          </w:p>
        </w:tc>
        <w:tc>
          <w:tcPr>
            <w:tcW w:w="13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(Effective Portion)</w:t>
            </w:r>
          </w:p>
        </w:tc>
        <w:tc>
          <w:tcPr>
            <w:tcW w:w="160" w:type="dxa"/>
            <w:vAlign w:val="bottom"/>
          </w:tcPr>
          <w:p>
            <w:pPr>
              <w:spacing w:after="0"/>
              <w:rPr>
                <w:sz w:val="9"/>
                <w:szCs w:val="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2"/>
              </w:rPr>
              <w:t>(Effective Portion)</w:t>
            </w:r>
          </w:p>
        </w:tc>
        <w:tc>
          <w:tcPr>
            <w:tcW w:w="1400" w:type="dxa"/>
            <w:vAlign w:val="bottom"/>
          </w:tcPr>
          <w:p>
            <w:pPr>
              <w:jc w:val="center"/>
              <w:spacing w:after="0"/>
              <w:rPr>
                <w:sz w:val="20"/>
                <w:szCs w:val="20"/>
                <w:color w:val="auto"/>
              </w:rPr>
            </w:pPr>
            <w:r>
              <w:rPr>
                <w:rFonts w:ascii="Arial" w:cs="Arial" w:eastAsia="Arial" w:hAnsi="Arial"/>
                <w:sz w:val="9"/>
                <w:szCs w:val="9"/>
                <w:b w:val="1"/>
                <w:bCs w:val="1"/>
                <w:color w:val="auto"/>
                <w:w w:val="94"/>
              </w:rPr>
              <w:t>(Ineffective Portion)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4"/>
              </w:rPr>
              <w:t>(Ineffective Portion)</w:t>
            </w:r>
          </w:p>
        </w:tc>
      </w:tr>
      <w:tr>
        <w:trPr>
          <w:trHeight w:val="29"/>
        </w:trPr>
        <w:tc>
          <w:tcPr>
            <w:tcW w:w="2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0"/>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600" w:type="dxa"/>
            <w:vAlign w:val="bottom"/>
          </w:tcPr>
          <w:p>
            <w:pPr>
              <w:spacing w:after="0"/>
              <w:rPr>
                <w:sz w:val="20"/>
                <w:szCs w:val="20"/>
                <w:color w:val="auto"/>
              </w:rPr>
            </w:pPr>
            <w:r>
              <w:rPr>
                <w:rFonts w:ascii="Arial" w:cs="Arial" w:eastAsia="Arial" w:hAnsi="Arial"/>
                <w:sz w:val="12"/>
                <w:szCs w:val="12"/>
                <w:color w:val="auto"/>
              </w:rPr>
              <w:t>Foreign currency contracts</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1.2</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Revenue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(49.7)</w:t>
            </w:r>
          </w:p>
        </w:tc>
        <w:tc>
          <w:tcPr>
            <w:tcW w:w="1400" w:type="dxa"/>
            <w:vAlign w:val="bottom"/>
          </w:tcPr>
          <w:p>
            <w:pPr>
              <w:spacing w:after="0"/>
              <w:rPr>
                <w:sz w:val="20"/>
                <w:szCs w:val="20"/>
                <w:color w:val="auto"/>
              </w:rPr>
            </w:pPr>
            <w:r>
              <w:rPr>
                <w:rFonts w:ascii="Arial" w:cs="Arial" w:eastAsia="Arial" w:hAnsi="Arial"/>
                <w:sz w:val="12"/>
                <w:szCs w:val="12"/>
                <w:color w:val="auto"/>
              </w:rPr>
              <w:t>(expense)</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r>
      <w:tr>
        <w:trPr>
          <w:trHeight w:val="150"/>
        </w:trPr>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0"/>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600" w:type="dxa"/>
            <w:vAlign w:val="bottom"/>
          </w:tcPr>
          <w:p>
            <w:pPr>
              <w:spacing w:after="0"/>
              <w:rPr>
                <w:sz w:val="20"/>
                <w:szCs w:val="20"/>
                <w:color w:val="auto"/>
              </w:rPr>
            </w:pPr>
            <w:r>
              <w:rPr>
                <w:rFonts w:ascii="Arial" w:cs="Arial" w:eastAsia="Arial" w:hAnsi="Arial"/>
                <w:sz w:val="12"/>
                <w:szCs w:val="12"/>
                <w:color w:val="auto"/>
              </w:rPr>
              <w:t>Foreign currency contracts</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2"/>
                <w:szCs w:val="12"/>
                <w:color w:val="auto"/>
              </w:rPr>
              <w:t>(44.1)</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Revenue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(8.5)</w:t>
            </w:r>
          </w:p>
        </w:tc>
        <w:tc>
          <w:tcPr>
            <w:tcW w:w="1400" w:type="dxa"/>
            <w:vAlign w:val="bottom"/>
          </w:tcPr>
          <w:p>
            <w:pPr>
              <w:spacing w:after="0"/>
              <w:rPr>
                <w:sz w:val="20"/>
                <w:szCs w:val="20"/>
                <w:color w:val="auto"/>
              </w:rPr>
            </w:pPr>
            <w:r>
              <w:rPr>
                <w:rFonts w:ascii="Arial" w:cs="Arial" w:eastAsia="Arial" w:hAnsi="Arial"/>
                <w:sz w:val="12"/>
                <w:szCs w:val="12"/>
                <w:color w:val="auto"/>
              </w:rPr>
              <w:t>(expense)</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0.2</w:t>
            </w:r>
          </w:p>
        </w:tc>
      </w:tr>
      <w:tr>
        <w:trPr>
          <w:trHeight w:val="150"/>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Interest Expense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(8.9)</w:t>
            </w:r>
          </w:p>
        </w:tc>
      </w:tr>
      <w:tr>
        <w:trPr>
          <w:trHeight w:val="302"/>
        </w:trPr>
        <w:tc>
          <w:tcPr>
            <w:tcW w:w="2600" w:type="dxa"/>
            <w:vAlign w:val="bottom"/>
          </w:tcPr>
          <w:p>
            <w:pPr>
              <w:spacing w:after="0"/>
              <w:rPr>
                <w:sz w:val="20"/>
                <w:szCs w:val="20"/>
                <w:color w:val="auto"/>
              </w:rPr>
            </w:pPr>
            <w:r>
              <w:rPr>
                <w:rFonts w:ascii="Arial" w:cs="Arial" w:eastAsia="Arial" w:hAnsi="Arial"/>
                <w:sz w:val="12"/>
                <w:szCs w:val="12"/>
                <w:b w:val="1"/>
                <w:bCs w:val="1"/>
                <w:color w:val="auto"/>
              </w:rPr>
              <w:t>December 31, 2007: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Other income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4"/>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contracts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Revenue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(13.1)</w:t>
            </w: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Derivatives</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2009, we entered into several foreign currency forward contracts to mitigate the foreign currency risk related to certain balance sheet items. We have not elected hedge accounting for these items. As of December 31, 2009, the aggregate notional amount of our outstanding foreign currency contracts was $188.0 million. The fair value of these contracts was a net asset of $3.8 million. Net gains of $2.5 million were recognized as a component of other income (expense), net related to these contracts in the year ended December 31, 2009.</w:t>
      </w:r>
    </w:p>
    <w:p>
      <w:pPr>
        <w:spacing w:after="0" w:line="1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980" w:type="dxa"/>
            <w:vAlign w:val="bottom"/>
            <w:gridSpan w:val="2"/>
          </w:tcPr>
          <w:p>
            <w:pPr>
              <w:ind w:left="200"/>
              <w:spacing w:after="0"/>
              <w:rPr>
                <w:sz w:val="20"/>
                <w:szCs w:val="20"/>
                <w:color w:val="auto"/>
              </w:rPr>
            </w:pPr>
            <w:r>
              <w:rPr>
                <w:rFonts w:ascii="Arial" w:cs="Arial" w:eastAsia="Arial" w:hAnsi="Arial"/>
                <w:sz w:val="13"/>
                <w:szCs w:val="13"/>
                <w:b w:val="1"/>
                <w:bCs w:val="1"/>
                <w:color w:val="auto"/>
              </w:rPr>
              <w:t>Indebtedness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gridSpan w:val="2"/>
          </w:tcPr>
          <w:p>
            <w:pPr>
              <w:ind w:left="280"/>
              <w:spacing w:after="0"/>
              <w:rPr>
                <w:sz w:val="20"/>
                <w:szCs w:val="20"/>
                <w:color w:val="auto"/>
              </w:rPr>
            </w:pPr>
            <w:r>
              <w:rPr>
                <w:rFonts w:ascii="Arial" w:cs="Arial" w:eastAsia="Arial" w:hAnsi="Arial"/>
                <w:sz w:val="13"/>
                <w:szCs w:val="13"/>
                <w:color w:val="auto"/>
              </w:rPr>
              <w:t>Our indebtedness is summarized as follows: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1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1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Borders>
              <w:top w:val="single" w:sz="8" w:color="auto"/>
            </w:tcBorders>
          </w:tcPr>
          <w:p>
            <w:pPr>
              <w:spacing w:after="0"/>
              <w:rPr>
                <w:sz w:val="2"/>
                <w:szCs w:val="2"/>
                <w:color w:val="auto"/>
              </w:rPr>
            </w:pPr>
          </w:p>
        </w:tc>
        <w:tc>
          <w:tcPr>
            <w:tcW w:w="7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980" w:type="dxa"/>
            <w:vAlign w:val="bottom"/>
            <w:gridSpan w:val="2"/>
          </w:tcPr>
          <w:p>
            <w:pPr>
              <w:ind w:left="20"/>
              <w:spacing w:after="0"/>
              <w:rPr>
                <w:sz w:val="20"/>
                <w:szCs w:val="20"/>
                <w:color w:val="auto"/>
              </w:rPr>
            </w:pPr>
            <w:r>
              <w:rPr>
                <w:rFonts w:ascii="Arial" w:cs="Arial" w:eastAsia="Arial" w:hAnsi="Arial"/>
                <w:sz w:val="13"/>
                <w:szCs w:val="13"/>
                <w:color w:val="auto"/>
              </w:rPr>
              <w:t>Notes payable to Fumedica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11.2</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Credit line from Dompé</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gridSpan w:val="2"/>
            <w:vMerge w:val="restart"/>
          </w:tcPr>
          <w:p>
            <w:pPr>
              <w:ind w:left="160"/>
              <w:spacing w:after="0"/>
              <w:rPr>
                <w:sz w:val="20"/>
                <w:szCs w:val="20"/>
                <w:color w:val="auto"/>
              </w:rPr>
            </w:pPr>
            <w:r>
              <w:rPr>
                <w:rFonts w:ascii="Arial" w:cs="Arial" w:eastAsia="Arial" w:hAnsi="Arial"/>
                <w:sz w:val="13"/>
                <w:szCs w:val="13"/>
                <w:color w:val="auto"/>
              </w:rPr>
              <w:t>Current portion of notes payable and line of credit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98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19.8</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65"/>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Non-current portion:</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980" w:type="dxa"/>
            <w:vAlign w:val="bottom"/>
            <w:gridSpan w:val="2"/>
          </w:tcPr>
          <w:p>
            <w:pPr>
              <w:ind w:left="20"/>
              <w:spacing w:after="0"/>
              <w:rPr>
                <w:sz w:val="20"/>
                <w:szCs w:val="20"/>
                <w:color w:val="auto"/>
              </w:rPr>
            </w:pPr>
            <w:r>
              <w:rPr>
                <w:rFonts w:ascii="Arial" w:cs="Arial" w:eastAsia="Arial" w:hAnsi="Arial"/>
                <w:sz w:val="13"/>
                <w:szCs w:val="13"/>
                <w:color w:val="auto"/>
              </w:rPr>
              <w:t>6.0% Senior notes due 2013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449.6</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6.875% Senior notes due 2018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603.2</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608.2</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980" w:type="dxa"/>
            <w:vAlign w:val="bottom"/>
            <w:gridSpan w:val="2"/>
          </w:tcPr>
          <w:p>
            <w:pPr>
              <w:ind w:left="20"/>
              <w:spacing w:after="0"/>
              <w:rPr>
                <w:sz w:val="20"/>
                <w:szCs w:val="20"/>
                <w:color w:val="auto"/>
              </w:rPr>
            </w:pPr>
            <w:r>
              <w:rPr>
                <w:rFonts w:ascii="Arial" w:cs="Arial" w:eastAsia="Arial" w:hAnsi="Arial"/>
                <w:sz w:val="13"/>
                <w:szCs w:val="13"/>
                <w:color w:val="auto"/>
              </w:rPr>
              <w:t>Notes payable to Fumedica</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Credit line from Dompé</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gridSpan w:val="2"/>
            <w:vMerge w:val="restart"/>
          </w:tcPr>
          <w:p>
            <w:pPr>
              <w:ind w:left="160"/>
              <w:spacing w:after="0"/>
              <w:rPr>
                <w:sz w:val="20"/>
                <w:szCs w:val="20"/>
                <w:color w:val="auto"/>
              </w:rPr>
            </w:pPr>
            <w:r>
              <w:rPr>
                <w:rFonts w:ascii="Arial" w:cs="Arial" w:eastAsia="Arial" w:hAnsi="Arial"/>
                <w:sz w:val="13"/>
                <w:szCs w:val="13"/>
                <w:color w:val="auto"/>
              </w:rPr>
              <w:t>Notes payable and line of credit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1,085.</w:t>
            </w:r>
            <w:r>
              <w:rPr>
                <w:rFonts w:ascii="Arial" w:cs="Arial" w:eastAsia="Arial" w:hAnsi="Arial"/>
                <w:sz w:val="13"/>
                <w:szCs w:val="13"/>
                <w:u w:val="single" w:color="auto"/>
                <w:color w:val="auto"/>
                <w:w w:val="96"/>
              </w:rPr>
              <w:t>4</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description of our principal indebtedness as of December 31,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March 4, 2008, we issued $450.0 million aggregate principal amount of 6.0% Senior Notes due March 1, 2013 and $550.0 million aggregate principal amount of 6.875% Senior Notes due March 1, 2018 at 99.886%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99.184% of par, respectively. The discount is amortized as additional interest expense over the period from issuance through maturity. These notes are senior unsecured obligations. Interest on the notes is payable March 1 and September 1 of each year. The notes may be redeemed at our option at any time at 100% of the principal amount plus accrued interest and a specified make-whole amount. The notes contain a change of control provision that may require us to purchase the notes under certain circumstances. There is also an interest rate adjustment feature that requires us to pay interest at an increased interest rate on the notes if the credit rating on the notes declines below investment grade. Offering costs of approximately $8.0 million have been recorded as debt issuance costs on our consolidated balance sheet and are amortized as additional interest expense using the effective interest rate method over the period from issuance through maturity.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Upon the issuance of the debt we entered into interest rate swap contracts where we received a fixed rate and paid a variable rate, as further described in Note 8, </w:t>
      </w:r>
      <w:r>
        <w:rPr>
          <w:rFonts w:ascii="Arial" w:cs="Arial" w:eastAsia="Arial" w:hAnsi="Arial"/>
          <w:sz w:val="13"/>
          <w:szCs w:val="13"/>
          <w:i w:val="1"/>
          <w:iCs w:val="1"/>
          <w:color w:val="auto"/>
        </w:rPr>
        <w:t>Derivative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Instruments </w:t>
      </w:r>
      <w:r>
        <w:rPr>
          <w:rFonts w:ascii="Arial" w:cs="Arial" w:eastAsia="Arial" w:hAnsi="Arial"/>
          <w:sz w:val="13"/>
          <w:szCs w:val="13"/>
          <w:color w:val="auto"/>
        </w:rPr>
        <w:t>to our Consolidated Financial Statements. These contracts have been subsequently terminated. Upon termination of these swaps, the carrying amount of the 6.875% Senior Notes</w:t>
      </w:r>
      <w:r>
        <w:rPr>
          <w:rFonts w:ascii="Arial" w:cs="Arial" w:eastAsia="Arial" w:hAnsi="Arial"/>
          <w:sz w:val="13"/>
          <w:szCs w:val="13"/>
          <w:i w:val="1"/>
          <w:iCs w:val="1"/>
          <w:color w:val="auto"/>
        </w:rPr>
        <w:t xml:space="preserve"> </w:t>
      </w:r>
      <w:r>
        <w:rPr>
          <w:rFonts w:ascii="Arial" w:cs="Arial" w:eastAsia="Arial" w:hAnsi="Arial"/>
          <w:sz w:val="13"/>
          <w:szCs w:val="13"/>
          <w:color w:val="auto"/>
        </w:rPr>
        <w:t>due in 2018 was increased by $62.8 million. This increase is amortized using the effective interest rate method over the remaining life of the Senior Notes and is being recognized as a reduction of interest expense.</w:t>
      </w:r>
    </w:p>
    <w:p>
      <w:pPr>
        <w:spacing w:after="0" w:line="7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We used the proceeds of this borrowing, along with cash and the proceeds from the liquidation of marketable securities, to repay the full $1,500.0 million outstanding under the term loan facility we had entered into in July 2007 in connection with the funding of our June 2007 common stock tender offer. This term loan facility expired upon repayment.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Facility</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have a $360.0 million senior unsecured revolving credit facility, which may be used for future working capital and general corporate purposes. The facility terminates in June 2012. As of December 31, 2009 and 2008, there were no borrowings under this credit facility and we were in compliance with applicable covenants.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Biogen-Dompé</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and 2008, Biogen-Dompé SRL, a consolidated joint venture, has a loan balance of 12.0 million Euros ($17.2 million) and 12.0 million Euros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($16.7 million), respectively. These balances represent a line of credit from us and Dompé Farmaceutici SpA of 24.0 million Euros, half of which has been eliminated for purposes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presenting our consolidated financial position as it is an intercompany loan. Borrowings under this line of credit are to be made equally between the partners, with any repayments paid in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similar manner. The loan was originally due June 1, 2009; however, a new loan was subsequently executed with a maturity date of December 1, 2011. The interest rate on the line of credit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under the new agreements is determined at a rate of three month Euro LIBOR plus 150 basis points and was 2.2% as of December 31, 2009. The interest rate is reset quarterly and payable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quarterly in arrears.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Notes Payable to Fumedica</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As of December 31, 2009 and 2008, the notes payable to Fumedica have a present value of 31.2 million Swiss Francs ($30.0 million) and 41.2 million Swiss Francs ($38.6 million), respectively. The notes, which were entered into in connection with the settlement of various agreements associated with Fumedica, are non-interest bearing, have been discounted for financial statement presentation purposes and are being accreted at a rate of 5.75% and are payable in a series of payments through June 2018.</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6180" w:type="dxa"/>
            <w:vAlign w:val="bottom"/>
            <w:gridSpan w:val="3"/>
          </w:tcPr>
          <w:p>
            <w:pPr>
              <w:jc w:val="right"/>
              <w:ind w:right="2428"/>
              <w:spacing w:after="0"/>
              <w:rPr>
                <w:sz w:val="20"/>
                <w:szCs w:val="20"/>
                <w:color w:val="auto"/>
              </w:rPr>
            </w:pPr>
            <w:r>
              <w:rPr>
                <w:rFonts w:ascii="Arial" w:cs="Arial" w:eastAsia="Arial" w:hAnsi="Arial"/>
                <w:sz w:val="13"/>
                <w:szCs w:val="13"/>
                <w:b w:val="1"/>
                <w:bCs w:val="1"/>
                <w:color w:val="auto"/>
              </w:rPr>
              <w:t>BIOGEN IDEC INC. AND SUBSIDIARIES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6"/>
        </w:trPr>
        <w:tc>
          <w:tcPr>
            <w:tcW w:w="2520" w:type="dxa"/>
            <w:vAlign w:val="bottom"/>
          </w:tcPr>
          <w:p>
            <w:pPr>
              <w:spacing w:after="0"/>
              <w:rPr>
                <w:sz w:val="21"/>
                <w:szCs w:val="21"/>
                <w:color w:val="auto"/>
              </w:rPr>
            </w:pPr>
          </w:p>
        </w:tc>
        <w:tc>
          <w:tcPr>
            <w:tcW w:w="6180" w:type="dxa"/>
            <w:vAlign w:val="bottom"/>
            <w:gridSpan w:val="3"/>
          </w:tcPr>
          <w:p>
            <w:pPr>
              <w:jc w:val="right"/>
              <w:ind w:right="1508"/>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3"/>
        </w:trPr>
        <w:tc>
          <w:tcPr>
            <w:tcW w:w="25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Debt Maturity</w:t>
            </w: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6"/>
        </w:trPr>
        <w:tc>
          <w:tcPr>
            <w:tcW w:w="2520" w:type="dxa"/>
            <w:vAlign w:val="bottom"/>
          </w:tcPr>
          <w:p>
            <w:pPr>
              <w:ind w:left="400"/>
              <w:spacing w:after="0"/>
              <w:rPr>
                <w:sz w:val="20"/>
                <w:szCs w:val="20"/>
                <w:color w:val="auto"/>
              </w:rPr>
            </w:pPr>
            <w:r>
              <w:rPr>
                <w:rFonts w:ascii="Arial" w:cs="Arial" w:eastAsia="Arial" w:hAnsi="Arial"/>
                <w:sz w:val="13"/>
                <w:szCs w:val="13"/>
                <w:color w:val="auto"/>
              </w:rPr>
              <w:t>Our total debt matures as follows:</w:t>
            </w:r>
          </w:p>
        </w:tc>
        <w:tc>
          <w:tcPr>
            <w:tcW w:w="5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8"/>
        </w:trPr>
        <w:tc>
          <w:tcPr>
            <w:tcW w:w="2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5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0"/>
                <w:szCs w:val="10"/>
                <w:b w:val="1"/>
                <w:bCs w:val="1"/>
                <w:color w:val="auto"/>
              </w:rPr>
              <w:t>As of December 31, 2009</w:t>
            </w:r>
          </w:p>
        </w:tc>
      </w:tr>
      <w:tr>
        <w:trPr>
          <w:trHeight w:val="29"/>
        </w:trPr>
        <w:tc>
          <w:tcPr>
            <w:tcW w:w="2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20.1</w:t>
            </w: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2011</w:t>
            </w:r>
          </w:p>
        </w:tc>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880"/>
              <w:spacing w:after="0"/>
              <w:rPr>
                <w:sz w:val="20"/>
                <w:szCs w:val="20"/>
                <w:color w:val="auto"/>
              </w:rPr>
            </w:pPr>
            <w:r>
              <w:rPr>
                <w:rFonts w:ascii="Arial" w:cs="Arial" w:eastAsia="Arial" w:hAnsi="Arial"/>
                <w:sz w:val="13"/>
                <w:szCs w:val="13"/>
                <w:color w:val="auto"/>
              </w:rPr>
              <w:t>11.6</w:t>
            </w: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5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3.1</w:t>
            </w: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2013</w:t>
            </w:r>
          </w:p>
        </w:tc>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880"/>
              <w:spacing w:after="0"/>
              <w:rPr>
                <w:sz w:val="20"/>
                <w:szCs w:val="20"/>
                <w:color w:val="auto"/>
              </w:rPr>
            </w:pPr>
            <w:r>
              <w:rPr>
                <w:rFonts w:ascii="Arial" w:cs="Arial" w:eastAsia="Arial" w:hAnsi="Arial"/>
                <w:sz w:val="13"/>
                <w:szCs w:val="13"/>
                <w:color w:val="auto"/>
              </w:rPr>
              <w:t>453.1</w:t>
            </w: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5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3.1</w:t>
            </w: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2015 and thereafter</w:t>
            </w:r>
          </w:p>
        </w:tc>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880"/>
              <w:spacing w:after="0"/>
              <w:rPr>
                <w:sz w:val="20"/>
                <w:szCs w:val="20"/>
                <w:color w:val="auto"/>
              </w:rPr>
            </w:pPr>
            <w:r>
              <w:rPr>
                <w:rFonts w:ascii="Arial" w:cs="Arial" w:eastAsia="Arial" w:hAnsi="Arial"/>
                <w:sz w:val="13"/>
                <w:szCs w:val="13"/>
                <w:color w:val="auto"/>
              </w:rPr>
              <w:t>562.3</w:t>
            </w:r>
          </w:p>
        </w:tc>
      </w:tr>
      <w:tr>
        <w:trPr>
          <w:trHeight w:val="20"/>
        </w:trPr>
        <w:tc>
          <w:tcPr>
            <w:tcW w:w="2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7"/>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w w:val="87"/>
              </w:rPr>
              <w:t>1,053.3</w:t>
            </w:r>
          </w:p>
        </w:tc>
      </w:tr>
      <w:tr>
        <w:trPr>
          <w:trHeight w:val="29"/>
        </w:trPr>
        <w:tc>
          <w:tcPr>
            <w:tcW w:w="2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The fair value of our debt is disclosed in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 our Consolidated Financial Statements.</w:t>
      </w:r>
    </w:p>
    <w:p>
      <w:pPr>
        <w:spacing w:after="0" w:line="171"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Shareholders’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Preferred stock was comprised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2120" w:type="dxa"/>
            <w:vAlign w:val="bottom"/>
            <w:gridSpan w:val="6"/>
          </w:tcPr>
          <w:p>
            <w:pPr>
              <w:ind w:left="560"/>
              <w:spacing w:after="0"/>
              <w:rPr>
                <w:sz w:val="20"/>
                <w:szCs w:val="20"/>
                <w:color w:val="auto"/>
              </w:rPr>
            </w:pPr>
            <w:r>
              <w:rPr>
                <w:rFonts w:ascii="Arial" w:cs="Arial" w:eastAsia="Arial" w:hAnsi="Arial"/>
                <w:sz w:val="10"/>
                <w:szCs w:val="10"/>
                <w:b w:val="1"/>
                <w:bCs w:val="1"/>
                <w:color w:val="auto"/>
              </w:rPr>
              <w:t>As of December 31, 2009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gridSpan w:val="5"/>
          </w:tcPr>
          <w:p>
            <w:pPr>
              <w:ind w:left="540"/>
              <w:spacing w:after="0"/>
              <w:rPr>
                <w:sz w:val="20"/>
                <w:szCs w:val="20"/>
                <w:color w:val="auto"/>
              </w:rPr>
            </w:pPr>
            <w:r>
              <w:rPr>
                <w:rFonts w:ascii="Arial" w:cs="Arial" w:eastAsia="Arial" w:hAnsi="Arial"/>
                <w:sz w:val="10"/>
                <w:szCs w:val="10"/>
                <w:b w:val="1"/>
                <w:bCs w:val="1"/>
                <w:color w:val="auto"/>
              </w:rPr>
              <w:t>As of December 31, 2008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0"/>
                <w:szCs w:val="10"/>
                <w:b w:val="1"/>
                <w:bCs w:val="1"/>
                <w:color w:val="auto"/>
              </w:rPr>
              <w:t>As of December 31, 2007</w:t>
            </w:r>
          </w:p>
        </w:tc>
        <w:tc>
          <w:tcPr>
            <w:tcW w:w="0" w:type="dxa"/>
            <w:vAlign w:val="bottom"/>
          </w:tcPr>
          <w:p>
            <w:pPr>
              <w:spacing w:after="0"/>
              <w:rPr>
                <w:sz w:val="1"/>
                <w:szCs w:val="1"/>
                <w:color w:val="auto"/>
              </w:rPr>
            </w:pPr>
          </w:p>
        </w:tc>
      </w:tr>
      <w:tr>
        <w:trPr>
          <w:trHeight w:val="98"/>
        </w:trPr>
        <w:tc>
          <w:tcPr>
            <w:tcW w:w="2920" w:type="dxa"/>
            <w:vAlign w:val="bottom"/>
            <w:gridSpan w:val="2"/>
            <w:vMerge w:val="continue"/>
          </w:tcPr>
          <w:p>
            <w:pPr>
              <w:spacing w:after="0"/>
              <w:rPr>
                <w:sz w:val="8"/>
                <w:szCs w:val="8"/>
                <w:color w:val="auto"/>
              </w:rPr>
            </w:pPr>
          </w:p>
        </w:tc>
        <w:tc>
          <w:tcPr>
            <w:tcW w:w="920" w:type="dxa"/>
            <w:vAlign w:val="bottom"/>
            <w:tcBorders>
              <w:top w:val="single" w:sz="8" w:color="auto"/>
            </w:tcBorders>
            <w:gridSpan w:val="3"/>
          </w:tcPr>
          <w:p>
            <w:pPr>
              <w:ind w:left="100"/>
              <w:spacing w:after="0" w:line="98" w:lineRule="exact"/>
              <w:rPr>
                <w:sz w:val="20"/>
                <w:szCs w:val="20"/>
                <w:color w:val="auto"/>
              </w:rPr>
            </w:pPr>
            <w:r>
              <w:rPr>
                <w:rFonts w:ascii="Arial" w:cs="Arial" w:eastAsia="Arial" w:hAnsi="Arial"/>
                <w:sz w:val="10"/>
                <w:szCs w:val="10"/>
                <w:b w:val="1"/>
                <w:bCs w:val="1"/>
                <w:color w:val="auto"/>
              </w:rPr>
              <w:t>Authorized</w:t>
            </w:r>
          </w:p>
        </w:tc>
        <w:tc>
          <w:tcPr>
            <w:tcW w:w="520" w:type="dxa"/>
            <w:vAlign w:val="bottom"/>
            <w:tcBorders>
              <w:top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rPr>
              <w:t>Issued</w:t>
            </w:r>
          </w:p>
        </w:tc>
        <w:tc>
          <w:tcPr>
            <w:tcW w:w="680" w:type="dxa"/>
            <w:vAlign w:val="bottom"/>
            <w:tcBorders>
              <w:top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w w:val="91"/>
              </w:rPr>
              <w:t>Outstanding</w:t>
            </w: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top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Authorized</w:t>
            </w:r>
          </w:p>
        </w:tc>
        <w:tc>
          <w:tcPr>
            <w:tcW w:w="500" w:type="dxa"/>
            <w:vAlign w:val="bottom"/>
            <w:tcBorders>
              <w:top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w w:val="88"/>
              </w:rPr>
              <w:t>Issued</w:t>
            </w:r>
          </w:p>
        </w:tc>
        <w:tc>
          <w:tcPr>
            <w:tcW w:w="680" w:type="dxa"/>
            <w:vAlign w:val="bottom"/>
            <w:tcBorders>
              <w:top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w w:val="91"/>
              </w:rPr>
              <w:t>Outstanding</w:t>
            </w:r>
          </w:p>
        </w:tc>
        <w:tc>
          <w:tcPr>
            <w:tcW w:w="1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top w:val="single" w:sz="8" w:color="auto"/>
            </w:tcBorders>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Authorized</w:t>
            </w:r>
          </w:p>
        </w:tc>
        <w:tc>
          <w:tcPr>
            <w:tcW w:w="48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rPr>
              <w:t>Issued</w:t>
            </w:r>
          </w:p>
        </w:tc>
        <w:tc>
          <w:tcPr>
            <w:tcW w:w="800" w:type="dxa"/>
            <w:vAlign w:val="bottom"/>
            <w:tcBorders>
              <w:top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9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Series A Preferred Stock</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1,750</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6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8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1,750</w:t>
            </w: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6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8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1,750</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08"/>
        </w:trPr>
        <w:tc>
          <w:tcPr>
            <w:tcW w:w="2920" w:type="dxa"/>
            <w:vAlign w:val="bottom"/>
            <w:gridSpan w:val="2"/>
          </w:tcPr>
          <w:p>
            <w:pPr>
              <w:spacing w:after="0" w:line="108" w:lineRule="exact"/>
              <w:rPr>
                <w:sz w:val="20"/>
                <w:szCs w:val="20"/>
                <w:color w:val="auto"/>
              </w:rPr>
            </w:pPr>
            <w:r>
              <w:rPr>
                <w:rFonts w:ascii="Arial" w:cs="Arial" w:eastAsia="Arial" w:hAnsi="Arial"/>
                <w:sz w:val="10"/>
                <w:szCs w:val="10"/>
                <w:color w:val="auto"/>
              </w:rPr>
              <w:t>Series X Junior Participating Preferred Stock</w:t>
            </w: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1,000</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tcPr>
          <w:p>
            <w:pPr>
              <w:spacing w:after="0"/>
              <w:rPr>
                <w:sz w:val="9"/>
                <w:szCs w:val="9"/>
                <w:color w:val="auto"/>
              </w:rPr>
            </w:pPr>
          </w:p>
        </w:tc>
        <w:tc>
          <w:tcPr>
            <w:tcW w:w="3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79"/>
              </w:rPr>
              <w:t>—</w:t>
            </w:r>
          </w:p>
        </w:tc>
        <w:tc>
          <w:tcPr>
            <w:tcW w:w="8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1,000</w:t>
            </w: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9"/>
              </w:rPr>
              <w:t>—</w:t>
            </w:r>
          </w:p>
        </w:tc>
        <w:tc>
          <w:tcPr>
            <w:tcW w:w="8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1,000</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Undesignated</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5,250</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79"/>
              </w:rPr>
              <w:t>—</w:t>
            </w:r>
          </w:p>
        </w:tc>
        <w:tc>
          <w:tcPr>
            <w:tcW w:w="8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5,250</w:t>
            </w: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5,250</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8,000</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8,000</w:t>
            </w:r>
          </w:p>
        </w:tc>
        <w:tc>
          <w:tcPr>
            <w:tcW w:w="1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8,000</w:t>
            </w:r>
          </w:p>
        </w:tc>
        <w:tc>
          <w:tcPr>
            <w:tcW w:w="2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18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8,000,000 shares of Preferred Stock authorized, of which 1,750,000 shares have been designated as Series A Preferred Stock and 1,000,000 shares have been designated as Series X Junior Participating Preferred Stock. The balance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stock certificate. Any such Preferred Stock may rank prior to common stock as to dividend rights, liquidation preference or both, and may have full or limited voting rights and may be convertible into shares of common stock. As of December 31, 2009, 2008 and 2007, there were 8,221 shares of Series A Preferred Stock issued and outstanding. These shares carry a liquidation preference of $67 and are convertible into 60 shares of common stock per share of Preferred Stock. No other shares of Preferred Stock are issued and outstanding as of December 31, 2009, 2008 and 2007.</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Stockholder Rights Plan</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January 2009, our Board of Directors voted to terminate our stockholders rights plan effective as of January 30, 2009. The plan was scheduled to expire on July 26, 2011 and was originally adopted by the Board of Directors in 1997. Under the rights plan, each share of our common stock had one “right” attached to it that entitled the holder to purchase our Series X Junior Participating Preferred Stock under the circumstances specified in the rights plan. As a result of our Board of Director’s action, no rights are outstanding or exercisable.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Repurchase Programs</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October 2009, our Board of Directors authorized the repurchase of up to $1.0 billion of our common stock with repurchased shares being retired. This repurchase program does not have an expiration date. As of December 31, 2009, approximately 8.8 million shares at a cost of $422.4 million were repurchased under this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320" w:lineRule="auto"/>
        <w:rPr>
          <w:sz w:val="20"/>
          <w:szCs w:val="20"/>
          <w:color w:val="auto"/>
        </w:rPr>
      </w:pPr>
      <w:r>
        <w:rPr>
          <w:rFonts w:ascii="Arial" w:cs="Arial" w:eastAsia="Arial" w:hAnsi="Arial"/>
          <w:sz w:val="12"/>
          <w:szCs w:val="12"/>
          <w:color w:val="auto"/>
        </w:rPr>
        <w:t>authorization, all of which were retired. From January 1, 2010 through February 5, 2010, we repurchased approximately an additional 5.4 million shares under this program at a total cost of approximately $289.4 million, all of which were also retired. Approximately $288.2 million remains available for the repurchase of our common stock under the 2009 program.</w:t>
      </w:r>
    </w:p>
    <w:p>
      <w:pPr>
        <w:spacing w:after="0" w:line="15" w:lineRule="exact"/>
        <w:rPr>
          <w:sz w:val="20"/>
          <w:szCs w:val="20"/>
          <w:color w:val="auto"/>
        </w:rPr>
      </w:pPr>
    </w:p>
    <w:p>
      <w:pPr>
        <w:jc w:val="both"/>
        <w:ind w:left="680" w:right="980" w:firstLine="399"/>
        <w:spacing w:after="0" w:line="264" w:lineRule="auto"/>
        <w:rPr>
          <w:sz w:val="20"/>
          <w:szCs w:val="20"/>
          <w:color w:val="auto"/>
        </w:rPr>
      </w:pPr>
      <w:r>
        <w:rPr>
          <w:rFonts w:ascii="Arial" w:cs="Arial" w:eastAsia="Arial" w:hAnsi="Arial"/>
          <w:sz w:val="13"/>
          <w:szCs w:val="13"/>
          <w:color w:val="auto"/>
        </w:rPr>
        <w:t>In October 2006, our Board of Directors authorized the repurchase of up to 20.0 million shares of our common stock. As of December 31, 2009, all shares under this program have been repurchased as approximately 7.2 million shares of our common stock were repurchased in 2009 for approximately $328.8 million. In 2008, approximately 12.8 million shares of our common stock were repurchased under this program for approximately $738.9 million.</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67" w:lineRule="exact"/>
        <w:rPr>
          <w:sz w:val="20"/>
          <w:szCs w:val="20"/>
          <w:color w:val="auto"/>
        </w:rPr>
      </w:pPr>
    </w:p>
    <w:p>
      <w:pPr>
        <w:ind w:left="680" w:right="980" w:firstLine="399"/>
        <w:spacing w:after="0" w:line="258" w:lineRule="auto"/>
        <w:rPr>
          <w:sz w:val="20"/>
          <w:szCs w:val="20"/>
          <w:color w:val="auto"/>
        </w:rPr>
      </w:pPr>
      <w:r>
        <w:rPr>
          <w:rFonts w:ascii="Arial" w:cs="Arial" w:eastAsia="Arial" w:hAnsi="Arial"/>
          <w:sz w:val="13"/>
          <w:szCs w:val="13"/>
          <w:color w:val="auto"/>
        </w:rPr>
        <w:t>The adoption of a newly issued accounting standard for noncontrolling interests on January 1, 2009, changed the accounting and reporting for our minority interests by recharacterizing them as noncontrolling interests and classifying them as a separate component of total shareholders’ equity in our accompanying consolidated balance sheets and consolidated statements of shareholders’ equity. Additionally, net income attributable to noncontrolling interest is now shown separately from net income in the consolidated statements of income. As a result, prior year amounts related to noncontrolling interest have been reclassified to conform to the current year presentation. This reclassification had no effect on our previously reported financial position or results of operations.</w:t>
      </w:r>
    </w:p>
    <w:p>
      <w:pPr>
        <w:spacing w:after="0" w:line="42"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In the year ended December 31, 2008, we reclassified amounts within our consolidated statement of shareholders’ equity, resulting in an approximately $78.6 million correction in Additional Paid-in Capital and Retained Earnings (Accumulated Deficit) balances in connection with the re-issuance of treasury stock at a loss.</w:t>
      </w:r>
    </w:p>
    <w:p>
      <w:pPr>
        <w:spacing w:after="0" w:line="30"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In the year ended December 31, 2007 we reclassified amounts within our consolidated statements of equity, resulting in an approximately $48.0 million correction in the treasury stock and common stock balances.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b w:val="1"/>
                <w:bCs w:val="1"/>
                <w:color w:val="auto"/>
              </w:rPr>
              <w:t>11.</w:t>
            </w:r>
          </w:p>
        </w:tc>
        <w:tc>
          <w:tcPr>
            <w:tcW w:w="4040" w:type="dxa"/>
            <w:vAlign w:val="bottom"/>
          </w:tcPr>
          <w:p>
            <w:pPr>
              <w:ind w:left="280"/>
              <w:spacing w:after="0"/>
              <w:rPr>
                <w:sz w:val="20"/>
                <w:szCs w:val="20"/>
                <w:color w:val="auto"/>
              </w:rPr>
            </w:pPr>
            <w:r>
              <w:rPr>
                <w:rFonts w:ascii="Arial" w:cs="Arial" w:eastAsia="Arial" w:hAnsi="Arial"/>
                <w:sz w:val="13"/>
                <w:szCs w:val="13"/>
                <w:b w:val="1"/>
                <w:bCs w:val="1"/>
                <w:color w:val="auto"/>
              </w:rPr>
              <w:t>Earnings per Share</w:t>
            </w: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3"/>
                <w:szCs w:val="13"/>
                <w:color w:val="auto"/>
              </w:rPr>
              <w:t>Basic and diluted earnings per share are calculated as follows: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95"/>
              </w:rPr>
              <w:t>For the Years Ended December 31,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260" w:type="dxa"/>
            <w:vAlign w:val="bottom"/>
            <w:tcBorders>
              <w:bottom w:val="single" w:sz="8" w:color="auto"/>
            </w:tcBorders>
            <w:gridSpan w:val="2"/>
            <w:vMerge w:val="continue"/>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02"/>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2"/>
              <w:spacing w:after="0" w:line="98" w:lineRule="exact"/>
              <w:rPr>
                <w:sz w:val="20"/>
                <w:szCs w:val="20"/>
                <w:color w:val="auto"/>
              </w:rPr>
            </w:pPr>
            <w:r>
              <w:rPr>
                <w:rFonts w:ascii="Arial" w:cs="Arial" w:eastAsia="Arial" w:hAnsi="Arial"/>
                <w:sz w:val="10"/>
                <w:szCs w:val="10"/>
                <w:b w:val="1"/>
                <w:bCs w:val="1"/>
                <w:color w:val="auto"/>
                <w:w w:val="98"/>
              </w:rPr>
              <w:t>2008</w:t>
            </w: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2"/>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Numerator:</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tcPr>
          <w:p>
            <w:pPr>
              <w:ind w:left="120"/>
              <w:spacing w:after="0"/>
              <w:rPr>
                <w:sz w:val="20"/>
                <w:szCs w:val="20"/>
                <w:color w:val="auto"/>
              </w:rPr>
            </w:pPr>
            <w:r>
              <w:rPr>
                <w:rFonts w:ascii="Arial" w:cs="Arial" w:eastAsia="Arial" w:hAnsi="Arial"/>
                <w:sz w:val="12"/>
                <w:szCs w:val="12"/>
                <w:color w:val="auto"/>
              </w:rPr>
              <w:t>Net income attributable to Biogen Idec Inc.</w:t>
            </w:r>
          </w:p>
        </w:tc>
        <w:tc>
          <w:tcPr>
            <w:tcW w:w="2860" w:type="dxa"/>
            <w:vAlign w:val="bottom"/>
            <w:gridSpan w:val="3"/>
          </w:tcPr>
          <w:p>
            <w:pPr>
              <w:jc w:val="right"/>
              <w:ind w:right="13"/>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970.1</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783.2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638.2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Adjustment for net income allocable to preferred shares</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vMerge w:val="restart"/>
          </w:tcPr>
          <w:p>
            <w:pPr>
              <w:ind w:left="40"/>
              <w:spacing w:after="0"/>
              <w:rPr>
                <w:sz w:val="20"/>
                <w:szCs w:val="20"/>
                <w:color w:val="auto"/>
              </w:rPr>
            </w:pPr>
            <w:r>
              <w:rPr>
                <w:rFonts w:ascii="Arial" w:cs="Arial" w:eastAsia="Arial" w:hAnsi="Arial"/>
                <w:sz w:val="12"/>
                <w:szCs w:val="12"/>
                <w:color w:val="auto"/>
              </w:rPr>
              <w:t>Net income used in calculating basic and diluted earnings per share</w:t>
            </w:r>
          </w:p>
        </w:tc>
        <w:tc>
          <w:tcPr>
            <w:tcW w:w="2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2740" w:type="dxa"/>
            <w:vAlign w:val="bottom"/>
            <w:gridSpan w:val="2"/>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968.4</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781.9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637.2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Denominator:</w:t>
            </w:r>
          </w:p>
        </w:tc>
        <w:tc>
          <w:tcPr>
            <w:tcW w:w="2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tcPr>
          <w:p>
            <w:pPr>
              <w:ind w:left="120"/>
              <w:spacing w:after="0"/>
              <w:rPr>
                <w:sz w:val="20"/>
                <w:szCs w:val="20"/>
                <w:color w:val="auto"/>
              </w:rPr>
            </w:pPr>
            <w:r>
              <w:rPr>
                <w:rFonts w:ascii="Arial" w:cs="Arial" w:eastAsia="Arial" w:hAnsi="Arial"/>
                <w:sz w:val="12"/>
                <w:szCs w:val="12"/>
                <w:color w:val="auto"/>
              </w:rPr>
              <w:t>Weighted average number of common shares outstanding</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287.4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292.3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315.8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Effect of dilutive securities:</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tcPr>
          <w:p>
            <w:pPr>
              <w:ind w:left="120"/>
              <w:spacing w:after="0"/>
              <w:rPr>
                <w:sz w:val="20"/>
                <w:szCs w:val="20"/>
                <w:color w:val="auto"/>
              </w:rPr>
            </w:pPr>
            <w:r>
              <w:rPr>
                <w:rFonts w:ascii="Arial" w:cs="Arial" w:eastAsia="Arial" w:hAnsi="Arial"/>
                <w:sz w:val="12"/>
                <w:szCs w:val="12"/>
                <w:color w:val="auto"/>
              </w:rPr>
              <w:t>Stock options and employee stock purchase plan</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0.6</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Restricted stock awards</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tcPr>
          <w:p>
            <w:pPr>
              <w:ind w:left="120"/>
              <w:spacing w:after="0"/>
              <w:rPr>
                <w:sz w:val="20"/>
                <w:szCs w:val="20"/>
                <w:color w:val="auto"/>
              </w:rPr>
            </w:pPr>
            <w:r>
              <w:rPr>
                <w:rFonts w:ascii="Arial" w:cs="Arial" w:eastAsia="Arial" w:hAnsi="Arial"/>
                <w:sz w:val="12"/>
                <w:szCs w:val="12"/>
                <w:color w:val="auto"/>
              </w:rPr>
              <w:t>Time-vested restricted stock units</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Performance-vested restricted stock units</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tcPr>
          <w:p>
            <w:pPr>
              <w:ind w:left="120"/>
              <w:spacing w:after="0"/>
              <w:rPr>
                <w:sz w:val="20"/>
                <w:szCs w:val="20"/>
                <w:color w:val="auto"/>
              </w:rPr>
            </w:pPr>
            <w:r>
              <w:rPr>
                <w:rFonts w:ascii="Arial" w:cs="Arial" w:eastAsia="Arial" w:hAnsi="Arial"/>
                <w:sz w:val="12"/>
                <w:szCs w:val="12"/>
                <w:color w:val="auto"/>
              </w:rPr>
              <w:t>Convertible promissory notes due 2019</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Convertible promissory notes due 2032</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vMerge w:val="restart"/>
          </w:tcPr>
          <w:p>
            <w:pPr>
              <w:ind w:left="40"/>
              <w:spacing w:after="0"/>
              <w:rPr>
                <w:sz w:val="20"/>
                <w:szCs w:val="20"/>
                <w:color w:val="auto"/>
              </w:rPr>
            </w:pPr>
            <w:r>
              <w:rPr>
                <w:rFonts w:ascii="Arial" w:cs="Arial" w:eastAsia="Arial" w:hAnsi="Arial"/>
                <w:sz w:val="12"/>
                <w:szCs w:val="12"/>
                <w:color w:val="auto"/>
              </w:rPr>
              <w:t>Dilutive potential common shares</w:t>
            </w: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Shares used in calculating diluted earnings per share</w:t>
            </w:r>
          </w:p>
        </w:tc>
        <w:tc>
          <w:tcPr>
            <w:tcW w:w="2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295.0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40" w:type="dxa"/>
            <w:vAlign w:val="bottom"/>
            <w:gridSpan w:val="2"/>
          </w:tcPr>
          <w:p>
            <w:pPr>
              <w:ind w:left="620"/>
              <w:spacing w:after="0"/>
              <w:rPr>
                <w:sz w:val="20"/>
                <w:szCs w:val="20"/>
                <w:color w:val="auto"/>
              </w:rPr>
            </w:pPr>
            <w:r>
              <w:rPr>
                <w:rFonts w:ascii="Arial" w:cs="Arial" w:eastAsia="Arial" w:hAnsi="Arial"/>
                <w:sz w:val="13"/>
                <w:szCs w:val="13"/>
                <w:color w:val="auto"/>
              </w:rPr>
              <w:t>F-32</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amounts were not included in the calculation of net income per basic and diluted share because their effects were anti-dilutive: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For the Years Ended December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gridSpan w:val="2"/>
            <w:vMerge w:val="continue"/>
          </w:tcPr>
          <w:p>
            <w:pPr>
              <w:spacing w:after="0"/>
              <w:rPr>
                <w:sz w:val="8"/>
                <w:szCs w:val="8"/>
                <w:color w:val="auto"/>
              </w:rPr>
            </w:pPr>
          </w:p>
        </w:tc>
        <w:tc>
          <w:tcPr>
            <w:tcW w:w="40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2009</w:t>
            </w:r>
          </w:p>
        </w:tc>
        <w:tc>
          <w:tcPr>
            <w:tcW w:w="1200" w:type="dxa"/>
            <w:vAlign w:val="bottom"/>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8"/>
                <w:szCs w:val="8"/>
                <w:color w:val="auto"/>
              </w:rPr>
            </w:pPr>
          </w:p>
        </w:tc>
        <w:tc>
          <w:tcPr>
            <w:tcW w:w="38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Net income allocable to preferred stock</w:t>
            </w:r>
          </w:p>
        </w:tc>
        <w:tc>
          <w:tcPr>
            <w:tcW w:w="400" w:type="dxa"/>
            <w:vAlign w:val="bottom"/>
          </w:tcPr>
          <w:p>
            <w:pPr>
              <w:jc w:val="right"/>
              <w:spacing w:after="0"/>
              <w:rPr>
                <w:sz w:val="20"/>
                <w:szCs w:val="20"/>
                <w:color w:val="auto"/>
              </w:rPr>
            </w:pPr>
            <w:r>
              <w:rPr>
                <w:rFonts w:ascii="Arial" w:cs="Arial" w:eastAsia="Arial" w:hAnsi="Arial"/>
                <w:sz w:val="13"/>
                <w:szCs w:val="13"/>
                <w:color w:val="auto"/>
              </w:rPr>
              <w:t>$   1.7</w:t>
            </w:r>
          </w:p>
        </w:tc>
        <w:tc>
          <w:tcPr>
            <w:tcW w:w="2000" w:type="dxa"/>
            <w:vAlign w:val="bottom"/>
            <w:gridSpan w:val="3"/>
          </w:tcPr>
          <w:p>
            <w:pPr>
              <w:jc w:val="right"/>
              <w:ind w:right="800"/>
              <w:spacing w:after="0"/>
              <w:rPr>
                <w:sz w:val="20"/>
                <w:szCs w:val="20"/>
                <w:color w:val="auto"/>
              </w:rPr>
            </w:pPr>
            <w:r>
              <w:rPr>
                <w:rFonts w:ascii="Arial" w:cs="Arial" w:eastAsia="Arial" w:hAnsi="Arial"/>
                <w:sz w:val="13"/>
                <w:szCs w:val="13"/>
                <w:color w:val="auto"/>
              </w:rPr>
              <w:t>$   1.3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   1.0</w:t>
            </w:r>
          </w:p>
        </w:tc>
        <w:tc>
          <w:tcPr>
            <w:tcW w:w="0" w:type="dxa"/>
            <w:vAlign w:val="bottom"/>
          </w:tcPr>
          <w:p>
            <w:pPr>
              <w:spacing w:after="0"/>
              <w:rPr>
                <w:sz w:val="1"/>
                <w:szCs w:val="1"/>
                <w:color w:val="auto"/>
              </w:rPr>
            </w:pPr>
          </w:p>
        </w:tc>
      </w:tr>
      <w:tr>
        <w:trPr>
          <w:trHeight w:val="162"/>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400" w:type="dxa"/>
            <w:vAlign w:val="bottom"/>
            <w:tcBorders>
              <w:top w:val="single" w:sz="8" w:color="auto"/>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Stock options</w:t>
            </w:r>
          </w:p>
        </w:tc>
        <w:tc>
          <w:tcPr>
            <w:tcW w:w="400" w:type="dxa"/>
            <w:vAlign w:val="bottom"/>
          </w:tcPr>
          <w:p>
            <w:pPr>
              <w:jc w:val="right"/>
              <w:spacing w:after="0"/>
              <w:rPr>
                <w:sz w:val="20"/>
                <w:szCs w:val="20"/>
                <w:color w:val="auto"/>
              </w:rPr>
            </w:pPr>
            <w:r>
              <w:rPr>
                <w:rFonts w:ascii="Arial" w:cs="Arial" w:eastAsia="Arial" w:hAnsi="Arial"/>
                <w:sz w:val="13"/>
                <w:szCs w:val="13"/>
                <w:color w:val="auto"/>
              </w:rPr>
              <w:t>8.5</w:t>
            </w:r>
          </w:p>
        </w:tc>
        <w:tc>
          <w:tcPr>
            <w:tcW w:w="2000" w:type="dxa"/>
            <w:vAlign w:val="bottom"/>
            <w:gridSpan w:val="3"/>
          </w:tcPr>
          <w:p>
            <w:pPr>
              <w:jc w:val="right"/>
              <w:ind w:right="800"/>
              <w:spacing w:after="0"/>
              <w:rPr>
                <w:sz w:val="20"/>
                <w:szCs w:val="20"/>
                <w:color w:val="auto"/>
              </w:rPr>
            </w:pPr>
            <w:r>
              <w:rPr>
                <w:rFonts w:ascii="Arial" w:cs="Arial" w:eastAsia="Arial" w:hAnsi="Arial"/>
                <w:sz w:val="13"/>
                <w:szCs w:val="13"/>
                <w:color w:val="auto"/>
              </w:rPr>
              <w:t>6.9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Time-vested restricted stock units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1.5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Performance-vested restricted stock units</w:t>
            </w:r>
          </w:p>
        </w:tc>
        <w:tc>
          <w:tcPr>
            <w:tcW w:w="400" w:type="dxa"/>
            <w:vAlign w:val="bottom"/>
          </w:tcPr>
          <w:p>
            <w:pPr>
              <w:jc w:val="right"/>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Convertible preferred stock</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Earnings per share for the year ended December 31, 2009 reflects, on a weighted average basis, the repurchase of 16.0 million shares of our common stock under our 2009 and 2006 share repurchase programs.</w:t>
      </w:r>
    </w:p>
    <w:p>
      <w:pPr>
        <w:spacing w:after="0" w:line="59" w:lineRule="exact"/>
        <w:rPr>
          <w:sz w:val="20"/>
          <w:szCs w:val="20"/>
          <w:color w:val="auto"/>
        </w:rPr>
      </w:pPr>
    </w:p>
    <w:p>
      <w:pPr>
        <w:ind w:left="680" w:right="1220" w:firstLine="399"/>
        <w:spacing w:after="0" w:line="276" w:lineRule="auto"/>
        <w:rPr>
          <w:sz w:val="20"/>
          <w:szCs w:val="20"/>
          <w:color w:val="auto"/>
        </w:rPr>
      </w:pPr>
      <w:r>
        <w:rPr>
          <w:rFonts w:ascii="Arial" w:cs="Arial" w:eastAsia="Arial" w:hAnsi="Arial"/>
          <w:sz w:val="13"/>
          <w:szCs w:val="13"/>
          <w:color w:val="auto"/>
        </w:rPr>
        <w:t>As a result of our 2007 tender offer, earnings per share for the year ended December 31, 2007 reflects, on a weighted average basis, the repurchase of 56.4 million shares as of June 27, 2007, the date the obligation was incurred, in accordance with accounting standards for earning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w w:val="88"/>
              </w:rPr>
              <w:t>12.</w:t>
            </w:r>
          </w:p>
        </w:tc>
        <w:tc>
          <w:tcPr>
            <w:tcW w:w="72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Share-based Payments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Share-based Compensation Expense</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20" w:type="dxa"/>
            <w:vAlign w:val="bottom"/>
            <w:gridSpan w:val="2"/>
          </w:tcPr>
          <w:p>
            <w:pPr>
              <w:ind w:left="220"/>
              <w:spacing w:after="0"/>
              <w:rPr>
                <w:sz w:val="20"/>
                <w:szCs w:val="20"/>
                <w:color w:val="auto"/>
              </w:rPr>
            </w:pPr>
            <w:r>
              <w:rPr>
                <w:rFonts w:ascii="Arial" w:cs="Arial" w:eastAsia="Arial" w:hAnsi="Arial"/>
                <w:sz w:val="13"/>
                <w:szCs w:val="13"/>
                <w:color w:val="auto"/>
                <w:w w:val="97"/>
              </w:rPr>
              <w:t>The following table summarizes share-based compensation expense included within our consolidated statements of income:</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left="217"/>
              <w:spacing w:after="0"/>
              <w:rPr>
                <w:sz w:val="20"/>
                <w:szCs w:val="20"/>
                <w:color w:val="auto"/>
              </w:rPr>
            </w:pPr>
            <w:r>
              <w:rPr>
                <w:rFonts w:ascii="Arial" w:cs="Arial" w:eastAsia="Arial" w:hAnsi="Arial"/>
                <w:sz w:val="10"/>
                <w:szCs w:val="10"/>
                <w:b w:val="1"/>
                <w:bCs w:val="1"/>
                <w:color w:val="auto"/>
                <w:w w:val="94"/>
              </w:rPr>
              <w:t>For the Years Ended December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4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Subtotal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167.2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tcPr>
          <w:p>
            <w:pPr>
              <w:spacing w:after="0"/>
              <w:rPr>
                <w:sz w:val="20"/>
                <w:szCs w:val="20"/>
                <w:color w:val="auto"/>
              </w:rPr>
            </w:pPr>
            <w:r>
              <w:rPr>
                <w:rFonts w:ascii="Arial" w:cs="Arial" w:eastAsia="Arial" w:hAnsi="Arial"/>
                <w:sz w:val="13"/>
                <w:szCs w:val="13"/>
                <w:color w:val="auto"/>
              </w:rPr>
              <w:t>Capitalized share-based compensation costs</w:t>
            </w:r>
          </w:p>
        </w:tc>
        <w:tc>
          <w:tcPr>
            <w:tcW w:w="10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 included in 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146.2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3"/>
          </w:tcPr>
          <w:p>
            <w:pPr>
              <w:spacing w:after="0"/>
              <w:rPr>
                <w:sz w:val="20"/>
                <w:szCs w:val="20"/>
                <w:color w:val="auto"/>
              </w:rPr>
            </w:pPr>
            <w:r>
              <w:rPr>
                <w:rFonts w:ascii="Arial" w:cs="Arial" w:eastAsia="Arial" w:hAnsi="Arial"/>
                <w:sz w:val="13"/>
                <w:szCs w:val="13"/>
                <w:color w:val="auto"/>
              </w:rPr>
              <w:t>Income tax effect</w:t>
            </w:r>
          </w:p>
        </w:tc>
        <w:tc>
          <w:tcPr>
            <w:tcW w:w="10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 included in net income attributable to Biogen Idec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gridSpan w:val="2"/>
          </w:tcPr>
          <w:p>
            <w:pPr>
              <w:ind w:left="4700"/>
              <w:spacing w:after="0"/>
              <w:rPr>
                <w:sz w:val="20"/>
                <w:szCs w:val="20"/>
                <w:color w:val="auto"/>
              </w:rPr>
            </w:pPr>
            <w:r>
              <w:rPr>
                <w:rFonts w:ascii="Arial" w:cs="Arial" w:eastAsia="Arial" w:hAnsi="Arial"/>
                <w:sz w:val="13"/>
                <w:szCs w:val="13"/>
                <w:color w:val="auto"/>
              </w:rPr>
              <w:t>F-33</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0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share-based compensation programs include stock options, time-vested restricted stock units, performance-vested restricted stock units, restricted stock and shares issued under our ESPP. The following table summarizes share-based compensation expense associated with each of these programs: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w w:val="99"/>
              </w:rPr>
              <w:t>For the 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60" w:type="dxa"/>
            <w:vAlign w:val="bottom"/>
            <w:tcBorders>
              <w:lef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Time-vested restricted stock units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133.7</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3"/>
                <w:szCs w:val="13"/>
                <w:color w:val="auto"/>
              </w:rPr>
              <w:t>125.6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Performance-vested restricted stock units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6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Restricted stock awards</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6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40"/>
              <w:spacing w:after="0"/>
              <w:rPr>
                <w:sz w:val="20"/>
                <w:szCs w:val="20"/>
                <w:color w:val="auto"/>
              </w:rPr>
            </w:pPr>
            <w:r>
              <w:rPr>
                <w:rFonts w:ascii="Arial" w:cs="Arial" w:eastAsia="Arial" w:hAnsi="Arial"/>
                <w:sz w:val="13"/>
                <w:szCs w:val="13"/>
                <w:color w:val="auto"/>
              </w:rPr>
              <w:t>Subtotal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167.2</w:t>
            </w:r>
          </w:p>
        </w:tc>
        <w:tc>
          <w:tcPr>
            <w:tcW w:w="1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800"/>
              <w:spacing w:after="0"/>
              <w:rPr>
                <w:sz w:val="20"/>
                <w:szCs w:val="20"/>
                <w:color w:val="auto"/>
              </w:rPr>
            </w:pPr>
            <w:r>
              <w:rPr>
                <w:rFonts w:ascii="Arial" w:cs="Arial" w:eastAsia="Arial" w:hAnsi="Arial"/>
                <w:sz w:val="13"/>
                <w:szCs w:val="13"/>
                <w:color w:val="auto"/>
              </w:rPr>
              <w:t>153.7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58"/>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Capitalized share-based compensation costs</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40"/>
              <w:spacing w:after="0"/>
              <w:rPr>
                <w:sz w:val="20"/>
                <w:szCs w:val="20"/>
                <w:color w:val="auto"/>
              </w:rPr>
            </w:pPr>
            <w:r>
              <w:rPr>
                <w:rFonts w:ascii="Arial" w:cs="Arial" w:eastAsia="Arial" w:hAnsi="Arial"/>
                <w:sz w:val="13"/>
                <w:szCs w:val="13"/>
                <w:color w:val="auto"/>
              </w:rPr>
              <w:t>Share-based compensation expense included in total costs and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160.9</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146.2</w:t>
            </w:r>
          </w:p>
        </w:tc>
        <w:tc>
          <w:tcPr>
            <w:tcW w:w="8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123.1</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Windfall tax benefits from vesting of stock awards, exercises of stock options and ESPP participation were $3.4 million, $28.0 million, and $69.7 million in 2009, 2008, and 2007, respectively. These amounts have been calculated under the alternative transition method in accordance with U.S. GAAP.</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As of December 31, 2009, unrecognized compensation cost related to unvested share-based compensation was approximately $178.1 million, net of estimated forfeitures. We expect to recognize the cost of these unvested awards over a weighted-average period of 1.4 years.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Plans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three share-based compensation plans pursuant to which awards are currently being made: (1) the Biogen Idec Inc. 2006 Non-Employee Directors Equity Plan</w:t>
      </w:r>
    </w:p>
    <w:p>
      <w:pPr>
        <w:spacing w:after="0" w:line="27" w:lineRule="exact"/>
        <w:rPr>
          <w:sz w:val="20"/>
          <w:szCs w:val="20"/>
          <w:color w:val="auto"/>
        </w:rPr>
      </w:pPr>
    </w:p>
    <w:p>
      <w:pPr>
        <w:ind w:left="680" w:right="80"/>
        <w:spacing w:after="0" w:line="280" w:lineRule="auto"/>
        <w:rPr>
          <w:sz w:val="20"/>
          <w:szCs w:val="20"/>
          <w:color w:val="auto"/>
        </w:rPr>
      </w:pPr>
      <w:r>
        <w:rPr>
          <w:rFonts w:ascii="Arial" w:cs="Arial" w:eastAsia="Arial" w:hAnsi="Arial"/>
          <w:sz w:val="12"/>
          <w:szCs w:val="12"/>
          <w:color w:val="auto"/>
        </w:rPr>
        <w:t>(2006 Directors Plan); (2) the Biogen Idec Inc. 2008 Omnibus Equity Plan (2008 Omnibus Plan); and (3) the Biogen Idec Inc. 1995 Employee Stock Purchase Plan (ESPP). We have six share-based compensation plans pursuant to which outstanding awards have been made, but from which no further awards can or will be made: (i) the IDEC Pharmaceuticals Corporation 1993 Non-Employee Directors Stock Option Plan; (ii) the IDEC Pharmaceuticals Corporation 1988 Stock Option Plan; (iii) the Biogen, Inc. 1985 Non-Qualified Stock Option Plan; (iv) the Biogen, Inc. 1987 Scientific Board Stock Option Plan; (v) the Biogen Idec Inc. 2003 Omnibus Equity Plan (2003 Omnibus Plan); and (vi) the Biogen Idec Inc. 2005 Omnibus Equity Plan (2005 Omnibus Plan). We have not made any awards pursuant to the 2005 Omnibus Plan since our stockholders approved the 2008 Omnibus Plan and do not intend to make any awards pursuant to the 2005 Omnibus Plan in the future, except that unused shares under the 2005 Omnibus Plan have been carried over for use under the 2008 Omnibus Plan.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Directors Plan</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May 2006, our stockholders approved the 2006 Directors Plan for share-based awards to our directors. Awards granted from the 2006 Directors Plan may include options, shares of restricted stock awards, restricted stock units, stock appreciation rights and other awards in such amounts and with such terms and conditions as may be determined by a committee of our Board of Directors, subject to the provisions of the plan. We have reserved a total of 850,000 shares of common stock for issuance under the 2006 Directors Plan. The 2006 Directors Plan provides that awards other than stock options and stock appreciation rights will be counted against the total number of shares reserved under the plan in a 1.5-to-1 ratio.</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Omnibus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June 2008, our stockholders approved the 2008 Omnibus Plan for share-based awards to our employees. Awards granted from the 2008 Omnibus Plan may include options, shares of restricted stock awards, restricted stock units, performance shares, shares of phantom stock, stock appreciation rights and other awards in such amounts and with such terms and conditions as may be determined by a committee of our Board of Directors, subject to the provisions of the plan. Shares of common stock available for issuance under the 2008 Omnibus Plan consist of 15.0 million shares reserved for this purpose, plus shares of common stock that remained available for issuance under the 2005 Omnibus Plan on the date that our stockholders approved the 2008 Omnibus Plan, plus shares that are subject to awards under the 2005 Omnibus Plan which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All stock option grants to employees are for a ten-year term and generally vest one-fourth per year over four years on the anniversary of the date of grant, provided the employee remains continuously employed with us. Stock option grants to directors are for ten-year terms and generally vest as follows: (1) grants made on the date of a director’s initial election to our Board of Directors vest one-third per year over three years on the anniversary of the date of grant, and (2) grants made for service on our Board of Directors vest on the first anniversary of the date of grant, provided in each case that the director continues to serve on our Board of Directors through the vesting date.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 grants awarded in 2009, 2008, and 2007 was estimated as of the date of grant using a Black-Scholes option valuation model that uses the following weighted-average assumptions:</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99"/>
              </w:rPr>
              <w:t>For the Years Ended December 31,</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760" w:type="dxa"/>
            <w:vAlign w:val="bottom"/>
          </w:tcPr>
          <w:p>
            <w:pPr>
              <w:spacing w:after="0"/>
              <w:rPr>
                <w:sz w:val="8"/>
                <w:szCs w:val="8"/>
                <w:color w:val="auto"/>
              </w:rPr>
            </w:pPr>
          </w:p>
        </w:tc>
        <w:tc>
          <w:tcPr>
            <w:tcW w:w="50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1120" w:type="dxa"/>
            <w:vAlign w:val="bottom"/>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2008</w:t>
            </w:r>
          </w:p>
        </w:tc>
        <w:tc>
          <w:tcPr>
            <w:tcW w:w="820" w:type="dxa"/>
            <w:vAlign w:val="bottom"/>
          </w:tcPr>
          <w:p>
            <w:pPr>
              <w:spacing w:after="0"/>
              <w:rPr>
                <w:sz w:val="8"/>
                <w:szCs w:val="8"/>
                <w:color w:val="auto"/>
              </w:rPr>
            </w:pPr>
          </w:p>
        </w:tc>
        <w:tc>
          <w:tcPr>
            <w:tcW w:w="4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r>
      <w:tr>
        <w:trPr>
          <w:trHeight w:val="29"/>
        </w:trPr>
        <w:tc>
          <w:tcPr>
            <w:tcW w:w="67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Expected option life (in years)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w:t>
            </w:r>
          </w:p>
        </w:tc>
        <w:tc>
          <w:tcPr>
            <w:tcW w:w="194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5.1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w:t>
            </w: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39.3%</w:t>
            </w:r>
          </w:p>
        </w:tc>
        <w:tc>
          <w:tcPr>
            <w:tcW w:w="1940" w:type="dxa"/>
            <w:vAlign w:val="bottom"/>
            <w:gridSpan w:val="3"/>
          </w:tcPr>
          <w:p>
            <w:pPr>
              <w:jc w:val="right"/>
              <w:ind w:right="720"/>
              <w:spacing w:after="0"/>
              <w:rPr>
                <w:sz w:val="20"/>
                <w:szCs w:val="20"/>
                <w:color w:val="auto"/>
              </w:rPr>
            </w:pPr>
            <w:r>
              <w:rPr>
                <w:rFonts w:ascii="Arial" w:cs="Arial" w:eastAsia="Arial" w:hAnsi="Arial"/>
                <w:sz w:val="13"/>
                <w:szCs w:val="13"/>
                <w:color w:val="auto"/>
              </w:rPr>
              <w:t>34.4%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33.6%</w:t>
            </w: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3"/>
                <w:szCs w:val="13"/>
                <w:color w:val="auto"/>
              </w:rPr>
              <w:t>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0.0%</w:t>
            </w:r>
          </w:p>
        </w:tc>
        <w:tc>
          <w:tcPr>
            <w:tcW w:w="1940" w:type="dxa"/>
            <w:vAlign w:val="bottom"/>
            <w:gridSpan w:val="3"/>
          </w:tcPr>
          <w:p>
            <w:pPr>
              <w:jc w:val="right"/>
              <w:ind w:right="720"/>
              <w:spacing w:after="0"/>
              <w:rPr>
                <w:sz w:val="20"/>
                <w:szCs w:val="20"/>
                <w:color w:val="auto"/>
              </w:rPr>
            </w:pPr>
            <w:r>
              <w:rPr>
                <w:rFonts w:ascii="Arial" w:cs="Arial" w:eastAsia="Arial" w:hAnsi="Arial"/>
                <w:sz w:val="13"/>
                <w:szCs w:val="13"/>
                <w:color w:val="auto"/>
              </w:rPr>
              <w:t>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0.0%</w:t>
            </w: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grant-date fair value</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  18.00</w:t>
            </w:r>
          </w:p>
        </w:tc>
        <w:tc>
          <w:tcPr>
            <w:tcW w:w="194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  20.85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18.78</w:t>
            </w:r>
          </w:p>
        </w:tc>
      </w:tr>
    </w:tbl>
    <w:p>
      <w:pPr>
        <w:spacing w:after="0" w:line="8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is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weighted average exercise price)</w:t>
            </w:r>
          </w:p>
        </w:tc>
        <w:tc>
          <w:tcPr>
            <w:tcW w:w="2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8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8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r>
              <w:rPr>
                <w:rFonts w:ascii="Arial" w:cs="Arial" w:eastAsia="Arial" w:hAnsi="Arial"/>
                <w:sz w:val="13"/>
                <w:szCs w:val="13"/>
                <w:u w:val="single" w:color="auto"/>
                <w:color w:val="auto"/>
              </w:rPr>
              <w:t>96</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51.23</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(10,524)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Cancelled</w:t>
            </w:r>
          </w:p>
        </w:tc>
        <w:tc>
          <w:tcPr>
            <w:tcW w:w="2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r>
              <w:rPr>
                <w:rFonts w:ascii="Arial" w:cs="Arial" w:eastAsia="Arial" w:hAnsi="Arial"/>
                <w:sz w:val="13"/>
                <w:szCs w:val="13"/>
                <w:u w:val="single" w:color="auto"/>
                <w:color w:val="auto"/>
              </w:rPr>
              <w:t>97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r>
              <w:rPr>
                <w:rFonts w:ascii="Arial" w:cs="Arial" w:eastAsia="Arial" w:hAnsi="Arial"/>
                <w:sz w:val="13"/>
                <w:szCs w:val="13"/>
                <w:u w:val="single" w:color="auto"/>
                <w:color w:val="auto"/>
              </w:rPr>
              <w:t>03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60.23</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(3,769)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Cancelled</w:t>
            </w:r>
          </w:p>
        </w:tc>
        <w:tc>
          <w:tcPr>
            <w:tcW w:w="2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r>
              <w:rPr>
                <w:rFonts w:ascii="Arial" w:cs="Arial" w:eastAsia="Arial" w:hAnsi="Arial"/>
                <w:sz w:val="13"/>
                <w:szCs w:val="13"/>
                <w:u w:val="single" w:color="auto"/>
                <w:color w:val="auto"/>
              </w:rPr>
              <w:t>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2008</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w:t>
            </w:r>
            <w:r>
              <w:rPr>
                <w:rFonts w:ascii="Arial" w:cs="Arial" w:eastAsia="Arial" w:hAnsi="Arial"/>
                <w:sz w:val="13"/>
                <w:szCs w:val="13"/>
                <w:u w:val="single" w:color="auto"/>
                <w:color w:val="auto"/>
              </w:rPr>
              <w:t>53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Cancelled</w:t>
            </w:r>
          </w:p>
        </w:tc>
        <w:tc>
          <w:tcPr>
            <w:tcW w:w="2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(1,664)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r>
              <w:rPr>
                <w:rFonts w:ascii="Arial" w:cs="Arial" w:eastAsia="Arial" w:hAnsi="Arial"/>
                <w:sz w:val="13"/>
                <w:szCs w:val="13"/>
                <w:u w:val="single" w:color="auto"/>
                <w:color w:val="auto"/>
              </w:rPr>
              <w:t>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2009</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r>
              <w:rPr>
                <w:rFonts w:ascii="Arial" w:cs="Arial" w:eastAsia="Arial" w:hAnsi="Arial"/>
                <w:sz w:val="13"/>
                <w:szCs w:val="13"/>
                <w:u w:val="single" w:color="auto"/>
                <w:color w:val="auto"/>
              </w:rPr>
              <w:t>88</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40" w:firstLine="399"/>
        <w:spacing w:after="0" w:line="371" w:lineRule="auto"/>
        <w:rPr>
          <w:sz w:val="20"/>
          <w:szCs w:val="20"/>
          <w:color w:val="auto"/>
        </w:rPr>
      </w:pPr>
      <w:r>
        <w:rPr>
          <w:rFonts w:ascii="Arial" w:cs="Arial" w:eastAsia="Arial" w:hAnsi="Arial"/>
          <w:sz w:val="11"/>
          <w:szCs w:val="11"/>
          <w:color w:val="auto"/>
        </w:rPr>
        <w:t>Of the options outstanding, 8.3 million were exercisable as of December 31, 2009. The exercisable options had a weighted-average exercise price of $52.80. The aggregate intrinsic value of options exercisable as of December 31, 2009 was $45.2 million. The weighted average remaining contractual term for options exercisable as of December 31, 2009 was 3.8 years.</w:t>
      </w:r>
    </w:p>
    <w:p>
      <w:pPr>
        <w:spacing w:after="0" w:line="12"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A total of 10.3 million vested and expected to vest options were outstanding as of December 31, 2009. These vested and expected to vest options had a weighted average exercise price of $52.87 and an aggregated intrinsic value of $51.0 million. The weighted average remaining contractual term of vested and expected to vest options as of December 31, 2009 was 4.6 years.</w:t>
      </w:r>
    </w:p>
    <w:p>
      <w:pPr>
        <w:spacing w:after="0" w:line="67" w:lineRule="exact"/>
        <w:rPr>
          <w:sz w:val="20"/>
          <w:szCs w:val="20"/>
          <w:color w:val="auto"/>
        </w:rPr>
      </w:pPr>
    </w:p>
    <w:p>
      <w:pPr>
        <w:ind w:left="680" w:right="960" w:firstLine="399"/>
        <w:spacing w:after="0" w:line="320" w:lineRule="auto"/>
        <w:rPr>
          <w:sz w:val="20"/>
          <w:szCs w:val="20"/>
          <w:color w:val="auto"/>
        </w:rPr>
      </w:pPr>
      <w:r>
        <w:rPr>
          <w:rFonts w:ascii="Arial" w:cs="Arial" w:eastAsia="Arial" w:hAnsi="Arial"/>
          <w:sz w:val="12"/>
          <w:szCs w:val="12"/>
          <w:color w:val="auto"/>
        </w:rPr>
        <w:t>The total intrinsic values of options exercised in 2009, 2008, and 2007, were $6.7 million, $85.1 million, and $226.7 million, respectively. The aggregate intrinsic values of options outstanding as of December 31, 2009 was $52.8 million. The weighted average remaining contractual term for options outstanding as of December 31, 2009 was 4.8 years.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amount of tax benefit realized for stock options and cash received from the exercise of stock options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w w:val="93"/>
              </w:rPr>
              <w:t>For the Years Ended December 31,</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20" w:type="dxa"/>
            <w:vAlign w:val="bottom"/>
            <w:tcBorders>
              <w:bottom w:val="single" w:sz="8" w:color="auto"/>
            </w:tcBorders>
            <w:vMerge w:val="continue"/>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w w:val="89"/>
              </w:rPr>
              <w:t>2009</w:t>
            </w: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w w:val="98"/>
              </w:rPr>
              <w:t>2008</w:t>
            </w: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w w:val="98"/>
              </w:rPr>
              <w:t>2007</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Tax benefit realized for stock options</w:t>
            </w:r>
          </w:p>
        </w:tc>
        <w:tc>
          <w:tcPr>
            <w:tcW w:w="3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39"/>
              <w:spacing w:after="0"/>
              <w:rPr>
                <w:sz w:val="20"/>
                <w:szCs w:val="20"/>
                <w:color w:val="auto"/>
              </w:rPr>
            </w:pPr>
            <w:r>
              <w:rPr>
                <w:rFonts w:ascii="Arial" w:cs="Arial" w:eastAsia="Arial" w:hAnsi="Arial"/>
                <w:sz w:val="13"/>
                <w:szCs w:val="13"/>
                <w:color w:val="auto"/>
              </w:rPr>
              <w:t>1.5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rPr>
              <w:t>28.0</w:t>
            </w: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rPr>
              <w:t>72.4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Cash received from the exercise of stock options</w:t>
            </w:r>
          </w:p>
        </w:tc>
        <w:tc>
          <w:tcPr>
            <w:tcW w:w="3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39"/>
              <w:spacing w:after="0"/>
              <w:rPr>
                <w:sz w:val="20"/>
                <w:szCs w:val="20"/>
                <w:color w:val="auto"/>
              </w:rPr>
            </w:pPr>
            <w:r>
              <w:rPr>
                <w:rFonts w:ascii="Arial" w:cs="Arial" w:eastAsia="Arial" w:hAnsi="Arial"/>
                <w:sz w:val="13"/>
                <w:szCs w:val="13"/>
                <w:color w:val="auto"/>
                <w:w w:val="78"/>
              </w:rPr>
              <w:t>25.2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w w:val="79"/>
              </w:rPr>
              <w:t>158.3</w:t>
            </w:r>
          </w:p>
        </w:tc>
        <w:tc>
          <w:tcPr>
            <w:tcW w:w="4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w w:val="79"/>
              </w:rPr>
              <w:t>471.0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520" w:type="dxa"/>
            <w:vAlign w:val="bottom"/>
            <w:gridSpan w:val="3"/>
          </w:tcPr>
          <w:p>
            <w:pPr>
              <w:jc w:val="right"/>
              <w:ind w:right="2120"/>
              <w:spacing w:after="0"/>
              <w:rPr>
                <w:sz w:val="20"/>
                <w:szCs w:val="20"/>
                <w:color w:val="auto"/>
              </w:rPr>
            </w:pPr>
            <w:r>
              <w:rPr>
                <w:rFonts w:ascii="Arial" w:cs="Arial" w:eastAsia="Arial" w:hAnsi="Arial"/>
                <w:sz w:val="13"/>
                <w:szCs w:val="13"/>
                <w:color w:val="auto"/>
              </w:rPr>
              <w:t>F-36</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Time-Vested Restricted Stock Units</w:t>
      </w:r>
    </w:p>
    <w:p>
      <w:pPr>
        <w:spacing w:after="0" w:line="96" w:lineRule="exact"/>
        <w:rPr>
          <w:sz w:val="20"/>
          <w:szCs w:val="20"/>
          <w:color w:val="auto"/>
        </w:rPr>
      </w:pPr>
    </w:p>
    <w:p>
      <w:pPr>
        <w:ind w:left="680" w:right="880" w:firstLine="399"/>
        <w:spacing w:after="0" w:line="257" w:lineRule="auto"/>
        <w:rPr>
          <w:sz w:val="20"/>
          <w:szCs w:val="20"/>
          <w:color w:val="auto"/>
        </w:rPr>
      </w:pPr>
      <w:r>
        <w:rPr>
          <w:rFonts w:ascii="Arial" w:cs="Arial" w:eastAsia="Arial" w:hAnsi="Arial"/>
          <w:sz w:val="13"/>
          <w:szCs w:val="13"/>
          <w:color w:val="auto"/>
        </w:rPr>
        <w:t>Time-vested restricted stock units (RSUs)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RSU activity is presented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weighted average grant date fair value)</w:t>
            </w: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4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400" w:type="dxa"/>
            <w:vAlign w:val="bottom"/>
            <w:gridSpan w:val="2"/>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44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400" w:type="dxa"/>
            <w:vAlign w:val="bottom"/>
            <w:gridSpan w:val="2"/>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3,387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2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(845)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Forfeited</w:t>
            </w:r>
          </w:p>
        </w:tc>
        <w:tc>
          <w:tcPr>
            <w:tcW w:w="4400" w:type="dxa"/>
            <w:vAlign w:val="bottom"/>
            <w:gridSpan w:val="2"/>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(458)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400" w:type="dxa"/>
            <w:vAlign w:val="bottom"/>
            <w:gridSpan w:val="2"/>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44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400" w:type="dxa"/>
            <w:vAlign w:val="bottom"/>
            <w:gridSpan w:val="2"/>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3,129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58.42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2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(1,645)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Forfeited</w:t>
            </w:r>
          </w:p>
        </w:tc>
        <w:tc>
          <w:tcPr>
            <w:tcW w:w="4400" w:type="dxa"/>
            <w:vAlign w:val="bottom"/>
            <w:gridSpan w:val="2"/>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(499)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53.95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4400" w:type="dxa"/>
            <w:vAlign w:val="bottom"/>
            <w:gridSpan w:val="2"/>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44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400" w:type="dxa"/>
            <w:vAlign w:val="bottom"/>
            <w:gridSpan w:val="2"/>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2,674</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48.93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2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(2,421)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Forfeited</w:t>
            </w:r>
          </w:p>
        </w:tc>
        <w:tc>
          <w:tcPr>
            <w:tcW w:w="4400" w:type="dxa"/>
            <w:vAlign w:val="bottom"/>
            <w:gridSpan w:val="2"/>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(445)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2009</w:t>
            </w:r>
          </w:p>
        </w:tc>
        <w:tc>
          <w:tcPr>
            <w:tcW w:w="4400" w:type="dxa"/>
            <w:vAlign w:val="bottom"/>
            <w:gridSpan w:val="2"/>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gridSpan w:val="2"/>
          </w:tcPr>
          <w:p>
            <w:pPr>
              <w:ind w:left="1080"/>
              <w:spacing w:after="0"/>
              <w:rPr>
                <w:sz w:val="20"/>
                <w:szCs w:val="20"/>
                <w:color w:val="auto"/>
              </w:rPr>
            </w:pPr>
            <w:r>
              <w:rPr>
                <w:rFonts w:ascii="Arial" w:cs="Arial" w:eastAsia="Arial" w:hAnsi="Arial"/>
                <w:sz w:val="13"/>
                <w:szCs w:val="13"/>
                <w:color w:val="auto"/>
              </w:rPr>
              <w:t>F-37</w:t>
            </w: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Performance-Vested Restricted Stock Units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performance-vested restricted stock units (PVRSUs) activity is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weighted average grant date fair value)</w:t>
            </w:r>
          </w:p>
        </w:tc>
        <w:tc>
          <w:tcPr>
            <w:tcW w:w="2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120</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Forfeited</w:t>
            </w:r>
          </w:p>
        </w:tc>
        <w:tc>
          <w:tcPr>
            <w:tcW w:w="2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Forfeited</w:t>
            </w:r>
          </w:p>
        </w:tc>
        <w:tc>
          <w:tcPr>
            <w:tcW w:w="2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52.29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325</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49.42</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52.29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Forfeited</w:t>
            </w:r>
          </w:p>
        </w:tc>
        <w:tc>
          <w:tcPr>
            <w:tcW w:w="2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(97)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51.30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2009</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49.39</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2009 Grant Activity</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apply a graded vesting expense methodology when accounting for the PVRSUs issued in 2009. In 2009, approximately 325,000 PVRSUs were granted with a weighted average grant date fair value of $49.42 per share.</w:t>
      </w:r>
    </w:p>
    <w:p>
      <w:pPr>
        <w:spacing w:after="0" w:line="59" w:lineRule="exact"/>
        <w:rPr>
          <w:sz w:val="20"/>
          <w:szCs w:val="20"/>
          <w:color w:val="auto"/>
        </w:rPr>
      </w:pPr>
    </w:p>
    <w:p>
      <w:pPr>
        <w:ind w:left="680" w:right="220" w:firstLine="399"/>
        <w:spacing w:after="0" w:line="334" w:lineRule="auto"/>
        <w:rPr>
          <w:sz w:val="20"/>
          <w:szCs w:val="20"/>
          <w:color w:val="auto"/>
        </w:rPr>
      </w:pPr>
      <w:r>
        <w:rPr>
          <w:rFonts w:ascii="Arial" w:cs="Arial" w:eastAsia="Arial" w:hAnsi="Arial"/>
          <w:sz w:val="11"/>
          <w:szCs w:val="11"/>
          <w:color w:val="auto"/>
        </w:rPr>
        <w:t>The number of PVRSUs reflected as granted represents the target number of shares that are eligible to vest in full or in part and are earned subject to the attainment of certain performance criteria established at the beginning of the performance period, which ended December 31, 2009. Participants may ultimately earn up to 200% of the target number of shares granted in the event that the maximum performance thresholds are attained. Accordingly, additional PVRSUs may be issued upon final determination of the number of awards earned.</w:t>
      </w:r>
    </w:p>
    <w:p>
      <w:pPr>
        <w:spacing w:after="0" w:line="32"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Once the earned number of performance-vested awards has been determined, the earned PVRSUs will then vest in three equal increments on (1) the later of the first anniversary of the grant date or the date of results determination; (2) the second anniversary of the grant date; and (3) the third anniversary of the grant date. The vesting of these awards is also subject to the respective employees’ continued employment. Compensation expense associated with these PVRSUs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2007 Grant Activity</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our Board of Directors awarded a total of 120,000 PVRSUs to Dr. Cecil Pickett, our former President, Research and Development. Vesting of these PVRSUs was subject to certain performance criteria established at the beginning of each of four performance periods, beginning January 1 on each of 2007, 2008, 2009 and 2010, and Dr. Pickett’s continued employment through the end of the respective performance periods. In February 2008, a total of 27,000 shares were issued based upon the attainment of performance criteria set for 2007. An additional</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264" w:lineRule="auto"/>
        <w:rPr>
          <w:sz w:val="20"/>
          <w:szCs w:val="20"/>
          <w:color w:val="auto"/>
        </w:rPr>
      </w:pPr>
      <w:r>
        <w:rPr>
          <w:rFonts w:ascii="Arial" w:cs="Arial" w:eastAsia="Arial" w:hAnsi="Arial"/>
          <w:sz w:val="13"/>
          <w:szCs w:val="13"/>
          <w:color w:val="auto"/>
        </w:rPr>
        <w:t>30,000 shares were issued in February 2009 based on the attainment of performance criteria set for 2008. No additional shares were issued to Dr. Pickett in 2009, 2008 and 2007. Dr. Pickett retired from the position of President, Research and Development effective October 5, 2009. Accordingly, no additional PVRSUs awarded to Dr. Pickett will vest or be issued. Expense previously recognized in relation to unvested awards was reversed in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Prior Period Grant Activity</w:t>
      </w:r>
    </w:p>
    <w:p>
      <w:pPr>
        <w:spacing w:after="0" w:line="96"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In the first quarter of 2006, our Board of Directors awarded 100,000 PVRSUs to our CEO, under the 2005 Omnibus Plan, subject to certain 2006 financial performance criteria. In February 2007, our Board of Directors determined that the performance criteria had been attained and that 100,000 PVRSUs would convert into shares of our common stock. A total of 58,250 shares were issued, reflecting the fact that certain shares were withheld for income tax purposes.</w:t>
      </w:r>
    </w:p>
    <w:p>
      <w:pPr>
        <w:spacing w:after="0" w:line="67"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In the third quarter of 2005, we granted 1.2 million PVRSUs, to be settled in shares of our common stock, to a group of approximately 200 senior employees excluding our CEO. On September 14, 2006, 758,262 shares vested for which 510,859 shares were issued, reflecting the fact that certain shares were withheld for income tax purposes. On March 14, 2007,</w:t>
      </w:r>
    </w:p>
    <w:p>
      <w:pPr>
        <w:ind w:left="680" w:right="840"/>
        <w:spacing w:after="0" w:line="264" w:lineRule="auto"/>
        <w:rPr>
          <w:sz w:val="20"/>
          <w:szCs w:val="20"/>
          <w:color w:val="auto"/>
        </w:rPr>
      </w:pPr>
      <w:r>
        <w:rPr>
          <w:rFonts w:ascii="Arial" w:cs="Arial" w:eastAsia="Arial" w:hAnsi="Arial"/>
          <w:sz w:val="13"/>
          <w:szCs w:val="13"/>
          <w:color w:val="auto"/>
        </w:rPr>
        <w:t>258,387 shares vested based on the level of performance versus the pre-established goals, for which a total of 172,054 shares were issued, reflecting the fact that certain shares were withheld for income tax purposes. No other shares vested in relation to this 2005 grant.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In 2005, we awarded restricted common stock to our employees under the 2005 Omnibus Plan and the 2003 Omnibus Plan. The restricted stock awards (RSAs) granted under the 2003 Omnibus Plan vested in full on the third anniversary of the date of grant for employees that remained continuously employed with us through the vesting dates. The RSAs granted under the 2005 Omnibus Plan vested at a rate of approximately one-third per year over three years on the anniversary of the date of grant for employees that remained continuously employed with us through the vesting dates.</w:t>
      </w:r>
    </w:p>
    <w:p>
      <w:pPr>
        <w:spacing w:after="0" w:line="7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fair value of all time-vested RSAs is based on the market value of our stock on the date of grant. Compensation expense, including the effect of forfeitures, is recognized over the applicable service period. All awards of restricted stock were fully vested as of December 31,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RSA activity is presented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weighted average grant date fair value)</w:t>
            </w: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4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500" w:type="dxa"/>
            <w:vAlign w:val="bottom"/>
            <w:gridSpan w:val="2"/>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2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Forfeited</w:t>
            </w:r>
          </w:p>
        </w:tc>
        <w:tc>
          <w:tcPr>
            <w:tcW w:w="4500" w:type="dxa"/>
            <w:vAlign w:val="bottom"/>
            <w:gridSpan w:val="2"/>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500" w:type="dxa"/>
            <w:vAlign w:val="bottom"/>
            <w:gridSpan w:val="2"/>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4500" w:type="dxa"/>
            <w:vAlign w:val="bottom"/>
            <w:gridSpan w:val="2"/>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Forfeited</w:t>
            </w:r>
          </w:p>
        </w:tc>
        <w:tc>
          <w:tcPr>
            <w:tcW w:w="45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4500" w:type="dxa"/>
            <w:vAlign w:val="bottom"/>
            <w:gridSpan w:val="2"/>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67.57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4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500" w:type="dxa"/>
            <w:vAlign w:val="bottom"/>
            <w:gridSpan w:val="2"/>
          </w:tcPr>
          <w:p>
            <w:pPr>
              <w:ind w:left="1080"/>
              <w:spacing w:after="0"/>
              <w:rPr>
                <w:sz w:val="20"/>
                <w:szCs w:val="20"/>
                <w:color w:val="auto"/>
              </w:rPr>
            </w:pPr>
            <w:r>
              <w:rPr>
                <w:rFonts w:ascii="Arial" w:cs="Arial" w:eastAsia="Arial" w:hAnsi="Arial"/>
                <w:sz w:val="13"/>
                <w:szCs w:val="13"/>
                <w:color w:val="auto"/>
              </w:rPr>
              <w:t>F-39</w:t>
            </w: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ESPP</w:t>
      </w:r>
    </w:p>
    <w:p>
      <w:pPr>
        <w:spacing w:after="0" w:line="96"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The purchase price of common stock under the ESPP is equal to 85% of the lower of (1) the market value per share of the common stock on the participant’s entry date into an offering period or (2) the market value per share of the common stock on the purchase date. However, for each participant whose entry date is other than the start date of the offering period, the amount shall in no event be less than the market value per share of the common stock as of the beginning of the related offering period. The fair value of the discounted purchases made under the employee stock purchase plan are calculated using the Black-Scholes model. The fair value of the look-back provision plus the 15% discount is recognized as compensation expense over the purchase period. We apply a graded vesting approach since our ESPP provides for multiple purchase periods and is, in substance, a series of linked awards.</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provides a summary of shares issued under our ESPP for 2009, 2008 and 2007, respectively:</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6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For The Years Ended 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56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2009</w:t>
            </w:r>
          </w:p>
        </w:tc>
        <w:tc>
          <w:tcPr>
            <w:tcW w:w="6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Shares issued under ESPP</w:t>
            </w:r>
          </w:p>
        </w:tc>
        <w:tc>
          <w:tcPr>
            <w:tcW w:w="2060" w:type="dxa"/>
            <w:vAlign w:val="bottom"/>
          </w:tcPr>
          <w:p>
            <w:pPr>
              <w:jc w:val="right"/>
              <w:ind w:right="434"/>
              <w:spacing w:after="0"/>
              <w:rPr>
                <w:sz w:val="20"/>
                <w:szCs w:val="20"/>
                <w:color w:val="auto"/>
              </w:rPr>
            </w:pPr>
            <w:r>
              <w:rPr>
                <w:rFonts w:ascii="Arial" w:cs="Arial" w:eastAsia="Arial" w:hAnsi="Arial"/>
                <w:sz w:val="13"/>
                <w:szCs w:val="13"/>
                <w:color w:val="auto"/>
              </w:rPr>
              <w:t>0.6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ind w:right="34"/>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40" w:type="dxa"/>
            <w:vAlign w:val="bottom"/>
            <w:gridSpan w:val="2"/>
          </w:tcPr>
          <w:p>
            <w:pPr>
              <w:spacing w:after="0"/>
              <w:rPr>
                <w:sz w:val="20"/>
                <w:szCs w:val="20"/>
                <w:color w:val="auto"/>
              </w:rPr>
            </w:pPr>
            <w:r>
              <w:rPr>
                <w:rFonts w:ascii="Arial" w:cs="Arial" w:eastAsia="Arial" w:hAnsi="Arial"/>
                <w:sz w:val="13"/>
                <w:szCs w:val="13"/>
                <w:color w:val="auto"/>
              </w:rPr>
              <w:t>Cash received under ESPP</w:t>
            </w:r>
          </w:p>
        </w:tc>
        <w:tc>
          <w:tcPr>
            <w:tcW w:w="2060" w:type="dxa"/>
            <w:vAlign w:val="bottom"/>
          </w:tcPr>
          <w:p>
            <w:pPr>
              <w:jc w:val="right"/>
              <w:ind w:right="434"/>
              <w:spacing w:after="0"/>
              <w:rPr>
                <w:sz w:val="20"/>
                <w:szCs w:val="20"/>
                <w:color w:val="auto"/>
              </w:rPr>
            </w:pPr>
            <w:r>
              <w:rPr>
                <w:rFonts w:ascii="Arial" w:cs="Arial" w:eastAsia="Arial" w:hAnsi="Arial"/>
                <w:sz w:val="13"/>
                <w:szCs w:val="13"/>
                <w:color w:val="auto"/>
              </w:rPr>
              <w:t>$22.6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4"/>
              <w:spacing w:after="0"/>
              <w:rPr>
                <w:sz w:val="20"/>
                <w:szCs w:val="20"/>
                <w:color w:val="auto"/>
              </w:rPr>
            </w:pPr>
            <w:r>
              <w:rPr>
                <w:rFonts w:ascii="Arial" w:cs="Arial" w:eastAsia="Arial" w:hAnsi="Arial"/>
                <w:sz w:val="13"/>
                <w:szCs w:val="13"/>
                <w:color w:val="auto"/>
                <w:w w:val="78"/>
              </w:rPr>
              <w:t>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5360" w:type="dxa"/>
            <w:vAlign w:val="bottom"/>
          </w:tcPr>
          <w:p>
            <w:pPr>
              <w:ind w:left="220"/>
              <w:spacing w:after="0"/>
              <w:rPr>
                <w:sz w:val="20"/>
                <w:szCs w:val="20"/>
                <w:color w:val="auto"/>
              </w:rPr>
            </w:pPr>
            <w:r>
              <w:rPr>
                <w:rFonts w:ascii="Arial" w:cs="Arial" w:eastAsia="Arial" w:hAnsi="Arial"/>
                <w:sz w:val="13"/>
                <w:szCs w:val="13"/>
                <w:b w:val="1"/>
                <w:bCs w:val="1"/>
                <w:color w:val="auto"/>
              </w:rPr>
              <w:t>Accumulated Other Comprehensive Income (Loss)</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536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 consisted of the following:</w:t>
            </w:r>
          </w:p>
        </w:tc>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6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5640" w:type="dxa"/>
            <w:vAlign w:val="bottom"/>
            <w:tcBorders>
              <w:bottom w:val="single" w:sz="8" w:color="auto"/>
            </w:tcBorders>
            <w:gridSpan w:val="2"/>
            <w:vMerge w:val="continue"/>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2009</w:t>
            </w:r>
          </w:p>
        </w:tc>
        <w:tc>
          <w:tcPr>
            <w:tcW w:w="50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Translation adjustments</w:t>
            </w:r>
          </w:p>
        </w:tc>
        <w:tc>
          <w:tcPr>
            <w:tcW w:w="20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35.6</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Unrealized gains on securites available for sale</w:t>
            </w: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Unrealized gains (losses) on foreign currency forward contracts</w:t>
            </w: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Unfunded status of pension and postretirement benefit plans</w:t>
            </w: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20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50.5</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 xml:space="preserve">Unrealized holding gains on securities available for sale is shown net of tax of $(6.6) million and $(6.2) million as of December 31, 2009 and 2008, respectively. Unrealized gains (losses) on foreign currency forward contracts is shown net of tax of $0.3 million, and $3.9 million as of December 31, 2009 and 2008, respectively. The unfunded status of pension and retirement benefit plans is shown net of tax as of December 31, 2009 and 2008. Tax amounts in both years were immaterial. See Note 15, </w:t>
      </w:r>
      <w:r>
        <w:rPr>
          <w:rFonts w:ascii="Arial" w:cs="Arial" w:eastAsia="Arial" w:hAnsi="Arial"/>
          <w:sz w:val="13"/>
          <w:szCs w:val="13"/>
          <w:i w:val="1"/>
          <w:iCs w:val="1"/>
          <w:color w:val="auto"/>
        </w:rPr>
        <w:t>Employee Benefit Plans</w:t>
      </w:r>
      <w:r>
        <w:rPr>
          <w:rFonts w:ascii="Arial" w:cs="Arial" w:eastAsia="Arial" w:hAnsi="Arial"/>
          <w:sz w:val="13"/>
          <w:szCs w:val="13"/>
          <w:color w:val="auto"/>
        </w:rPr>
        <w:t xml:space="preserve"> to our Consolidated Financial Statements for discussion of unfunded status of pension and retirement benefit plans.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Amounts comprising noncontrolling interests, as reported in our consolidated statements of equity as of December 31, 2009 and 2008 included accumulated translation adjustments of $2.4 million and $1.2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(loss) and its components are presented in the consolidated statements of shareholders’ equity.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14.</w:t>
            </w:r>
          </w:p>
        </w:tc>
        <w:tc>
          <w:tcPr>
            <w:tcW w:w="7220" w:type="dxa"/>
            <w:vAlign w:val="bottom"/>
            <w:gridSpan w:val="2"/>
          </w:tcPr>
          <w:p>
            <w:pPr>
              <w:ind w:left="320"/>
              <w:spacing w:after="0"/>
              <w:rPr>
                <w:sz w:val="20"/>
                <w:szCs w:val="20"/>
                <w:color w:val="auto"/>
              </w:rPr>
            </w:pPr>
            <w:r>
              <w:rPr>
                <w:rFonts w:ascii="Arial" w:cs="Arial" w:eastAsia="Arial" w:hAnsi="Arial"/>
                <w:sz w:val="13"/>
                <w:szCs w:val="13"/>
                <w:b w:val="1"/>
                <w:bCs w:val="1"/>
                <w:color w:val="auto"/>
              </w:rPr>
              <w:t>Other Consolidated Financial Statement Detail</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Other Income (Expense), Net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220" w:type="dxa"/>
            <w:vAlign w:val="bottom"/>
            <w:gridSpan w:val="2"/>
          </w:tcPr>
          <w:p>
            <w:pPr>
              <w:ind w:left="220"/>
              <w:spacing w:after="0"/>
              <w:rPr>
                <w:sz w:val="20"/>
                <w:szCs w:val="20"/>
                <w:color w:val="auto"/>
              </w:rPr>
            </w:pPr>
            <w:r>
              <w:rPr>
                <w:rFonts w:ascii="Arial" w:cs="Arial" w:eastAsia="Arial" w:hAnsi="Arial"/>
                <w:sz w:val="13"/>
                <w:szCs w:val="13"/>
                <w:color w:val="auto"/>
              </w:rPr>
              <w:t>Components of other income (expense), net, are summarized as follows: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left="217"/>
              <w:spacing w:after="0"/>
              <w:rPr>
                <w:sz w:val="20"/>
                <w:szCs w:val="20"/>
                <w:color w:val="auto"/>
              </w:rPr>
            </w:pPr>
            <w:r>
              <w:rPr>
                <w:rFonts w:ascii="Arial" w:cs="Arial" w:eastAsia="Arial" w:hAnsi="Arial"/>
                <w:sz w:val="10"/>
                <w:szCs w:val="10"/>
                <w:b w:val="1"/>
                <w:bCs w:val="1"/>
                <w:color w:val="auto"/>
                <w:w w:val="94"/>
              </w:rPr>
              <w:t>For the Years Ended December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4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0" w:type="dxa"/>
            <w:vAlign w:val="bottom"/>
            <w:tcBorders>
              <w:top w:val="single" w:sz="8" w:color="auto"/>
            </w:tcBorders>
          </w:tcPr>
          <w:p>
            <w:pPr>
              <w:spacing w:after="0"/>
              <w:rPr>
                <w:sz w:val="2"/>
                <w:szCs w:val="2"/>
                <w:color w:val="auto"/>
              </w:rPr>
            </w:pPr>
          </w:p>
        </w:tc>
        <w:tc>
          <w:tcPr>
            <w:tcW w:w="70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5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103.6</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color w:val="auto"/>
              </w:rPr>
              <w:t>(52.0)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Impairment on investments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Gain (loss) on sales of investments, net</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22.8</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Foreign exchange gains (losses), net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5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Gain on the sale of property</w:t>
            </w:r>
          </w:p>
        </w:tc>
        <w:tc>
          <w:tcPr>
            <w:tcW w:w="10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5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3"/>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37.</w:t>
            </w:r>
            <w:r>
              <w:rPr>
                <w:rFonts w:ascii="Arial" w:cs="Arial" w:eastAsia="Arial" w:hAnsi="Arial"/>
                <w:sz w:val="13"/>
                <w:szCs w:val="13"/>
                <w:u w:val="single" w:color="auto"/>
                <w:color w:val="auto"/>
              </w:rPr>
              <w:t>3</w:t>
            </w:r>
          </w:p>
        </w:tc>
        <w:tc>
          <w:tcPr>
            <w:tcW w:w="5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3"/>
                <w:szCs w:val="13"/>
                <w:color w:val="auto"/>
              </w:rPr>
              <w:t>(57.7)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r>
              <w:rPr>
                <w:rFonts w:ascii="Arial" w:cs="Arial" w:eastAsia="Arial" w:hAnsi="Arial"/>
                <w:sz w:val="13"/>
                <w:szCs w:val="13"/>
                <w:u w:val="single" w:color="auto"/>
                <w:color w:val="auto"/>
              </w:rPr>
              <w:t>4</w:t>
            </w: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Expense</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2009, we incurred interest costs of $69.7 million. This amount was reduced by $28.5 million because we capitalized interest related to the construction of our large scale manufacturing facility in Hillerød, Denmark. In addition, in 2009, approximately $5.4 million was recorded as a reduction due to the amortization of the deferred gain associated with the termination of an interest rate swap in December 2008.</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2008, we incurred interest costs of $66.3 million. This amount was reduced by $23.2 million of capitalized interest on the manufacturing facility in Hillerød, Denmark. In addition, we incurred approximately $8.9 million of expenses related to hedge ineffectiveness on interest rate swaps executed in March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we incurred interest costs of $50.6 million, which were reduced by $10.1 million of capitalized interest on the manufacturing facility in Hillerød, Denmark.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Impairment on Investments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April 2009, we implemented newly issued accounting standards which provided guidance for recognition and presentation of other-than-temporary impairments. The adoption of the guidance did not have a material impact on our financial position or results of operations; however, this standard amended the other-than-temporary impairment model for marketable debt securities. The impairment model for equity securities was not affected. Refer to Note 7,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to our Consolidated Financial Statements for additional information on the adoption of this guidance.</w:t>
      </w:r>
    </w:p>
    <w:p>
      <w:pPr>
        <w:spacing w:after="0" w:line="7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In 2009, we recognized impairment losses of $7.0 million on our strategic investments and non-marketable securities. In addition, during 2008 and 2007, we recognized $18.6 million and $18.4 million, respectively, in charges for the impairment of strategic investments and non-marketable securities that were determined to be other-than-temporary.</w:t>
      </w:r>
    </w:p>
    <w:p>
      <w:pPr>
        <w:spacing w:after="0" w:line="35"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In 2009, we recognized $3.6 million in charges for the other-than-temporary impairment on marketable debt securities. For 2008 and 2007, we recognized $41.7 million and $7.5 million, respectively, in charges for the other-than-temporary impairment of marketable debt securities primarily related to mortgage and asset-backed securities.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Reclassification</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The adoption of a new issued accounting standard for noncontrolling interests on January 1, 2009, changed the accounting and reporting for our minority interests by recharacterizing them as noncontrolling interest. Prior year amounts related to noncontrolling interest, historically reflected as a component of other income (expense), net, have been reclassified to conform to current year presentation. Amounts previously reported as minority interest are now shown separately from net income in the accompanying consolidated statements of income and total $6.9 million, $6.9 million, and $(58.4) million for the years ended December 31, 2009, 2008 and 2007, respectively. This reclassification had no effect on our previously reported financial position or results of operations. Refer to Note 10, </w:t>
      </w:r>
      <w:r>
        <w:rPr>
          <w:rFonts w:ascii="Arial" w:cs="Arial" w:eastAsia="Arial" w:hAnsi="Arial"/>
          <w:sz w:val="11"/>
          <w:szCs w:val="11"/>
          <w:i w:val="1"/>
          <w:iCs w:val="1"/>
          <w:color w:val="auto"/>
        </w:rPr>
        <w:t>Shareholders’ Equity</w:t>
      </w:r>
      <w:r>
        <w:rPr>
          <w:rFonts w:ascii="Arial" w:cs="Arial" w:eastAsia="Arial" w:hAnsi="Arial"/>
          <w:sz w:val="11"/>
          <w:szCs w:val="11"/>
          <w:color w:val="auto"/>
        </w:rPr>
        <w:t xml:space="preserve"> to our Consolidated Financial Statements for additional information on the adoption of this guidance.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Current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current assets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0"/>
                <w:szCs w:val="10"/>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850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Receivable from collaborations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Interest receivable</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14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177.9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139.4</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Property, plant and equipment are recorded at historical cost, net of accumulated depreciation. Components of property, plant and equipment, net are summarized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108.8</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Buildings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669.7</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676.1</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73.1</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50.7</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868.2</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798.5</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506.7</w:t>
            </w: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420.2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2,279.6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2,131.8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(642.5)</w:t>
            </w:r>
          </w:p>
        </w:tc>
        <w:tc>
          <w:tcPr>
            <w:tcW w:w="2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(537.0)</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1,637.1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1,594.8</w:t>
            </w: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2009, 2008, and 2007, we capitalized to construction in progress approximately $28.4 million, $23.2 million and $10.1 million, respectively, of interest costs primarily related to the development of our large-scale biologic manufacturing facility in Hillerød, Denmark.</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December 31, 2009 and 2008, the construction in progress balance related to the construction of our large-scale biologic manufacturing facility in Hillerød, Denmark totaled $441.2 million and $388.4 million,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is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80" w:type="dxa"/>
            <w:vAlign w:val="bottom"/>
            <w:vMerge w:val="restart"/>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8"/>
          </w:tcPr>
          <w:p>
            <w:pPr>
              <w:ind w:left="60"/>
              <w:spacing w:after="0"/>
              <w:rPr>
                <w:sz w:val="20"/>
                <w:szCs w:val="20"/>
                <w:color w:val="auto"/>
              </w:rPr>
            </w:pPr>
            <w:r>
              <w:rPr>
                <w:rFonts w:ascii="Arial" w:cs="Arial" w:eastAsia="Arial" w:hAnsi="Arial"/>
                <w:sz w:val="10"/>
                <w:szCs w:val="10"/>
                <w:b w:val="1"/>
                <w:bCs w:val="1"/>
                <w:color w:val="auto"/>
                <w:w w:val="94"/>
              </w:rPr>
              <w:t>For the 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2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560" w:type="dxa"/>
            <w:vAlign w:val="bottom"/>
            <w:tcBorders>
              <w:bottom w:val="single" w:sz="8" w:color="auto"/>
            </w:tcBorders>
          </w:tcPr>
          <w:p>
            <w:pPr>
              <w:jc w:val="right"/>
              <w:ind w:right="61"/>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gridSpan w:val="4"/>
          </w:tcPr>
          <w:p>
            <w:pPr>
              <w:ind w:left="220"/>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7200" w:type="dxa"/>
            <w:vAlign w:val="bottom"/>
            <w:gridSpan w:val="2"/>
          </w:tcPr>
          <w:p>
            <w:pPr>
              <w:spacing w:after="0"/>
              <w:rPr>
                <w:sz w:val="20"/>
                <w:szCs w:val="20"/>
                <w:color w:val="auto"/>
              </w:rPr>
            </w:pPr>
            <w:r>
              <w:rPr>
                <w:rFonts w:ascii="Arial" w:cs="Arial" w:eastAsia="Arial" w:hAnsi="Arial"/>
                <w:sz w:val="13"/>
                <w:szCs w:val="13"/>
                <w:color w:val="auto"/>
              </w:rPr>
              <w:t>Depreciation expense</w:t>
            </w:r>
          </w:p>
        </w:tc>
        <w:tc>
          <w:tcPr>
            <w:tcW w:w="560" w:type="dxa"/>
            <w:vAlign w:val="bottom"/>
          </w:tcPr>
          <w:p>
            <w:pPr>
              <w:jc w:val="right"/>
              <w:ind w:right="1"/>
              <w:spacing w:after="0"/>
              <w:rPr>
                <w:sz w:val="20"/>
                <w:szCs w:val="20"/>
                <w:color w:val="auto"/>
              </w:rPr>
            </w:pPr>
            <w:r>
              <w:rPr>
                <w:rFonts w:ascii="Arial" w:cs="Arial" w:eastAsia="Arial" w:hAnsi="Arial"/>
                <w:sz w:val="13"/>
                <w:szCs w:val="13"/>
                <w:color w:val="auto"/>
              </w:rPr>
              <w:t>$137.9</w:t>
            </w:r>
          </w:p>
        </w:tc>
        <w:tc>
          <w:tcPr>
            <w:tcW w:w="1240" w:type="dxa"/>
            <w:vAlign w:val="bottom"/>
            <w:gridSpan w:val="6"/>
          </w:tcPr>
          <w:p>
            <w:pPr>
              <w:jc w:val="right"/>
              <w:ind w:right="197"/>
              <w:spacing w:after="0"/>
              <w:rPr>
                <w:sz w:val="20"/>
                <w:szCs w:val="20"/>
                <w:color w:val="auto"/>
              </w:rPr>
            </w:pPr>
            <w:r>
              <w:rPr>
                <w:rFonts w:ascii="Arial" w:cs="Arial" w:eastAsia="Arial" w:hAnsi="Arial"/>
                <w:sz w:val="13"/>
                <w:szCs w:val="13"/>
                <w:color w:val="auto"/>
              </w:rPr>
              <w:t>$129.1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center"/>
              <w:ind w:right="17"/>
              <w:spacing w:after="0"/>
              <w:rPr>
                <w:sz w:val="20"/>
                <w:szCs w:val="20"/>
                <w:color w:val="auto"/>
              </w:rPr>
            </w:pPr>
            <w:r>
              <w:rPr>
                <w:rFonts w:ascii="Arial" w:cs="Arial" w:eastAsia="Arial" w:hAnsi="Arial"/>
                <w:sz w:val="13"/>
                <w:szCs w:val="13"/>
                <w:color w:val="auto"/>
                <w:w w:val="92"/>
              </w:rPr>
              <w:t>122.6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20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Accrued Expenses and Other</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200" w:type="dxa"/>
            <w:vAlign w:val="bottom"/>
            <w:gridSpan w:val="2"/>
          </w:tcPr>
          <w:p>
            <w:pPr>
              <w:ind w:left="400"/>
              <w:spacing w:after="0"/>
              <w:rPr>
                <w:sz w:val="20"/>
                <w:szCs w:val="20"/>
                <w:color w:val="auto"/>
              </w:rPr>
            </w:pPr>
            <w:r>
              <w:rPr>
                <w:rFonts w:ascii="Arial" w:cs="Arial" w:eastAsia="Arial" w:hAnsi="Arial"/>
                <w:sz w:val="13"/>
                <w:szCs w:val="13"/>
                <w:color w:val="auto"/>
              </w:rPr>
              <w:t>Accrued expenses and other consists of the following:</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7200" w:type="dxa"/>
            <w:vAlign w:val="bottom"/>
            <w:tcBorders>
              <w:bottom w:val="single" w:sz="8" w:color="auto"/>
            </w:tcBorders>
            <w:gridSpan w:val="2"/>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compensation and benefits</w:t>
            </w:r>
          </w:p>
        </w:tc>
        <w:tc>
          <w:tcPr>
            <w:tcW w:w="560" w:type="dxa"/>
            <w:vAlign w:val="bottom"/>
            <w:shd w:val="clear" w:color="auto" w:fill="CCEEFF"/>
          </w:tcPr>
          <w:p>
            <w:pPr>
              <w:spacing w:after="0"/>
              <w:rPr>
                <w:sz w:val="13"/>
                <w:szCs w:val="13"/>
                <w:color w:val="auto"/>
              </w:rPr>
            </w:pPr>
          </w:p>
        </w:tc>
        <w:tc>
          <w:tcPr>
            <w:tcW w:w="840" w:type="dxa"/>
            <w:vAlign w:val="bottom"/>
            <w:gridSpan w:val="5"/>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Royalties and licensing fees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Collaboration expenses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Clinical development expenses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Revenue-related rebates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Construction in progress accrual</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210.9</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140"/>
              <w:spacing w:after="0"/>
              <w:rPr>
                <w:sz w:val="20"/>
                <w:szCs w:val="20"/>
                <w:color w:val="auto"/>
              </w:rPr>
            </w:pPr>
            <w:r>
              <w:rPr>
                <w:rFonts w:ascii="Arial" w:cs="Arial" w:eastAsia="Arial" w:hAnsi="Arial"/>
                <w:sz w:val="13"/>
                <w:szCs w:val="13"/>
                <w:color w:val="auto"/>
              </w:rPr>
              <w:t>Accrued expenses and other</w:t>
            </w:r>
          </w:p>
        </w:tc>
        <w:tc>
          <w:tcPr>
            <w:tcW w:w="5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4"/>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500.8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534.9</w:t>
            </w:r>
          </w:p>
        </w:tc>
        <w:tc>
          <w:tcPr>
            <w:tcW w:w="0" w:type="dxa"/>
            <w:vAlign w:val="bottom"/>
          </w:tcPr>
          <w:p>
            <w:pPr>
              <w:spacing w:after="0"/>
              <w:rPr>
                <w:sz w:val="1"/>
                <w:szCs w:val="1"/>
                <w:color w:val="auto"/>
              </w:rPr>
            </w:pPr>
          </w:p>
        </w:tc>
      </w:tr>
      <w:tr>
        <w:trPr>
          <w:trHeight w:val="30"/>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Gain on Sale of Property, Plant and Equipment, net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 xml:space="preserve">In 2008, as part of the lease agreement described in Note 18,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our Consolidated Financial Statements, we sold the development rights on a parcel of land in Cambridge, MA for $11.4 million in a non-monetary transaction and we recorded a pre-tax gain of approximately $9.2 million on the sale.</w:t>
      </w:r>
    </w:p>
    <w:p>
      <w:pPr>
        <w:spacing w:after="0" w:line="134"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Savings Plan</w:t>
      </w:r>
    </w:p>
    <w:p>
      <w:pPr>
        <w:spacing w:after="0" w:line="96" w:lineRule="exact"/>
        <w:rPr>
          <w:sz w:val="20"/>
          <w:szCs w:val="20"/>
          <w:color w:val="auto"/>
        </w:rPr>
      </w:pPr>
    </w:p>
    <w:p>
      <w:pPr>
        <w:jc w:val="both"/>
        <w:ind w:left="680" w:right="80" w:firstLine="399"/>
        <w:spacing w:after="0" w:line="322" w:lineRule="auto"/>
        <w:rPr>
          <w:sz w:val="20"/>
          <w:szCs w:val="20"/>
          <w:color w:val="auto"/>
        </w:rPr>
      </w:pPr>
      <w:r>
        <w:rPr>
          <w:rFonts w:ascii="Arial" w:cs="Arial" w:eastAsia="Arial" w:hAnsi="Arial"/>
          <w:sz w:val="11"/>
          <w:szCs w:val="11"/>
          <w:color w:val="auto"/>
        </w:rPr>
        <w:t>We maintain a 401(k) Savings Plan which is available to substantially all regular employees in the U.S. over the age of 21. Participants may make voluntary contributions. We make matching contributions according to the 401(k) Savings Plan’s matching formula. Beginning in January 2008, all past and current matching contributions will vest immediately. Previously, the matching contributions vested over four years of service by the employee.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4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For the Years Ended December 31,</w:t>
            </w: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2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2008</w:t>
            </w:r>
          </w:p>
        </w:tc>
        <w:tc>
          <w:tcPr>
            <w:tcW w:w="70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85"/>
        </w:trPr>
        <w:tc>
          <w:tcPr>
            <w:tcW w:w="7300" w:type="dxa"/>
            <w:vAlign w:val="bottom"/>
            <w:gridSpan w:val="2"/>
          </w:tcPr>
          <w:p>
            <w:pPr>
              <w:spacing w:after="0"/>
              <w:rPr>
                <w:sz w:val="20"/>
                <w:szCs w:val="20"/>
                <w:color w:val="auto"/>
              </w:rPr>
            </w:pPr>
            <w:r>
              <w:rPr>
                <w:rFonts w:ascii="Arial" w:cs="Arial" w:eastAsia="Arial" w:hAnsi="Arial"/>
                <w:sz w:val="13"/>
                <w:szCs w:val="13"/>
                <w:color w:val="auto"/>
              </w:rPr>
              <w:t>Expense related to our 401(k) Savings Plan</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  27.9</w:t>
            </w:r>
          </w:p>
        </w:tc>
        <w:tc>
          <w:tcPr>
            <w:tcW w:w="1740" w:type="dxa"/>
            <w:vAlign w:val="bottom"/>
            <w:gridSpan w:val="3"/>
          </w:tcPr>
          <w:p>
            <w:pPr>
              <w:jc w:val="right"/>
              <w:ind w:right="700"/>
              <w:spacing w:after="0"/>
              <w:rPr>
                <w:sz w:val="20"/>
                <w:szCs w:val="20"/>
                <w:color w:val="auto"/>
              </w:rPr>
            </w:pPr>
            <w:r>
              <w:rPr>
                <w:rFonts w:ascii="Arial" w:cs="Arial" w:eastAsia="Arial" w:hAnsi="Arial"/>
                <w:sz w:val="13"/>
                <w:szCs w:val="13"/>
                <w:color w:val="auto"/>
              </w:rPr>
              <w:t>$  22.8</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  20.2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Compensation Plan</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maintain a non-qualified deferred compensation plan, known as the Supplemental Savings Plan (SSP), that allows a select group of management employees in the U.S. to defer a portion of their compensation. The SSP also provides certain credits to highly compensated U.S. employees, which are paid by the company. These credits are known as the Restoration Match. The deferred compensation amounts are accrued when earned. Such deferred compensation is distributable in cash in accordance with the rules of the SSP. Deferred compensation amounts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89" w:lineRule="auto"/>
        <w:rPr>
          <w:sz w:val="20"/>
          <w:szCs w:val="20"/>
          <w:color w:val="auto"/>
        </w:rPr>
      </w:pPr>
      <w:r>
        <w:rPr>
          <w:rFonts w:ascii="Arial" w:cs="Arial" w:eastAsia="Arial" w:hAnsi="Arial"/>
          <w:sz w:val="12"/>
          <w:szCs w:val="12"/>
          <w:color w:val="auto"/>
        </w:rPr>
        <w:t>under such plan as of December 31, 2009 and 2008 totaled approximately $63.6 million and $48.5 million, respectively, and are included in other long-term liabilities in the accompanying consolidated balance sheets. The SSP also holds certain transition contributions on behalf of participants who previously participated in the Biogen, Inc. Retirement Plan. Beginning in 2008, the Restoration Match vests immediately. Previously, the Restoration Match and transition contributions vested over four and seven years of service, respectively, by the employee. Participant contributions vest immediately. Distributions to participants can be either in one lump sum payment or annual installments as elected by the participants.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w:t>
      </w:r>
    </w:p>
    <w:p>
      <w:pPr>
        <w:spacing w:after="0" w:line="96"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We currently maintain retiree benefit plans which include, a defined benefit plan for employees in our German affiliate and other insignificant defined benefit plans in certain other countries in which we have an operating presence.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obligations under the German plan totaled $5.7 million and $4.8 million as of December 31, 2009 and 2008, respectively.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For the Years Ended December 31,</w:t>
            </w: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0" w:type="dxa"/>
            <w:vAlign w:val="bottom"/>
          </w:tcPr>
          <w:p>
            <w:pPr>
              <w:spacing w:after="0"/>
              <w:rPr>
                <w:sz w:val="1"/>
                <w:szCs w:val="1"/>
                <w:color w:val="auto"/>
              </w:rPr>
            </w:pPr>
          </w:p>
        </w:tc>
      </w:tr>
      <w:tr>
        <w:trPr>
          <w:trHeight w:val="185"/>
        </w:trPr>
        <w:tc>
          <w:tcPr>
            <w:tcW w:w="7000" w:type="dxa"/>
            <w:vAlign w:val="bottom"/>
            <w:gridSpan w:val="2"/>
          </w:tcPr>
          <w:p>
            <w:pPr>
              <w:spacing w:after="0"/>
              <w:rPr>
                <w:sz w:val="20"/>
                <w:szCs w:val="20"/>
                <w:color w:val="auto"/>
              </w:rPr>
            </w:pPr>
            <w:r>
              <w:rPr>
                <w:rFonts w:ascii="Arial" w:cs="Arial" w:eastAsia="Arial" w:hAnsi="Arial"/>
                <w:sz w:val="13"/>
                <w:szCs w:val="13"/>
                <w:color w:val="auto"/>
              </w:rPr>
              <w:t>Net periodic pension cost related to the German plan</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$ 1.1</w:t>
            </w:r>
          </w:p>
        </w:tc>
        <w:tc>
          <w:tcPr>
            <w:tcW w:w="2120" w:type="dxa"/>
            <w:vAlign w:val="bottom"/>
            <w:gridSpan w:val="3"/>
          </w:tcPr>
          <w:p>
            <w:pPr>
              <w:jc w:val="right"/>
              <w:ind w:right="1000"/>
              <w:spacing w:after="0"/>
              <w:rPr>
                <w:sz w:val="20"/>
                <w:szCs w:val="20"/>
                <w:color w:val="auto"/>
              </w:rPr>
            </w:pPr>
            <w:r>
              <w:rPr>
                <w:rFonts w:ascii="Arial" w:cs="Arial" w:eastAsia="Arial" w:hAnsi="Arial"/>
                <w:sz w:val="13"/>
                <w:szCs w:val="13"/>
                <w:color w:val="auto"/>
              </w:rPr>
              <w:t>$ 1.0</w:t>
            </w:r>
          </w:p>
        </w:tc>
        <w:tc>
          <w:tcPr>
            <w:tcW w:w="280" w:type="dxa"/>
            <w:vAlign w:val="bottom"/>
          </w:tcPr>
          <w:p>
            <w:pPr>
              <w:jc w:val="right"/>
              <w:spacing w:after="0"/>
              <w:rPr>
                <w:sz w:val="20"/>
                <w:szCs w:val="20"/>
                <w:color w:val="auto"/>
              </w:rPr>
            </w:pPr>
            <w:r>
              <w:rPr>
                <w:rFonts w:ascii="Arial" w:cs="Arial" w:eastAsia="Arial" w:hAnsi="Arial"/>
                <w:sz w:val="13"/>
                <w:szCs w:val="13"/>
                <w:color w:val="auto"/>
                <w:w w:val="89"/>
              </w:rPr>
              <w:t>$ 1.3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before income tax provision and the income tax expense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4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For the 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40" w:type="dxa"/>
            <w:vAlign w:val="bottom"/>
            <w:tcBorders>
              <w:bottom w:val="single" w:sz="8" w:color="auto"/>
            </w:tcBorders>
            <w:vMerge w:val="continue"/>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(benefit):</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Domestic</w:t>
            </w:r>
          </w:p>
        </w:tc>
        <w:tc>
          <w:tcPr>
            <w:tcW w:w="3920" w:type="dxa"/>
            <w:vAlign w:val="bottom"/>
            <w:gridSpan w:val="3"/>
          </w:tcPr>
          <w:p>
            <w:pPr>
              <w:jc w:val="right"/>
              <w:ind w:right="51"/>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1,073.8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829.2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664.9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37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3760" w:type="dxa"/>
            <w:vAlign w:val="bottom"/>
            <w:gridSpan w:val="2"/>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1,332.7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3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Current</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3920" w:type="dxa"/>
            <w:vAlign w:val="bottom"/>
            <w:gridSpan w:val="3"/>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State</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37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3760" w:type="dxa"/>
            <w:vAlign w:val="bottom"/>
            <w:gridSpan w:val="2"/>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493.0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3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Federal</w:t>
            </w:r>
          </w:p>
        </w:tc>
        <w:tc>
          <w:tcPr>
            <w:tcW w:w="3920" w:type="dxa"/>
            <w:vAlign w:val="bottom"/>
            <w:gridSpan w:val="3"/>
          </w:tcPr>
          <w:p>
            <w:pPr>
              <w:jc w:val="right"/>
              <w:ind w:right="51"/>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(94.8)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Foreign</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37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8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Total income tax expense</w:t>
            </w:r>
          </w:p>
        </w:tc>
        <w:tc>
          <w:tcPr>
            <w:tcW w:w="3760" w:type="dxa"/>
            <w:vAlign w:val="bottom"/>
            <w:gridSpan w:val="2"/>
          </w:tcPr>
          <w:p>
            <w:pPr>
              <w:spacing w:after="0"/>
              <w:rPr>
                <w:sz w:val="23"/>
                <w:szCs w:val="2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355.6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272.4</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760" w:type="dxa"/>
            <w:vAlign w:val="bottom"/>
            <w:gridSpan w:val="2"/>
          </w:tcPr>
          <w:p>
            <w:pPr>
              <w:ind w:left="1440"/>
              <w:spacing w:after="0"/>
              <w:rPr>
                <w:sz w:val="20"/>
                <w:szCs w:val="20"/>
                <w:color w:val="auto"/>
              </w:rPr>
            </w:pPr>
            <w:r>
              <w:rPr>
                <w:rFonts w:ascii="Arial" w:cs="Arial" w:eastAsia="Arial" w:hAnsi="Arial"/>
                <w:sz w:val="13"/>
                <w:szCs w:val="13"/>
                <w:color w:val="auto"/>
              </w:rPr>
              <w:t>F-44</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and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our deferred tax assets and liabilities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8300" w:type="dxa"/>
            <w:vAlign w:val="bottom"/>
            <w:gridSpan w:val="2"/>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credits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Inventory, deferred revenue and other reserves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90.4</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Capitalized costs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Intangibles, net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operating loss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ind w:left="140"/>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445.4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378.5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Purchased intangible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(475.4)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(552.7)</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Unrealized gain on investments and cumulative translation adjustment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amortization and other</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ind w:left="140"/>
              <w:spacing w:after="0"/>
              <w:rPr>
                <w:sz w:val="20"/>
                <w:szCs w:val="20"/>
                <w:color w:val="auto"/>
              </w:rPr>
            </w:pPr>
            <w:r>
              <w:rPr>
                <w:rFonts w:ascii="Arial" w:cs="Arial" w:eastAsia="Arial" w:hAnsi="Arial"/>
                <w:sz w:val="13"/>
                <w:szCs w:val="13"/>
                <w:color w:val="auto"/>
              </w:rPr>
              <w:t>Deferred tax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(597.3)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(663.7)</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Reconciliation between the U.S. federal statutory tax rate and our effective tax rate is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percentages)</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0"/>
                <w:szCs w:val="10"/>
                <w:b w:val="1"/>
                <w:bCs w:val="1"/>
                <w:color w:val="auto"/>
                <w:w w:val="94"/>
              </w:rPr>
              <w:t>For the Years Ended December 31,</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60" w:type="dxa"/>
            <w:vAlign w:val="bottom"/>
            <w:gridSpan w:val="2"/>
            <w:vMerge w:val="continue"/>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8"/>
                <w:szCs w:val="8"/>
                <w:color w:val="auto"/>
              </w:rPr>
            </w:pPr>
          </w:p>
        </w:tc>
        <w:tc>
          <w:tcPr>
            <w:tcW w:w="1020" w:type="dxa"/>
            <w:vAlign w:val="bottom"/>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2008</w:t>
            </w:r>
          </w:p>
        </w:tc>
        <w:tc>
          <w:tcPr>
            <w:tcW w:w="92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w:t>
            </w:r>
          </w:p>
        </w:tc>
        <w:tc>
          <w:tcPr>
            <w:tcW w:w="194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State taxes</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(0.1)</w:t>
            </w:r>
          </w:p>
        </w:tc>
        <w:tc>
          <w:tcPr>
            <w:tcW w:w="1940" w:type="dxa"/>
            <w:vAlign w:val="bottom"/>
            <w:gridSpan w:val="3"/>
          </w:tcPr>
          <w:p>
            <w:pPr>
              <w:jc w:val="right"/>
              <w:ind w:right="920"/>
              <w:spacing w:after="0"/>
              <w:rPr>
                <w:sz w:val="20"/>
                <w:szCs w:val="20"/>
                <w:color w:val="auto"/>
              </w:rPr>
            </w:pPr>
            <w:r>
              <w:rPr>
                <w:rFonts w:ascii="Arial" w:cs="Arial" w:eastAsia="Arial" w:hAnsi="Arial"/>
                <w:sz w:val="13"/>
                <w:szCs w:val="13"/>
                <w:color w:val="auto"/>
              </w:rPr>
              <w:t>1.6</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Taxes on foreign earnings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w:t>
            </w:r>
          </w:p>
        </w:tc>
        <w:tc>
          <w:tcPr>
            <w:tcW w:w="1940" w:type="dxa"/>
            <w:vAlign w:val="bottom"/>
            <w:gridSpan w:val="3"/>
            <w:shd w:val="clear" w:color="auto" w:fill="CCEEFF"/>
          </w:tcPr>
          <w:p>
            <w:pPr>
              <w:jc w:val="right"/>
              <w:ind w:right="860"/>
              <w:spacing w:after="0"/>
              <w:rPr>
                <w:sz w:val="20"/>
                <w:szCs w:val="20"/>
                <w:color w:val="auto"/>
              </w:rPr>
            </w:pPr>
            <w:r>
              <w:rPr>
                <w:rFonts w:ascii="Arial" w:cs="Arial" w:eastAsia="Arial" w:hAnsi="Arial"/>
                <w:sz w:val="13"/>
                <w:szCs w:val="13"/>
                <w:color w:val="auto"/>
              </w:rPr>
              <w:t>(5.8)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Credits and net operating loss utilization</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(3.8)</w:t>
            </w:r>
          </w:p>
        </w:tc>
        <w:tc>
          <w:tcPr>
            <w:tcW w:w="1940" w:type="dxa"/>
            <w:vAlign w:val="bottom"/>
            <w:gridSpan w:val="3"/>
          </w:tcPr>
          <w:p>
            <w:pPr>
              <w:jc w:val="right"/>
              <w:ind w:right="860"/>
              <w:spacing w:after="0"/>
              <w:rPr>
                <w:sz w:val="20"/>
                <w:szCs w:val="20"/>
                <w:color w:val="auto"/>
              </w:rPr>
            </w:pPr>
            <w:r>
              <w:rPr>
                <w:rFonts w:ascii="Arial" w:cs="Arial" w:eastAsia="Arial" w:hAnsi="Arial"/>
                <w:sz w:val="13"/>
                <w:szCs w:val="13"/>
                <w:color w:val="auto"/>
              </w:rPr>
              <w:t>(2.9)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Purchased intangible assets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1940" w:type="dxa"/>
            <w:vAlign w:val="bottom"/>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3.7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IPR&amp;D</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940" w:type="dxa"/>
            <w:vAlign w:val="bottom"/>
            <w:gridSpan w:val="3"/>
          </w:tcPr>
          <w:p>
            <w:pPr>
              <w:jc w:val="right"/>
              <w:ind w:right="920"/>
              <w:spacing w:after="0"/>
              <w:rPr>
                <w:sz w:val="20"/>
                <w:szCs w:val="20"/>
                <w:color w:val="auto"/>
              </w:rPr>
            </w:pPr>
            <w:r>
              <w:rPr>
                <w:rFonts w:ascii="Arial" w:cs="Arial" w:eastAsia="Arial" w:hAnsi="Arial"/>
                <w:sz w:val="13"/>
                <w:szCs w:val="13"/>
                <w:color w:val="auto"/>
              </w:rPr>
              <w:t>0.8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7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w:t>
            </w:r>
          </w:p>
        </w:tc>
        <w:tc>
          <w:tcPr>
            <w:tcW w:w="1940" w:type="dxa"/>
            <w:vAlign w:val="bottom"/>
            <w:gridSpan w:val="3"/>
            <w:shd w:val="clear" w:color="auto" w:fill="CCEEFF"/>
          </w:tcPr>
          <w:p>
            <w:pPr>
              <w:jc w:val="right"/>
              <w:ind w:right="860"/>
              <w:spacing w:after="0"/>
              <w:rPr>
                <w:sz w:val="20"/>
                <w:szCs w:val="20"/>
                <w:color w:val="auto"/>
              </w:rPr>
            </w:pPr>
            <w:r>
              <w:rPr>
                <w:rFonts w:ascii="Arial" w:cs="Arial" w:eastAsia="Arial" w:hAnsi="Arial"/>
                <w:sz w:val="13"/>
                <w:szCs w:val="13"/>
                <w:color w:val="auto"/>
              </w:rPr>
              <w:t>(0.9)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7060" w:type="dxa"/>
            <w:vAlign w:val="bottom"/>
            <w:gridSpan w:val="2"/>
          </w:tcPr>
          <w:p>
            <w:pPr>
              <w:spacing w:after="0"/>
              <w:rPr>
                <w:sz w:val="20"/>
                <w:szCs w:val="20"/>
                <w:color w:val="auto"/>
              </w:rPr>
            </w:pPr>
            <w:r>
              <w:rPr>
                <w:rFonts w:ascii="Arial" w:cs="Arial" w:eastAsia="Arial" w:hAnsi="Arial"/>
                <w:sz w:val="13"/>
                <w:szCs w:val="13"/>
                <w:color w:val="auto"/>
              </w:rPr>
              <w:t>Other</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(0.1)</w:t>
            </w:r>
          </w:p>
        </w:tc>
        <w:tc>
          <w:tcPr>
            <w:tcW w:w="1940" w:type="dxa"/>
            <w:vAlign w:val="bottom"/>
            <w:gridSpan w:val="3"/>
          </w:tcPr>
          <w:p>
            <w:pPr>
              <w:jc w:val="right"/>
              <w:ind w:right="920"/>
              <w:spacing w:after="0"/>
              <w:rPr>
                <w:sz w:val="20"/>
                <w:szCs w:val="20"/>
                <w:color w:val="auto"/>
              </w:rPr>
            </w:pPr>
            <w:r>
              <w:rPr>
                <w:rFonts w:ascii="Arial" w:cs="Arial" w:eastAsia="Arial" w:hAnsi="Arial"/>
                <w:sz w:val="13"/>
                <w:szCs w:val="13"/>
                <w:color w:val="auto"/>
              </w:rPr>
              <w:t>0.1</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Effective tax rate</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w:t>
            </w:r>
          </w:p>
        </w:tc>
        <w:tc>
          <w:tcPr>
            <w:tcW w:w="194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31.6%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December 31, 2009, we had net operating losses and general business credit carry forwards for federal income tax purposes of approximately $59.3 million and $3.2 million, respectively, which begin to expire in 2020. Additionally, for state income tax purposes, we had net operating loss carry forwards of approximately $195.8 million, which begin to expire in 2010. For state income tax purposes, we also had research and investment credit carry forwards of approximately $49.2 million, of which approximately $46.9 million begin to expire in 2010, with the remainder having no prescribed expiration date.</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taxable income and income tax liability and projections for future taxable income over the periods in which the deferred tax assets are utilizable, we believe it is more likely than not that we will realize the benefits of our entire deferred tax assets. In the event that actual results differ from our estimates or we adjust our estimates in future periods, we may need to establish a valuation allowance, which could materially impact our financial position and results of operations.</w:t>
      </w:r>
    </w:p>
    <w:p>
      <w:pPr>
        <w:spacing w:after="0" w:line="67"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As of December 31, 2009, undistributed foreign earnings of non-U.S. subsidiaries included in consolidated retained earnings aggregated approximately $2.2 billion. We intend to reinvest these earnings indefinitely in operations outside the U.S. It is not practicable to estimate the amount of additional tax that might be payable if such earnings were remitted to the U.S.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Uncertainty in Income Taxes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Effective January 1, 2007, we adopted a new accounting standard concerning the accounting for income tax contingencies. This standard clarified the accounting for uncertainty in income taxes recognized in an enterprise’s financial statements. As a result of the adoption,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our unrecognized tax benefits is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147.1</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and our subsidiaries are routinely examined by various taxing authorities. We file income tax returns in the U.S. federal jurisdiction, and various states and foreign jurisdictions. With few exceptions, we are no longer subject to U.S. federal tax examination for years before 2007 or state, local, or non-U.S. income tax examinations by tax authorities for years before 2001.</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Included in the balance of unrecognized tax benefits as of December 31, 2009, 2008, and 2007 are $42.8 million, $155.1 million, and $110.5 million (net of the federal benefit on state issues), respectively, of unrecognized tax benefits that, if recognized, would affect the effective income tax rate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do not anticipate any significant changes in our positions in the next twelve months other than expected settlements which have been classified as current liabilities within the accompanying balance sheet.</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recognize potential interest and penalties accrued related to unrecognized tax benefits in income tax expense. During 2009 we recognized a net interest benefit of approximately $3.1 million. During 2008 and 2007, we recognized approximately $16.1 million and $14.5 million in interest expense, respectively. We have accrued approximately $33.1 million and $47.7 million for the payment of interest as of December 31, 2009 and 2008, respectively.</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Contingency</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September 2006, the Massachusetts Department of Revenue (DOR) issued a Notice of Assessment against Biogen Idec MA, Inc. for $38.9 million of corporate excise tax for 2002, which includes associated interest and penalties. The assessment asserts that the portion of sales attributable to Massachusetts, the computation of our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research and development credits, and the availability of certain deductions were not appropriate, resulting in unpaid taxes for those years. In December 2006, we filed an abatement application with the DOR seeking abatements for 2001-2003, which was denied. In July 2007, we filed a petition with the Massachusetts Appellate Tax Board seeking abatements of corporate excise tax for 2001-2003 and adjustments in certain credits and credit carryforwards for 2001-2003. We anticipate that the trial will take place in 2010. In the fourth quarter of 2009, the DOR completed its audit fieldwork of our 2004, 2005 and 2006 tax filings. We believe that the DOR may make an assessment for taxes, interest and penalties claiming that our computation and deductions for these periods were also inappropriate. We believe that positions taken in our tax filings are valid and we have meritorious defenses to the assessment. We will vigorously oppose the assessment through the appeals and litigation process.</w:t>
      </w:r>
    </w:p>
    <w:p>
      <w:pPr>
        <w:spacing w:after="0" w:line="72" w:lineRule="exact"/>
        <w:rPr>
          <w:sz w:val="20"/>
          <w:szCs w:val="20"/>
          <w:color w:val="auto"/>
        </w:rPr>
      </w:pPr>
    </w:p>
    <w:p>
      <w:pPr>
        <w:jc w:val="both"/>
        <w:ind w:left="680" w:right="40" w:firstLine="399"/>
        <w:spacing w:after="0" w:line="320" w:lineRule="auto"/>
        <w:rPr>
          <w:sz w:val="20"/>
          <w:szCs w:val="20"/>
          <w:color w:val="auto"/>
        </w:rPr>
      </w:pPr>
      <w:r>
        <w:rPr>
          <w:rFonts w:ascii="Arial" w:cs="Arial" w:eastAsia="Arial" w:hAnsi="Arial"/>
          <w:sz w:val="12"/>
          <w:szCs w:val="12"/>
          <w:color w:val="auto"/>
        </w:rPr>
        <w:t>Our tax filings for 2007 and 2008 have not yet been audited by the DOR but have been prepared in a manner consistent with prior filings which may result in an assessment for those years. Due to tax law changes effective January 1, 2009, the computations and deductions at issue in previous tax filings will not be part of our tax filings starting in 2009.</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There is a possibility that we may not prevail in defending all of our assertions with the DOR. If these matters are resolved unfavorably in the future, the resolution could have a material adverse impact on our future effective tax rate and our results of operations.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Settlements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During 2007, the IRS completed its examination of our consolidated federal income tax returns for our fiscal years 2003 and 2004. We subsequently paid amounts related to issues agreed to with the IRS, appealed several other issues and adjusted our income tax contingencies based on the result of the examination.</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2009, the IRS completed its examination of our consolidated income tax returns for our fiscal years 2005 and 2006. We then reached an agreement to pay an amount to settle all matters related to the 2005 and 2006 years and resolve those matters under appeal related to 2003 and 2004. There are no remaining U.S. federal income tax contingencies for the periods prior to tax year 2007.</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During 2009, the California Franchise Tax Board completed its examination of our worldwide income tax returns for fiscal years 2003 through 2007 and issued assessments for each period. We agreed to these assessments and will make payments to settle all matters related to these audits. There are no remaining California income tax contingencies related to the periods prior to tax year 2008.</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also reached agreement with Arizona concerning our outstanding matters in that state and completed an audit of our transfer pricing in Denmark.</w:t>
      </w:r>
    </w:p>
    <w:p>
      <w:pPr>
        <w:spacing w:after="0" w:line="96"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As a result of these 2009 domestic settlements, and completion of the related audits, we have made payments totaling approximately $118.0 million during 2009 and will make payments of approximately $105.0 million in the first half of 2010, which have been accrued as of December 31, 2009. We have also reduced our net unrecognized tax benefits by approximately $123.5 million, of which approximately $28.0 million was recorded as a benefit in our consolidated statement of income in 2009.</w:t>
      </w:r>
    </w:p>
    <w:p>
      <w:pPr>
        <w:spacing w:after="0" w:line="85"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Collaborations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connection with our business strategy, we have entered into various collaboration agreements which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5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Effective January 1, 2009, we adopted a newly issued accounting standard for the accounting and disclosure of an entity’s collaborative arrangements. This newly issued standard prescribes that certain transactions between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79" w:lineRule="auto"/>
        <w:rPr>
          <w:sz w:val="20"/>
          <w:szCs w:val="20"/>
          <w:color w:val="auto"/>
        </w:rPr>
      </w:pPr>
      <w:r>
        <w:rPr>
          <w:rFonts w:ascii="Arial" w:cs="Arial" w:eastAsia="Arial" w:hAnsi="Arial"/>
          <w:sz w:val="12"/>
          <w:szCs w:val="12"/>
          <w:color w:val="auto"/>
        </w:rPr>
        <w:t xml:space="preserve">collaborators be recorded in the income statement on either a gross or net basis, depending on the characteristics of the collaboration relationship, and provides for enhanced disclosure of collaborative relationships. In accordance with this guidance, we must also evaluate our collaborative agreements for proper income statement classification based on the nature of the underlying activity. Amounts due from our collaborative partners related to development activities are generally reflected as a reduction of research and development expense because the performance of contract development services is not central to our operations. For collaborations with commercialized products, if we are the principal (as defined in reporting revenue as a principal versus net as an agent as required by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Topic of the Codification) we record revenue and the corresponding operating costs in their respective line items within our consolidated statements of income. If we are not the principal, we record operating costs as a reduction of revenue. The guidance describes the principal as the party who is responsible for delivering the product or service to the customer, has latitude to determine price, and has the risks and rewards of providing product or service to the customer, including inventory and credit risk. The adoption of this newly issued accounting standard did not impact our financial position or results of operations; however it resulted in enhanced disclosures for our collaboration activities.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Roche Group — Genentech</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collaborate with the Roche Group, through its wholly-owned member Genentech, Inc., on the development and commercialization of RITUXAN. We also have rights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collaborate with Genentech on the development and commercialization of (1) anti-CD20 products that Genentech acquires or develops, which we refer to as New Anti-CD20 Products, and</w:t>
      </w:r>
    </w:p>
    <w:p>
      <w:pPr>
        <w:spacing w:after="0" w:line="19" w:lineRule="exact"/>
        <w:rPr>
          <w:sz w:val="20"/>
          <w:szCs w:val="20"/>
          <w:color w:val="auto"/>
        </w:rPr>
      </w:pPr>
    </w:p>
    <w:p>
      <w:pPr>
        <w:ind w:left="680" w:firstLine="7"/>
        <w:spacing w:after="0" w:line="277" w:lineRule="auto"/>
        <w:tabs>
          <w:tab w:leader="none" w:pos="866" w:val="left"/>
        </w:tabs>
        <w:numPr>
          <w:ilvl w:val="0"/>
          <w:numId w:val="53"/>
        </w:numPr>
        <w:rPr>
          <w:rFonts w:ascii="Arial" w:cs="Arial" w:eastAsia="Arial" w:hAnsi="Arial"/>
          <w:sz w:val="12"/>
          <w:szCs w:val="12"/>
          <w:color w:val="auto"/>
        </w:rPr>
      </w:pPr>
      <w:r>
        <w:rPr>
          <w:rFonts w:ascii="Arial" w:cs="Arial" w:eastAsia="Arial" w:hAnsi="Arial"/>
          <w:sz w:val="12"/>
          <w:szCs w:val="12"/>
          <w:color w:val="auto"/>
        </w:rPr>
        <w:t>anti-CD20 products that Genentech licenses from a third party, which we refer to as Third Party Anti-CD20 Products. Currently, there is only one New Anti-CD20 Product, ocrelizumab, and only one Third Party Anti-CD20 Product, GA101. Our collaboration rights for New Anti-CD20 Products are limited to the U.S. and our collaboration rights for Third Party Anti-CD20 Products are dependent upon Genentech’s underlying license rights. A joint development committee (JDC) composed of three members from each company must unanimously approve a development plan for each specific indication of certain pharmaceutical products, and Genentech has responsibility for implementing JDC approved development plans in accordance with the provisions of our collaboration agreement. In the event that we undergo a change in control, as defined in the collaboration agreement, Genentech has the right to present an offer to buy the rights to RITUXAN, and we must either accept Genentech’s offer or purchase Genentech’s rights to RITUXAN on the same terms as its offer. If Genentech presents such an offer, then they will be deemed concurrently to have exercised a right, in exchange for a royalty on net sales in the U.S. of any anti-CD20 product acquired or developed by Genentech or any anti-CD20 product that Genentech licenses from a third party that is developed under the agreement, to purchase our interest in each such product. Our collaboration with Genentech was created through a contractual arrangement and not through a joint venture or other legal entity.</w:t>
      </w:r>
    </w:p>
    <w:p>
      <w:pPr>
        <w:spacing w:after="0" w:line="6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While Genentech is responsible for the worldwide manufacturing of RITUXAN, development and commercialization rights and responsibilities under this collaboration are divided as follows: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share with Genentech co-exclusive rights to develop, commercialize and market RITUXAN and New Anti-CD20 Products in the U.S. Although we contribute to the marketing and continued development of RITUXAN, we have a limited sales force dedicated to RITUXAN and limited development activity. Genentech is primarily responsible for the commercialization of RITUXAN in the U.S. Its responsibilities include selling and marketing, customer service, order entry, distribution, shipping and billing, and other administrative support. Genentech also incurs the majority of continuing development costs for RITUXAN.</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Canada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Genentech have assigned our rights to develop, commercialize and market RITUXAN, in Canada to Roche.</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Outside the U.S. and Canada</w:t>
      </w:r>
    </w:p>
    <w:p>
      <w:pPr>
        <w:spacing w:after="0" w:line="96"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We have granted Genentech exclusive rights to develop, commercialize and market RITUXAN outside the U.S. and Canada. Under the terms of separate sublicense agreements between Genentech and Roche, development and commercialization of RITUXAN outside the U.S. and Canada is the responsibility of Roche and its sublicensees. We do not have any direct contractual arrangements with Roche or it sublicensees.</w:t>
      </w:r>
    </w:p>
    <w:p>
      <w:pPr>
        <w:spacing w:after="0" w:line="67"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Revenues from unconsolidated joint business consists of (1) our share of pretax co-promotion profits in the U.S. (2) reimbursement of our selling and development expenses in the U.S.; and (3) revenue on sales of RITUXAN in the rest of world, which consist of our share of pretax co-promotion profits in Canada and royalty revenue on sales of RITUXAN outside the U.S. and Canada by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expenses, and joint development expenses incurred by Genentech, Roche and us. We record our royalty and co-promotion profits revenue on sales of RITUXAN in the rest of world on a cash basis.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unconsolidated joint business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For the 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Biogen Idec’s share of co-promotion profits in the U.S.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773.6</w:t>
            </w:r>
          </w:p>
        </w:tc>
        <w:tc>
          <w:tcPr>
            <w:tcW w:w="4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616.8</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Reimbursement of selling and development expenses in the U.S.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65.6</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on sales of RITUXAN in the rest of world</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4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250.8</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unconsolidated joint business revenues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1,094.9</w:t>
            </w:r>
          </w:p>
        </w:tc>
        <w:tc>
          <w:tcPr>
            <w:tcW w:w="4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1,128.</w:t>
            </w:r>
            <w:r>
              <w:rPr>
                <w:rFonts w:ascii="Arial" w:cs="Arial" w:eastAsia="Arial" w:hAnsi="Arial"/>
                <w:sz w:val="13"/>
                <w:szCs w:val="13"/>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collaboration agreement, our current pretax co-promotion profit-sharing formula, which resets annually, provides for a 30% share of co-promotion profits on the first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$50.0 million of co-promotion operating profit with our share increasing to 40% if co-promotion operating profits exceed $50.0 million. In 2009, 2008, and 2007, the 40% threshold was met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the first quarter.</w:t>
      </w:r>
    </w:p>
    <w:p>
      <w:pPr>
        <w:spacing w:after="0" w:line="89" w:lineRule="exact"/>
        <w:rPr>
          <w:sz w:val="20"/>
          <w:szCs w:val="20"/>
          <w:color w:val="auto"/>
        </w:rPr>
      </w:pPr>
    </w:p>
    <w:p>
      <w:pPr>
        <w:jc w:val="both"/>
        <w:ind w:left="680" w:right="980" w:firstLine="399"/>
        <w:spacing w:after="0" w:line="264" w:lineRule="auto"/>
        <w:rPr>
          <w:sz w:val="20"/>
          <w:szCs w:val="20"/>
          <w:color w:val="auto"/>
        </w:rPr>
      </w:pPr>
      <w:r>
        <w:rPr>
          <w:rFonts w:ascii="Arial" w:cs="Arial" w:eastAsia="Arial" w:hAnsi="Arial"/>
          <w:sz w:val="13"/>
          <w:szCs w:val="13"/>
          <w:color w:val="auto"/>
        </w:rPr>
        <w:t>Our agreement with Genentech provides that the successful development and commercialization of the first New Anti-CD20 Product will decrease our percentage of co-promotion profits of the collaboration. Specifically, for each calendar year or portion thereof following the approval date of the first New Anti-CD20 Product, the pretax co-promotion profit-sharing formula for RITUXAN and New Anti-CD20 Products sold by us and Genentech will change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5240" w:type="dxa"/>
            <w:vAlign w:val="bottom"/>
          </w:tcPr>
          <w:p>
            <w:pPr>
              <w:ind w:left="2480"/>
              <w:spacing w:after="0"/>
              <w:rPr>
                <w:sz w:val="20"/>
                <w:szCs w:val="20"/>
                <w:color w:val="auto"/>
              </w:rPr>
            </w:pPr>
            <w:r>
              <w:rPr>
                <w:rFonts w:ascii="Arial" w:cs="Arial" w:eastAsia="Arial" w:hAnsi="Arial"/>
                <w:sz w:val="10"/>
                <w:szCs w:val="10"/>
                <w:b w:val="1"/>
                <w:bCs w:val="1"/>
                <w:color w:val="auto"/>
              </w:rPr>
              <w:t>First New Anti-CD20 Product</w:t>
            </w:r>
          </w:p>
        </w:tc>
        <w:tc>
          <w:tcPr>
            <w:tcW w:w="1920" w:type="dxa"/>
            <w:vAlign w:val="bottom"/>
          </w:tcPr>
          <w:p>
            <w:pPr>
              <w:jc w:val="right"/>
              <w:ind w:right="459"/>
              <w:spacing w:after="0"/>
              <w:rPr>
                <w:sz w:val="20"/>
                <w:szCs w:val="20"/>
                <w:color w:val="auto"/>
              </w:rPr>
            </w:pPr>
            <w:r>
              <w:rPr>
                <w:rFonts w:ascii="Arial" w:cs="Arial" w:eastAsia="Arial" w:hAnsi="Arial"/>
                <w:sz w:val="10"/>
                <w:szCs w:val="10"/>
                <w:b w:val="1"/>
                <w:bCs w:val="1"/>
                <w:color w:val="auto"/>
              </w:rPr>
              <w:t>Biogen Idec’s Share</w:t>
            </w:r>
          </w:p>
        </w:tc>
        <w:tc>
          <w:tcPr>
            <w:tcW w:w="800" w:type="dxa"/>
            <w:vAlign w:val="bottom"/>
          </w:tcPr>
          <w:p>
            <w:pPr>
              <w:spacing w:after="0"/>
              <w:rPr>
                <w:sz w:val="10"/>
                <w:szCs w:val="10"/>
                <w:color w:val="auto"/>
              </w:rPr>
            </w:pPr>
          </w:p>
        </w:tc>
      </w:tr>
      <w:tr>
        <w:trPr>
          <w:trHeight w:val="135"/>
        </w:trPr>
        <w:tc>
          <w:tcPr>
            <w:tcW w:w="3500" w:type="dxa"/>
            <w:vAlign w:val="bottom"/>
          </w:tcPr>
          <w:p>
            <w:pPr>
              <w:ind w:left="680"/>
              <w:spacing w:after="0"/>
              <w:rPr>
                <w:sz w:val="20"/>
                <w:szCs w:val="20"/>
                <w:color w:val="auto"/>
              </w:rPr>
            </w:pPr>
            <w:r>
              <w:rPr>
                <w:rFonts w:ascii="Arial" w:cs="Arial" w:eastAsia="Arial" w:hAnsi="Arial"/>
                <w:sz w:val="10"/>
                <w:szCs w:val="10"/>
                <w:b w:val="1"/>
                <w:bCs w:val="1"/>
                <w:color w:val="auto"/>
              </w:rPr>
              <w:t>Co-promotion Operating Profits</w:t>
            </w:r>
          </w:p>
        </w:tc>
        <w:tc>
          <w:tcPr>
            <w:tcW w:w="5240" w:type="dxa"/>
            <w:vAlign w:val="bottom"/>
          </w:tcPr>
          <w:p>
            <w:pPr>
              <w:ind w:left="3140"/>
              <w:spacing w:after="0"/>
              <w:rPr>
                <w:sz w:val="20"/>
                <w:szCs w:val="20"/>
                <w:color w:val="auto"/>
              </w:rPr>
            </w:pPr>
            <w:r>
              <w:rPr>
                <w:rFonts w:ascii="Arial" w:cs="Arial" w:eastAsia="Arial" w:hAnsi="Arial"/>
                <w:sz w:val="10"/>
                <w:szCs w:val="10"/>
                <w:b w:val="1"/>
                <w:bCs w:val="1"/>
                <w:color w:val="auto"/>
              </w:rPr>
              <w:t>U.S. Gross Product Sales</w:t>
            </w: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rPr>
              <w:t>of Co-promotion Profits</w:t>
            </w:r>
          </w:p>
        </w:tc>
        <w:tc>
          <w:tcPr>
            <w:tcW w:w="800" w:type="dxa"/>
            <w:vAlign w:val="bottom"/>
          </w:tcPr>
          <w:p>
            <w:pPr>
              <w:spacing w:after="0"/>
              <w:rPr>
                <w:sz w:val="11"/>
                <w:szCs w:val="11"/>
                <w:color w:val="auto"/>
              </w:rPr>
            </w:pPr>
          </w:p>
        </w:tc>
      </w:tr>
      <w:tr>
        <w:trPr>
          <w:trHeight w:val="178"/>
        </w:trPr>
        <w:tc>
          <w:tcPr>
            <w:tcW w:w="3500" w:type="dxa"/>
            <w:vAlign w:val="bottom"/>
          </w:tcPr>
          <w:p>
            <w:pPr>
              <w:ind w:left="680"/>
              <w:spacing w:after="0"/>
              <w:rPr>
                <w:sz w:val="20"/>
                <w:szCs w:val="20"/>
                <w:color w:val="auto"/>
              </w:rPr>
            </w:pPr>
            <w:r>
              <w:rPr>
                <w:rFonts w:ascii="Arial" w:cs="Arial" w:eastAsia="Arial" w:hAnsi="Arial"/>
                <w:sz w:val="13"/>
                <w:szCs w:val="13"/>
                <w:color w:val="auto"/>
              </w:rPr>
              <w:t>First $50 million(1)</w:t>
            </w:r>
          </w:p>
        </w:tc>
        <w:tc>
          <w:tcPr>
            <w:tcW w:w="5240" w:type="dxa"/>
            <w:vAlign w:val="bottom"/>
          </w:tcPr>
          <w:p>
            <w:pPr>
              <w:ind w:left="1360"/>
              <w:spacing w:after="0"/>
              <w:rPr>
                <w:sz w:val="20"/>
                <w:szCs w:val="20"/>
                <w:color w:val="auto"/>
              </w:rPr>
            </w:pPr>
            <w:r>
              <w:rPr>
                <w:rFonts w:ascii="Arial" w:cs="Arial" w:eastAsia="Arial" w:hAnsi="Arial"/>
                <w:sz w:val="13"/>
                <w:szCs w:val="13"/>
                <w:color w:val="auto"/>
              </w:rPr>
              <w:t>Not Applicable</w:t>
            </w:r>
          </w:p>
        </w:tc>
        <w:tc>
          <w:tcPr>
            <w:tcW w:w="1920" w:type="dxa"/>
            <w:vAlign w:val="bottom"/>
          </w:tcPr>
          <w:p>
            <w:pPr>
              <w:jc w:val="right"/>
              <w:ind w:right="719"/>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5"/>
                <w:szCs w:val="15"/>
                <w:color w:val="auto"/>
              </w:rPr>
            </w:pPr>
          </w:p>
        </w:tc>
      </w:tr>
      <w:tr>
        <w:trPr>
          <w:trHeight w:val="157"/>
        </w:trPr>
        <w:tc>
          <w:tcPr>
            <w:tcW w:w="3500" w:type="dxa"/>
            <w:vAlign w:val="bottom"/>
          </w:tcPr>
          <w:p>
            <w:pPr>
              <w:ind w:left="680"/>
              <w:spacing w:after="0"/>
              <w:rPr>
                <w:sz w:val="20"/>
                <w:szCs w:val="20"/>
                <w:color w:val="auto"/>
              </w:rPr>
            </w:pPr>
            <w:r>
              <w:rPr>
                <w:rFonts w:ascii="Arial" w:cs="Arial" w:eastAsia="Arial" w:hAnsi="Arial"/>
                <w:sz w:val="13"/>
                <w:szCs w:val="13"/>
                <w:color w:val="auto"/>
              </w:rPr>
              <w:t>Greater than $50 million</w:t>
            </w:r>
          </w:p>
        </w:tc>
        <w:tc>
          <w:tcPr>
            <w:tcW w:w="5240" w:type="dxa"/>
            <w:vAlign w:val="bottom"/>
          </w:tcPr>
          <w:p>
            <w:pPr>
              <w:ind w:left="1360"/>
              <w:spacing w:after="0"/>
              <w:rPr>
                <w:sz w:val="20"/>
                <w:szCs w:val="20"/>
                <w:color w:val="auto"/>
              </w:rPr>
            </w:pPr>
            <w:r>
              <w:rPr>
                <w:rFonts w:ascii="Arial" w:cs="Arial" w:eastAsia="Arial" w:hAnsi="Arial"/>
                <w:sz w:val="13"/>
                <w:szCs w:val="13"/>
                <w:color w:val="auto"/>
              </w:rPr>
              <w:t>Until such sales exceed $150 million in any calendar year(2)</w:t>
            </w:r>
          </w:p>
        </w:tc>
        <w:tc>
          <w:tcPr>
            <w:tcW w:w="1920" w:type="dxa"/>
            <w:vAlign w:val="bottom"/>
          </w:tcPr>
          <w:p>
            <w:pPr>
              <w:jc w:val="right"/>
              <w:ind w:right="719"/>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5240" w:type="dxa"/>
            <w:vAlign w:val="bottom"/>
          </w:tcPr>
          <w:p>
            <w:pPr>
              <w:ind w:left="3080"/>
              <w:spacing w:after="0"/>
              <w:rPr>
                <w:sz w:val="20"/>
                <w:szCs w:val="20"/>
                <w:color w:val="auto"/>
              </w:rPr>
            </w:pPr>
            <w:r>
              <w:rPr>
                <w:rFonts w:ascii="Arial" w:cs="Arial" w:eastAsia="Arial" w:hAnsi="Arial"/>
                <w:sz w:val="13"/>
                <w:szCs w:val="13"/>
                <w:color w:val="auto"/>
              </w:rPr>
              <w:t>Or</w:t>
            </w:r>
          </w:p>
        </w:tc>
        <w:tc>
          <w:tcPr>
            <w:tcW w:w="1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5240" w:type="dxa"/>
            <w:vAlign w:val="bottom"/>
          </w:tcPr>
          <w:p>
            <w:pPr>
              <w:ind w:left="1360"/>
              <w:spacing w:after="0"/>
              <w:rPr>
                <w:sz w:val="20"/>
                <w:szCs w:val="20"/>
                <w:color w:val="auto"/>
              </w:rPr>
            </w:pPr>
            <w:r>
              <w:rPr>
                <w:rFonts w:ascii="Arial" w:cs="Arial" w:eastAsia="Arial" w:hAnsi="Arial"/>
                <w:sz w:val="13"/>
                <w:szCs w:val="13"/>
                <w:color w:val="auto"/>
                <w:w w:val="98"/>
              </w:rPr>
              <w:t>After such sales exceed $150 million in any calendar year until such</w:t>
            </w:r>
          </w:p>
        </w:tc>
        <w:tc>
          <w:tcPr>
            <w:tcW w:w="1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5240" w:type="dxa"/>
            <w:vAlign w:val="bottom"/>
          </w:tcPr>
          <w:p>
            <w:pPr>
              <w:ind w:left="1360"/>
              <w:spacing w:after="0"/>
              <w:rPr>
                <w:sz w:val="20"/>
                <w:szCs w:val="20"/>
                <w:color w:val="auto"/>
              </w:rPr>
            </w:pPr>
            <w:r>
              <w:rPr>
                <w:rFonts w:ascii="Arial" w:cs="Arial" w:eastAsia="Arial" w:hAnsi="Arial"/>
                <w:sz w:val="13"/>
                <w:szCs w:val="13"/>
                <w:color w:val="auto"/>
              </w:rPr>
              <w:t>sales exceed $350 million in any calendar year(3)</w:t>
            </w:r>
          </w:p>
        </w:tc>
        <w:tc>
          <w:tcPr>
            <w:tcW w:w="1920" w:type="dxa"/>
            <w:vAlign w:val="bottom"/>
          </w:tcPr>
          <w:p>
            <w:pPr>
              <w:jc w:val="right"/>
              <w:ind w:right="719"/>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5240" w:type="dxa"/>
            <w:vAlign w:val="bottom"/>
          </w:tcPr>
          <w:p>
            <w:pPr>
              <w:ind w:left="3080"/>
              <w:spacing w:after="0"/>
              <w:rPr>
                <w:sz w:val="20"/>
                <w:szCs w:val="20"/>
                <w:color w:val="auto"/>
              </w:rPr>
            </w:pPr>
            <w:r>
              <w:rPr>
                <w:rFonts w:ascii="Arial" w:cs="Arial" w:eastAsia="Arial" w:hAnsi="Arial"/>
                <w:sz w:val="13"/>
                <w:szCs w:val="13"/>
                <w:color w:val="auto"/>
              </w:rPr>
              <w:t>Or</w:t>
            </w:r>
          </w:p>
        </w:tc>
        <w:tc>
          <w:tcPr>
            <w:tcW w:w="1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3500" w:type="dxa"/>
            <w:vAlign w:val="bottom"/>
          </w:tcPr>
          <w:p>
            <w:pPr>
              <w:spacing w:after="0"/>
              <w:rPr>
                <w:sz w:val="14"/>
                <w:szCs w:val="14"/>
                <w:color w:val="auto"/>
              </w:rPr>
            </w:pPr>
          </w:p>
        </w:tc>
        <w:tc>
          <w:tcPr>
            <w:tcW w:w="5240" w:type="dxa"/>
            <w:vAlign w:val="bottom"/>
          </w:tcPr>
          <w:p>
            <w:pPr>
              <w:ind w:left="1360"/>
              <w:spacing w:after="0"/>
              <w:rPr>
                <w:sz w:val="20"/>
                <w:szCs w:val="20"/>
                <w:color w:val="auto"/>
              </w:rPr>
            </w:pPr>
            <w:r>
              <w:rPr>
                <w:rFonts w:ascii="Arial" w:cs="Arial" w:eastAsia="Arial" w:hAnsi="Arial"/>
                <w:sz w:val="13"/>
                <w:szCs w:val="13"/>
                <w:color w:val="auto"/>
              </w:rPr>
              <w:t>After such sales exceed $350 million in any calendar year(4)</w:t>
            </w:r>
          </w:p>
        </w:tc>
        <w:tc>
          <w:tcPr>
            <w:tcW w:w="1920" w:type="dxa"/>
            <w:vAlign w:val="bottom"/>
          </w:tcPr>
          <w:p>
            <w:pPr>
              <w:jc w:val="right"/>
              <w:ind w:right="719"/>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4"/>
                <w:szCs w:val="14"/>
                <w:color w:val="auto"/>
              </w:rPr>
            </w:pPr>
          </w:p>
        </w:tc>
      </w:tr>
      <w:tr>
        <w:trPr>
          <w:trHeight w:val="452"/>
        </w:trPr>
        <w:tc>
          <w:tcPr>
            <w:tcW w:w="3500" w:type="dxa"/>
            <w:vAlign w:val="bottom"/>
          </w:tcPr>
          <w:p>
            <w:pPr>
              <w:spacing w:after="0"/>
              <w:rPr>
                <w:sz w:val="24"/>
                <w:szCs w:val="24"/>
                <w:color w:val="auto"/>
              </w:rPr>
            </w:pPr>
          </w:p>
        </w:tc>
        <w:tc>
          <w:tcPr>
            <w:tcW w:w="5240" w:type="dxa"/>
            <w:vAlign w:val="bottom"/>
          </w:tcPr>
          <w:p>
            <w:pPr>
              <w:ind w:left="2060"/>
              <w:spacing w:after="0"/>
              <w:rPr>
                <w:sz w:val="20"/>
                <w:szCs w:val="20"/>
                <w:color w:val="auto"/>
              </w:rPr>
            </w:pPr>
            <w:r>
              <w:rPr>
                <w:rFonts w:ascii="Arial" w:cs="Arial" w:eastAsia="Arial" w:hAnsi="Arial"/>
                <w:sz w:val="13"/>
                <w:szCs w:val="13"/>
                <w:color w:val="auto"/>
              </w:rPr>
              <w:t>F-49</w:t>
            </w: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500" w:type="dxa"/>
            <w:vAlign w:val="bottom"/>
            <w:tcBorders>
              <w:bottom w:val="single" w:sz="8" w:color="808080"/>
            </w:tcBorders>
          </w:tcPr>
          <w:p>
            <w:pPr>
              <w:spacing w:after="0"/>
              <w:rPr>
                <w:sz w:val="14"/>
                <w:szCs w:val="14"/>
                <w:color w:val="auto"/>
              </w:rPr>
            </w:pPr>
          </w:p>
        </w:tc>
        <w:tc>
          <w:tcPr>
            <w:tcW w:w="524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-1132205</wp:posOffset>
            </wp:positionV>
            <wp:extent cx="2476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-1132205</wp:posOffset>
            </wp:positionV>
            <wp:extent cx="1841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right="340" w:hanging="259"/>
        <w:spacing w:after="0" w:line="276"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Not applicable in the calendar year the first New Anti-CD20 Product is approved if $50 million in co-promotion operating profits has already been achieved in such calendar year through sales of RITUXAN.</w:t>
      </w:r>
    </w:p>
    <w:p>
      <w:pPr>
        <w:spacing w:after="0" w:line="10" w:lineRule="exact"/>
        <w:rPr>
          <w:rFonts w:ascii="Arial" w:cs="Arial" w:eastAsia="Arial" w:hAnsi="Arial"/>
          <w:sz w:val="13"/>
          <w:szCs w:val="13"/>
          <w:color w:val="auto"/>
        </w:rPr>
      </w:pPr>
    </w:p>
    <w:p>
      <w:pPr>
        <w:ind w:left="1000" w:right="60" w:hanging="259"/>
        <w:spacing w:after="0" w:line="264"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we are recording our share of RITUXAN co-promotion profits at 40%, upon the approval date of the first New Anti-CD20 Product, our share of co-promotion profits for RITUXAN and the New Anti-CD20 Product will be immediately reduced to 38% following the approval date of the first New Anti-CD20 Product until the $150 million in first New Anti-CD20 Product sales level is achieved.</w:t>
      </w:r>
    </w:p>
    <w:p>
      <w:pPr>
        <w:spacing w:after="0" w:line="17" w:lineRule="exact"/>
        <w:rPr>
          <w:rFonts w:ascii="Arial" w:cs="Arial" w:eastAsia="Arial" w:hAnsi="Arial"/>
          <w:sz w:val="13"/>
          <w:szCs w:val="13"/>
          <w:color w:val="auto"/>
        </w:rPr>
      </w:pPr>
    </w:p>
    <w:p>
      <w:pPr>
        <w:ind w:left="1000" w:right="120" w:hanging="259"/>
        <w:spacing w:after="0" w:line="260"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$150 million in first New Anti-CD20 Product sales is achieved in the same calendar year the first New Anti-CD20 Product receives approval, then the 35% co-promotion profit-sharing rate will not be effective until January 1 of the following calendar year. Once the $150 million in first New Anti-CD20 Product sales level is achieved then our share of co-promotion profits for the balance of the year and all subsequent years (after the first $50 million in co-promotion operating profits in such years) will be 35% until the $350 million in first New Anti-CD20 Product sales level is achieved.</w:t>
      </w:r>
    </w:p>
    <w:p>
      <w:pPr>
        <w:spacing w:after="0" w:line="20" w:lineRule="exact"/>
        <w:rPr>
          <w:rFonts w:ascii="Arial" w:cs="Arial" w:eastAsia="Arial" w:hAnsi="Arial"/>
          <w:sz w:val="13"/>
          <w:szCs w:val="13"/>
          <w:color w:val="auto"/>
        </w:rPr>
      </w:pPr>
    </w:p>
    <w:p>
      <w:pPr>
        <w:ind w:left="1000" w:right="140" w:hanging="259"/>
        <w:spacing w:after="0" w:line="289"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$350 million in first New Anti-CD20 Product sales is achieved in the same calendar year that $150 million in new product sales is achieved, then the 30% co-promotion profit-sharing rate will not be effective until January 1 of the following calendar year (or January 1 of the second following calendar year if the first New Anti-CD20 Product receives approval and, in the same calendar year, the $150 million and $350 million in first New Anti-CD20 Product sales levels are achieved). Once the $350 million in first New Anti-CD20 Product sales level is achieved then our share of co-promotion profits for the balance of the year and all subsequent years will be 30%.</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participate in Third Party Anti-CD20 Products on similar financial terms as for ocrelizumab.</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Currently, we record our share of the expenses incurred by the collaboration for the development of New Anti-CD20 Products and Third Party Anti-CD20 Products in research and development expense in our consolidated statements of income. We incurred $62.5 million, $43.6 million, and $26.1 million in development expense related to New Anti-CD20 Products and Third Party Anti-CD20 Products for the years ended December 31, 2009, 2008, and 2007, respectively. Reimbursement to Genentech for our share of these costs occurs through the net amount of co-promotion profits in the U.S. remitted to us. After a New Anti-CD20 Product or Third Party Anti-CD20 Product is approved, we will record our share of the development expenses related to that product as a reduction of our share of pretax co-promotion profits in revenues from unconsolidated joint business.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Elan</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We collaborate with Elan on the development, manufacture and commercialization of TYSABRI. Under the terms of our collaboration agreement, we manufacture TYSABRI and collaborate with Elan on the product’s marketing, commercial distribution and ongoing development activities. The agreement is designed to effect an equal sharing of profits and losses generated by the activities of our collaboration. Under the agreement, however, once sales of TYSABRI exceeded specific thresholds, Elan was required to make milestone payments to us in order to continue sharing equally in the collaboration’s results. As of December 31, 2009, Elan has made milestone payments to us of $75.0 million in the third quarter of 2008 and</w:t>
      </w:r>
    </w:p>
    <w:p>
      <w:pPr>
        <w:spacing w:after="0" w:line="2"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$50.0 million in the first quarter of 2009. We have recorded these amounts as deferred revenue upon receipt and are recognizing the entire $125.0 million as product revenue in our consolidated statements of income over the term of the collaboration agreement based on a units of revenue method whereby the revenue recognized is based on the ratio of units shipped in the current period over the total units expected to be shipped over the remaining term of the collaboration. No additional milestone payments are required under the agreement to maintain the current profit sharing split. Our collaboration agreement provides Elan or us with the option to buy the rights to TYSABRI in the event that the other company undergoes a change of control (as defined in the collaboration agreement).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the U.S., we sell TYSABRI to Elan who sells the product to third party distributors. Our sales price to Elan in the U.S. is set prior to the beginning of each quarterly period to effect an approximate equal sharing of the gross margin between Elan and us. We recognize revenue for sales in the U.S. of TYSABRI upon Elan’s shipment of the</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product to the third party distributors, at which time all revenue recognition criteria have been met. As of December 31, 2009 and 2008, we had deferred revenue of $23.6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 million, respectively, for shipments to Elan that remained in Elan’s ending inventory pending shipment of the product to the third party distributors. We incur manufacturing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distribution costs, research and development expenses, commercial expenses, and general and administrative expenses. We record these expenses to their respective line items within our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consolidated statements of income when they are incurred. Research and development and sales and marketing expenses are shared equally with Elan and the reimbursement of these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expenses is recorded as reductions of the respective expense categories. During the years ended December 31, 2009, 2008 and 2007, we recorded $25.3 million, $23.6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$21.5 million, respectively, as reductions of research and development expense for reimbursements from Elan. In addition, for the years ended December 31, 2009, 2008 and 2007,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recorded $62.5 million, $33.7 million, and $37.9 million, respectively, as reductions of selling, general and administrative expense for reimbursements from Elan.</w:t>
      </w:r>
    </w:p>
    <w:p>
      <w:pPr>
        <w:spacing w:after="0" w:line="8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the rest of world, we are responsible for distributing TYSABRI to customers and are primarily responsible for all operating activities. Generally, we recognize revenue for sales of TYSABRI in the rest of world at the time of product delivery to our customers. Payments are made to Elan for their share of the rest of world net operating profits to effect an equal sharing of collaboration operating profit. These payments also include the reimbursement for our portion of third-party royalties that Elan pays on behalf of the collaboration relating to rest of world sales. These amounts are reflected in the collaboration profit sharing line in our consolidated statements of income. For the years ended December 31, 2009, 2008 and 2007, $215.9 million, $136.0 million, and $14.1 million, respectively, was reflected in the collaboration profit sharing line for our collaboration with Elan. As rest of world sales of TYSABRI increase, our collaboration profit sharing expense is expected to increase.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Acorda</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On June 30, 2009, we entered into a collaboration and license agreement with Acorda Therapeutics, Inc. (Acorda) to develop and commercialize products containing fampridine in markets outside the U.S. The transaction represents a sublicensing of an existing license agreement between Acorda and Elan. The parties have also entered into a related supply agreement. The $110.0 million upfront payment made on July 1, 2009 to Acorda was recorded as research and development expense during the second quarter 2009 as the product candidate had not received regulatory approval. Fampridine was approved in the U.S. on January 22, 2010 under the trade name AMPYRA (dalfampridine). AMPYRA is indicated to improve walking in patients with MS. This was demonstrated by an increase in walking speed. Acorda is developing and marketing AMPYRA in the U.S.</w:t>
      </w:r>
    </w:p>
    <w:p>
      <w:pPr>
        <w:spacing w:after="0" w:line="55"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Under the terms of the agreement, we will commercialize fampridine and any aminopyridine products developed in our territory and will also have responsibility for regulatory activities and future clinical development of fampridine in those markets. We may incur additional milestone payments of up to $400.0 million based upon the successful achievement of regulatory and commercial sales milestones. We will also make tiered royalty payments to Acorda on sales outside of the U.S. The consideration that we pay for products will reflect all amounts due from Acorda to Elan for sales in markets outside the U.S., including royalties owed. We can also carry out future joint development activities under a cost-sharing arrangement.</w:t>
      </w:r>
    </w:p>
    <w:p>
      <w:pPr>
        <w:spacing w:after="0" w:line="3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Elan will continue to manufacture commercial supply of fampridine based upon its existing supply agreement with Acorda. Under the existing agreements with Elan, Acorda will pay Elan 7% of the upfront and milestone payments that Acorda receives from us.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left="80"/>
              <w:spacing w:after="0"/>
              <w:rPr>
                <w:sz w:val="20"/>
                <w:szCs w:val="20"/>
                <w:color w:val="auto"/>
              </w:rPr>
            </w:pPr>
            <w:r>
              <w:rPr>
                <w:rFonts w:ascii="Arial" w:cs="Arial" w:eastAsia="Arial" w:hAnsi="Arial"/>
                <w:sz w:val="10"/>
                <w:szCs w:val="10"/>
                <w:b w:val="1"/>
                <w:bCs w:val="1"/>
                <w:color w:val="auto"/>
                <w:w w:val="94"/>
              </w:rPr>
              <w:t>For the Years Ended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2"/>
              </w:rPr>
              <w:t>December 31,</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2009</w:t>
            </w:r>
          </w:p>
        </w:tc>
        <w:tc>
          <w:tcPr>
            <w:tcW w:w="60" w:type="dxa"/>
            <w:vAlign w:val="bottom"/>
          </w:tcPr>
          <w:p>
            <w:pPr>
              <w:spacing w:after="0"/>
              <w:rPr>
                <w:sz w:val="8"/>
                <w:szCs w:val="8"/>
                <w:color w:val="auto"/>
              </w:rPr>
            </w:pPr>
          </w:p>
        </w:tc>
        <w:tc>
          <w:tcPr>
            <w:tcW w:w="580" w:type="dxa"/>
            <w:vAlign w:val="bottom"/>
            <w:gridSpan w:val="2"/>
          </w:tcPr>
          <w:p>
            <w:pPr>
              <w:jc w:val="center"/>
              <w:ind w:left="288"/>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2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Upfront and milestones payments made to Acorda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110.0</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7"/>
        </w:trPr>
        <w:tc>
          <w:tcPr>
            <w:tcW w:w="8120" w:type="dxa"/>
            <w:vAlign w:val="bottom"/>
            <w:gridSpan w:val="2"/>
          </w:tcPr>
          <w:p>
            <w:pPr>
              <w:spacing w:after="0"/>
              <w:rPr>
                <w:sz w:val="20"/>
                <w:szCs w:val="20"/>
                <w:color w:val="auto"/>
              </w:rPr>
            </w:pPr>
            <w:r>
              <w:rPr>
                <w:rFonts w:ascii="Arial" w:cs="Arial" w:eastAsia="Arial" w:hAnsi="Arial"/>
                <w:sz w:val="13"/>
                <w:szCs w:val="13"/>
                <w:color w:val="auto"/>
              </w:rPr>
              <w:t>Total expense incurred by Biogen Idec Inc. excluding upfront and milestone payments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c>
          <w:tcPr>
            <w:tcW w:w="340" w:type="dxa"/>
            <w:vAlign w:val="bottom"/>
          </w:tcPr>
          <w:p>
            <w:pPr>
              <w:spacing w:after="0"/>
              <w:rPr>
                <w:sz w:val="13"/>
                <w:szCs w:val="13"/>
                <w:color w:val="auto"/>
              </w:rPr>
            </w:pPr>
          </w:p>
        </w:tc>
        <w:tc>
          <w:tcPr>
            <w:tcW w:w="640" w:type="dxa"/>
            <w:vAlign w:val="bottom"/>
            <w:gridSpan w:val="2"/>
          </w:tcPr>
          <w:p>
            <w:pPr>
              <w:jc w:val="center"/>
              <w:ind w:right="400"/>
              <w:spacing w:after="0"/>
              <w:rPr>
                <w:sz w:val="20"/>
                <w:szCs w:val="20"/>
                <w:color w:val="auto"/>
              </w:rPr>
            </w:pPr>
            <w:r>
              <w:rPr>
                <w:rFonts w:ascii="Arial" w:cs="Arial" w:eastAsia="Arial" w:hAnsi="Arial"/>
                <w:sz w:val="13"/>
                <w:szCs w:val="13"/>
                <w:color w:val="auto"/>
              </w:rPr>
              <w:t>$ —</w:t>
            </w:r>
          </w:p>
        </w:tc>
        <w:tc>
          <w:tcPr>
            <w:tcW w:w="340" w:type="dxa"/>
            <w:vAlign w:val="bottom"/>
            <w:gridSpan w:val="2"/>
          </w:tcPr>
          <w:p>
            <w:pPr>
              <w:jc w:val="center"/>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7"/>
        </w:trPr>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expense reflected within our consolidated statements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114.7</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summary of activity related to this collaboration since inception, along with an estimate of additional future development expense expected to be incurred by us,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6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Acorda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110.0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fampridine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Neurimmune</w:t>
      </w:r>
    </w:p>
    <w:p>
      <w:pPr>
        <w:spacing w:after="0" w:line="96" w:lineRule="exact"/>
        <w:rPr>
          <w:sz w:val="20"/>
          <w:szCs w:val="20"/>
          <w:color w:val="auto"/>
        </w:rPr>
      </w:pPr>
    </w:p>
    <w:p>
      <w:pPr>
        <w:ind w:left="680" w:right="860" w:firstLine="399"/>
        <w:spacing w:after="0" w:line="258" w:lineRule="auto"/>
        <w:rPr>
          <w:sz w:val="20"/>
          <w:szCs w:val="20"/>
          <w:color w:val="auto"/>
        </w:rPr>
      </w:pPr>
      <w:r>
        <w:rPr>
          <w:rFonts w:ascii="Arial" w:cs="Arial" w:eastAsia="Arial" w:hAnsi="Arial"/>
          <w:sz w:val="13"/>
          <w:szCs w:val="13"/>
          <w:color w:val="auto"/>
        </w:rPr>
        <w:t>We have a collaboration agreement with Neurimmune SubOne AG (Neurimmune), a subsidiary of Neurimmune Therapeutics AG, for the development and commercialization of antibodies for the treatment of Alzheimer’s disease. Neurimmune will conduct research to identify potential therapeutic antibodies and we will be responsible for the development, manufacturing and commercialization of all products. We may pay Neurimmune up to $360.0 million in remaining milestone payments, as well as royalties on sales of any resulting commercial products. Milestone payments are reflected within our consolidated statements of income when achieved. The royalty term for sales in each country will be no less than 12 years from the first commercial sale of product using such compound in such country.</w:t>
      </w:r>
    </w:p>
    <w:p>
      <w:pPr>
        <w:spacing w:after="0" w:line="71"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 xml:space="preserve">We have determined that we are the primary beneficiary of Neurimmune in accordance with the guidance provided by the </w:t>
      </w:r>
      <w:r>
        <w:rPr>
          <w:rFonts w:ascii="Arial" w:cs="Arial" w:eastAsia="Arial" w:hAnsi="Arial"/>
          <w:sz w:val="12"/>
          <w:szCs w:val="12"/>
          <w:i w:val="1"/>
          <w:iCs w:val="1"/>
          <w:color w:val="auto"/>
        </w:rPr>
        <w:t>Consolidation</w:t>
      </w:r>
      <w:r>
        <w:rPr>
          <w:rFonts w:ascii="Arial" w:cs="Arial" w:eastAsia="Arial" w:hAnsi="Arial"/>
          <w:sz w:val="12"/>
          <w:szCs w:val="12"/>
          <w:color w:val="auto"/>
        </w:rPr>
        <w:t xml:space="preserve"> Topic of the Codification because we control the activities of the collaboration and are required to fund 100% of the research and development costs incurred in support of the collaboration agreement. As such, we consolidate the results of Neurimmune and recorded an IPR&amp;D charge of $34.3 million in 2007 upon signing of the collaboration agreement. The amount allocated to IPR&amp;D relates to the development of the Beta-Amyloid antibody compound which, as of the effective date of the agreement, had not reached technological feasibility and had no alternative future use. We allocated the IPR&amp;D charge to noncontrolling interest, as the IPR&amp;D charge represents the fair value of the underlying technology retained by the parent.</w:t>
      </w:r>
    </w:p>
    <w:p>
      <w:pPr>
        <w:spacing w:after="0" w:line="55"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assets and liabilities of Neurimmune are not significant as it is a research and development organization. Amounts that we reimburse Neurimmune for research and development expenses incurred in support of the collaboration are reflected in research and development expense in our statements of income.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8"/>
              </w:rPr>
              <w:t>For the Years Ended December 31,</w:t>
            </w:r>
          </w:p>
        </w:tc>
        <w:tc>
          <w:tcPr>
            <w:tcW w:w="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00" w:type="dxa"/>
            <w:vAlign w:val="bottom"/>
            <w:tcBorders>
              <w:bottom w:val="single" w:sz="8" w:color="auto"/>
            </w:tcBorders>
            <w:vMerge w:val="continue"/>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Upfront and milestone payments made to Neurimumune</w:t>
            </w:r>
          </w:p>
        </w:tc>
        <w:tc>
          <w:tcPr>
            <w:tcW w:w="3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7"/>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w w:val="94"/>
              </w:rPr>
              <w:t>Total expense incurred by Biogen Idec Inc. excluding upfront and milestone payments</w:t>
            </w:r>
          </w:p>
        </w:tc>
        <w:tc>
          <w:tcPr>
            <w:tcW w:w="33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9.0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w w:val="77"/>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 expense reflected within our consolidated statements of income</w:t>
            </w:r>
          </w:p>
        </w:tc>
        <w:tc>
          <w:tcPr>
            <w:tcW w:w="3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7"/>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80" w:type="dxa"/>
            <w:vAlign w:val="bottom"/>
            <w:gridSpan w:val="3"/>
          </w:tcPr>
          <w:p>
            <w:pPr>
              <w:jc w:val="right"/>
              <w:ind w:right="2960"/>
              <w:spacing w:after="0"/>
              <w:rPr>
                <w:sz w:val="20"/>
                <w:szCs w:val="20"/>
                <w:color w:val="auto"/>
              </w:rPr>
            </w:pPr>
            <w:r>
              <w:rPr>
                <w:rFonts w:ascii="Arial" w:cs="Arial" w:eastAsia="Arial" w:hAnsi="Arial"/>
                <w:sz w:val="13"/>
                <w:szCs w:val="13"/>
                <w:color w:val="auto"/>
              </w:rPr>
              <w:t>F-52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summary of activity related to this collaboration since inception, along with an estimate of additional future development expense expected to be incurred by us,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2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Neurimumune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the lead compound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530.0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Cardiokine</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We collaborate with Cardiokine Biopharma LLC (Cardiokine), a subsidiary of Cardiokine Inc., on the joint development of lixivaptan, an oral compound for the potential treatment of hyponatremia in patients with congestive heart failure. The royalty term under our collaboration agreement for sales in each country will be no less than 10 years from the first commercial sale of a lixivaptan product in such country. If successful, we will be responsible for certain development activities, manufacturing and global commercialization of lixivaptan, and Cardiokine has an option for limited co-promotion in the U.S. Based upon our current development plans, we may pay up to $125.0 million in remaining development milestone payments as well as royalties on commercial sales under the terms of our collaboration agreement.</w:t>
      </w:r>
    </w:p>
    <w:p>
      <w:pPr>
        <w:spacing w:after="0" w:line="71"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 xml:space="preserve">We have determined that we are the primary beneficiary of Cardiokine in accordance with the guidance provided by the </w:t>
      </w:r>
      <w:r>
        <w:rPr>
          <w:rFonts w:ascii="Arial" w:cs="Arial" w:eastAsia="Arial" w:hAnsi="Arial"/>
          <w:sz w:val="12"/>
          <w:szCs w:val="12"/>
          <w:i w:val="1"/>
          <w:iCs w:val="1"/>
          <w:color w:val="auto"/>
        </w:rPr>
        <w:t>Consolidation</w:t>
      </w:r>
      <w:r>
        <w:rPr>
          <w:rFonts w:ascii="Arial" w:cs="Arial" w:eastAsia="Arial" w:hAnsi="Arial"/>
          <w:sz w:val="12"/>
          <w:szCs w:val="12"/>
          <w:color w:val="auto"/>
        </w:rPr>
        <w:t xml:space="preserve"> Topic of the Codification because we control the activities of the collaboration and are required to fund 90% of the development costs under the collaboration agreement. As such, we consolidate the results of Cardiokine and recorded an IPR&amp;D charge of $30.0 million in 2007 upon signing the collaboration agreement. The amount allocated to IPR&amp;D relates to the development of the lixivaptan compound which, as of the effective date of the agreement, had not reached technological feasibility and had no alternative future use. We allocated the IPR&amp;D charge to noncontrolling interest, as the IPR&amp;D charge represents the fair value of the underlying technology retained by the parent. The assets and liabilities of Cardiokine are not significant as it is a research and development organization.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0"/>
                <w:szCs w:val="10"/>
                <w:color w:val="auto"/>
              </w:rPr>
            </w:pPr>
          </w:p>
        </w:tc>
        <w:tc>
          <w:tcPr>
            <w:tcW w:w="2000" w:type="dxa"/>
            <w:vAlign w:val="bottom"/>
            <w:gridSpan w:val="8"/>
          </w:tcPr>
          <w:p>
            <w:pPr>
              <w:jc w:val="center"/>
              <w:ind w:right="160"/>
              <w:spacing w:after="0"/>
              <w:rPr>
                <w:sz w:val="20"/>
                <w:szCs w:val="20"/>
                <w:color w:val="auto"/>
              </w:rPr>
            </w:pPr>
            <w:r>
              <w:rPr>
                <w:rFonts w:ascii="Arial" w:cs="Arial" w:eastAsia="Arial" w:hAnsi="Arial"/>
                <w:sz w:val="10"/>
                <w:szCs w:val="10"/>
                <w:b w:val="1"/>
                <w:bCs w:val="1"/>
                <w:color w:val="auto"/>
                <w:w w:val="94"/>
              </w:rPr>
              <w:t>For the Years Ended December 31,</w:t>
            </w:r>
          </w:p>
        </w:tc>
        <w:tc>
          <w:tcPr>
            <w:tcW w:w="0" w:type="dxa"/>
            <w:vAlign w:val="bottom"/>
          </w:tcPr>
          <w:p>
            <w:pPr>
              <w:spacing w:after="0"/>
              <w:rPr>
                <w:sz w:val="1"/>
                <w:szCs w:val="1"/>
                <w:color w:val="auto"/>
              </w:rPr>
            </w:pPr>
          </w:p>
        </w:tc>
      </w:tr>
      <w:tr>
        <w:trPr>
          <w:trHeight w:val="98"/>
        </w:trPr>
        <w:tc>
          <w:tcPr>
            <w:tcW w:w="7900" w:type="dxa"/>
            <w:vAlign w:val="bottom"/>
            <w:gridSpan w:val="2"/>
            <w:vMerge w:val="continue"/>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Upfront and milestone payments made to Cardiokine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Total expense incurred by collaboration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66.5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Biogen Idec Inc.’s share of expense reflected within our consolidated statements of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Arial" w:cs="Arial" w:eastAsia="Arial" w:hAnsi="Arial"/>
                <w:sz w:val="13"/>
                <w:szCs w:val="13"/>
                <w:color w:val="auto"/>
              </w:rPr>
              <w:t>Collaboration expense allocated to noncontrolling interests, net of tax</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6.7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summary of activity related to this collaboration since inception, along with an estimate of additional future development expense expected to be incurred by us,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20"/>
              <w:spacing w:after="0"/>
              <w:rPr>
                <w:sz w:val="20"/>
                <w:szCs w:val="20"/>
                <w:color w:val="auto"/>
              </w:rPr>
            </w:pPr>
            <w:r>
              <w:rPr>
                <w:rFonts w:ascii="Arial" w:cs="Arial" w:eastAsia="Arial" w:hAnsi="Arial"/>
                <w:sz w:val="10"/>
                <w:szCs w:val="10"/>
                <w:b w:val="1"/>
                <w:bCs w:val="1"/>
                <w:color w:val="auto"/>
                <w:w w:val="87"/>
              </w:rPr>
              <w:t>As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Cardiokine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70.0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w w:val="85"/>
              </w:rPr>
              <w:t>122.8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lixivaptan (all indications)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430.0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8500" w:type="dxa"/>
            <w:vAlign w:val="bottom"/>
          </w:tcPr>
          <w:p>
            <w:pPr>
              <w:ind w:left="4880"/>
              <w:spacing w:after="0"/>
              <w:rPr>
                <w:sz w:val="20"/>
                <w:szCs w:val="20"/>
                <w:color w:val="auto"/>
              </w:rPr>
            </w:pPr>
            <w:r>
              <w:rPr>
                <w:rFonts w:ascii="Arial" w:cs="Arial" w:eastAsia="Arial" w:hAnsi="Arial"/>
                <w:sz w:val="13"/>
                <w:szCs w:val="13"/>
                <w:color w:val="auto"/>
              </w:rPr>
              <w:t>F-53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Biovitrum</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a collaboration agreement with Biovitrum to jointly develop and commercialize long-acting recombinant Factor VIII and Factor IX for the treatment of hemophilia. Under the agreement, development costs are shared equally. We have commercial rights to North America and Biovitrum has commercial rights to Europe. Each party shares in the other’s net sales based on a royalty percentage of up to 33.3%. All other territories are to be managed by a third party with us and Biovitrum sharing equally in all royalties, license fees and other revenues arising from arrangements with third party licenses and distributors.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Amounts incurred by us in the development of long-acting recombinant Factor VIII and Factor IX are reflected as research and development expense in our consolidated statements of income, reduced by amounts due from Biovitrum. A summary of collective activity related to these programs is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3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5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78"/>
        </w:trPr>
        <w:tc>
          <w:tcPr>
            <w:tcW w:w="7520" w:type="dxa"/>
            <w:vAlign w:val="bottom"/>
            <w:gridSpan w:val="2"/>
          </w:tcPr>
          <w:p>
            <w:pPr>
              <w:spacing w:after="0"/>
              <w:rPr>
                <w:sz w:val="20"/>
                <w:szCs w:val="20"/>
                <w:color w:val="auto"/>
              </w:rPr>
            </w:pPr>
            <w:r>
              <w:rPr>
                <w:rFonts w:ascii="Arial" w:cs="Arial" w:eastAsia="Arial" w:hAnsi="Arial"/>
                <w:sz w:val="13"/>
                <w:szCs w:val="13"/>
                <w:color w:val="auto"/>
              </w:rPr>
              <w:t>Total expense incurred by collaboration</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$44.9</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$37.7</w:t>
            </w:r>
          </w:p>
        </w:tc>
        <w:tc>
          <w:tcPr>
            <w:tcW w:w="30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5"/>
        </w:trPr>
        <w:tc>
          <w:tcPr>
            <w:tcW w:w="7520" w:type="dxa"/>
            <w:vAlign w:val="bottom"/>
            <w:gridSpan w:val="2"/>
          </w:tcPr>
          <w:p>
            <w:pPr>
              <w:spacing w:after="0"/>
              <w:rPr>
                <w:sz w:val="20"/>
                <w:szCs w:val="20"/>
                <w:color w:val="auto"/>
              </w:rPr>
            </w:pPr>
            <w:r>
              <w:rPr>
                <w:rFonts w:ascii="Arial" w:cs="Arial" w:eastAsia="Arial" w:hAnsi="Arial"/>
                <w:sz w:val="13"/>
                <w:szCs w:val="13"/>
                <w:color w:val="auto"/>
              </w:rPr>
              <w:t>Total expense reflected within our consolidated statements of income</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$22.5</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$18.8</w:t>
            </w:r>
          </w:p>
        </w:tc>
        <w:tc>
          <w:tcPr>
            <w:tcW w:w="30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summary of activity related to this collaboration since inception, along with an estimate of additional future development expense expected to be incurred by us, is as follows: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2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received from Biovitrum</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Factors XIII and IX</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135.0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agreement, Biovitrum may pay us an additional $18.0 million in milestone payments.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MondoBiotech</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December 2009, pursuant to our agreement with mondoBIOTECH AG and certain of its subsidiaries (Mondobiotech), we notified Mondobiotech that we would terminate our interest in continuing to fund, develop and commercialize Aviptadil, the collaboration’s only product, and have retained the right to receive a percentage of future milestones and royalties received by Mondobiotech from third parties related to the Aviptadil program. In accordance with the terms of the agreement, we made a final payment of $1.25 million in December 2009, bringing total 2009 payments to Mondobiotech to $13.3 million.</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had previously determined that we were the primary beneficiary of Mondobiotech because we were required to fund 100% of the development costs under the terms agreed. As such, we consolidated the results of Mondobiotech. Upon terminating our development interest, we ceased to consolidate the results of Mondobiotech because we no longer were responsible for funding development costs. Therefore, our consolidated financial statements as of December 31, 2009 no longer include the assets and liabilities of Mondobiotech. The assets and liabilities of Mondobiotech previously consolidated within our financial statements were not significant as Mondobiotech is a research and development organization. Expenses incurred by the collaboration were previously reflected in research and development expense in our consolidated statements of income.</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3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Total expense incurred by collaboration</w:t>
            </w:r>
          </w:p>
        </w:tc>
        <w:tc>
          <w:tcPr>
            <w:tcW w:w="2100" w:type="dxa"/>
            <w:vAlign w:val="bottom"/>
          </w:tcPr>
          <w:p>
            <w:pPr>
              <w:jc w:val="right"/>
              <w:ind w:right="534"/>
              <w:spacing w:after="0"/>
              <w:rPr>
                <w:sz w:val="20"/>
                <w:szCs w:val="20"/>
                <w:color w:val="auto"/>
              </w:rPr>
            </w:pPr>
            <w:r>
              <w:rPr>
                <w:rFonts w:ascii="Arial" w:cs="Arial" w:eastAsia="Arial" w:hAnsi="Arial"/>
                <w:sz w:val="13"/>
                <w:szCs w:val="13"/>
                <w:color w:val="auto"/>
              </w:rPr>
              <w:t>$12.1</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w w:val="92"/>
              </w:rPr>
              <w:t>$14.4</w:t>
            </w:r>
          </w:p>
        </w:tc>
        <w:tc>
          <w:tcPr>
            <w:tcW w:w="720" w:type="dxa"/>
            <w:vAlign w:val="bottom"/>
          </w:tcPr>
          <w:p>
            <w:pPr>
              <w:jc w:val="right"/>
              <w:ind w:right="1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5"/>
        </w:trPr>
        <w:tc>
          <w:tcPr>
            <w:tcW w:w="6460" w:type="dxa"/>
            <w:vAlign w:val="bottom"/>
          </w:tcPr>
          <w:p>
            <w:pPr>
              <w:spacing w:after="0"/>
              <w:rPr>
                <w:sz w:val="20"/>
                <w:szCs w:val="20"/>
                <w:color w:val="auto"/>
              </w:rPr>
            </w:pPr>
            <w:r>
              <w:rPr>
                <w:rFonts w:ascii="Arial" w:cs="Arial" w:eastAsia="Arial" w:hAnsi="Arial"/>
                <w:sz w:val="13"/>
                <w:szCs w:val="13"/>
                <w:color w:val="auto"/>
              </w:rPr>
              <w:t>Total expense reflected within our consolidated statements of income</w:t>
            </w:r>
          </w:p>
        </w:tc>
        <w:tc>
          <w:tcPr>
            <w:tcW w:w="2100" w:type="dxa"/>
            <w:vAlign w:val="bottom"/>
          </w:tcPr>
          <w:p>
            <w:pPr>
              <w:jc w:val="right"/>
              <w:ind w:right="534"/>
              <w:spacing w:after="0"/>
              <w:rPr>
                <w:sz w:val="20"/>
                <w:szCs w:val="20"/>
                <w:color w:val="auto"/>
              </w:rPr>
            </w:pPr>
            <w:r>
              <w:rPr>
                <w:rFonts w:ascii="Arial" w:cs="Arial" w:eastAsia="Arial" w:hAnsi="Arial"/>
                <w:sz w:val="13"/>
                <w:szCs w:val="13"/>
                <w:color w:val="auto"/>
              </w:rPr>
              <w:t>$12.1</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w w:val="92"/>
              </w:rPr>
              <w:t>$14.4</w:t>
            </w:r>
          </w:p>
        </w:tc>
        <w:tc>
          <w:tcPr>
            <w:tcW w:w="720" w:type="dxa"/>
            <w:vAlign w:val="bottom"/>
          </w:tcPr>
          <w:p>
            <w:pPr>
              <w:jc w:val="right"/>
              <w:ind w:right="1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324"/>
        </w:trPr>
        <w:tc>
          <w:tcPr>
            <w:tcW w:w="6460" w:type="dxa"/>
            <w:vAlign w:val="bottom"/>
          </w:tcPr>
          <w:p>
            <w:pPr>
              <w:ind w:left="400"/>
              <w:spacing w:after="0"/>
              <w:rPr>
                <w:sz w:val="20"/>
                <w:szCs w:val="20"/>
                <w:color w:val="auto"/>
              </w:rPr>
            </w:pPr>
            <w:r>
              <w:rPr>
                <w:rFonts w:ascii="Arial" w:cs="Arial" w:eastAsia="Arial" w:hAnsi="Arial"/>
                <w:sz w:val="13"/>
                <w:szCs w:val="13"/>
                <w:color w:val="auto"/>
              </w:rPr>
              <w:t>A summary of activity related to this collaboration since inception is as follows:</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center"/>
              <w:ind w:right="420"/>
              <w:spacing w:after="0"/>
              <w:rPr>
                <w:sz w:val="20"/>
                <w:szCs w:val="20"/>
                <w:color w:val="auto"/>
              </w:rPr>
            </w:pPr>
            <w:r>
              <w:rPr>
                <w:rFonts w:ascii="Arial" w:cs="Arial" w:eastAsia="Arial" w:hAnsi="Arial"/>
                <w:sz w:val="10"/>
                <w:szCs w:val="10"/>
                <w:b w:val="1"/>
                <w:bCs w:val="1"/>
                <w:color w:val="auto"/>
                <w:w w:val="95"/>
              </w:rPr>
              <w:t>As of</w:t>
            </w:r>
          </w:p>
        </w:tc>
        <w:tc>
          <w:tcPr>
            <w:tcW w:w="0" w:type="dxa"/>
            <w:vAlign w:val="bottom"/>
          </w:tcPr>
          <w:p>
            <w:pPr>
              <w:spacing w:after="0"/>
              <w:rPr>
                <w:sz w:val="1"/>
                <w:szCs w:val="1"/>
                <w:color w:val="auto"/>
              </w:rPr>
            </w:pPr>
          </w:p>
        </w:tc>
      </w:tr>
      <w:tr>
        <w:trPr>
          <w:trHeight w:val="108"/>
        </w:trPr>
        <w:tc>
          <w:tcPr>
            <w:tcW w:w="646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6460" w:type="dxa"/>
            <w:vAlign w:val="bottom"/>
            <w:tcBorders>
              <w:bottom w:val="single" w:sz="8" w:color="auto"/>
            </w:tcBorders>
            <w:vMerge w:val="continue"/>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89"/>
              </w:rPr>
              <w:t>2009</w:t>
            </w:r>
          </w:p>
        </w:tc>
        <w:tc>
          <w:tcPr>
            <w:tcW w:w="0" w:type="dxa"/>
            <w:vAlign w:val="bottom"/>
          </w:tcPr>
          <w:p>
            <w:pPr>
              <w:spacing w:after="0"/>
              <w:rPr>
                <w:sz w:val="1"/>
                <w:szCs w:val="1"/>
                <w:color w:val="auto"/>
              </w:rPr>
            </w:pPr>
          </w:p>
        </w:tc>
      </w:tr>
      <w:tr>
        <w:trPr>
          <w:trHeight w:val="178"/>
        </w:trPr>
        <w:tc>
          <w:tcPr>
            <w:tcW w:w="6460" w:type="dxa"/>
            <w:vAlign w:val="bottom"/>
          </w:tcPr>
          <w:p>
            <w:pPr>
              <w:spacing w:after="0"/>
              <w:rPr>
                <w:sz w:val="20"/>
                <w:szCs w:val="20"/>
                <w:color w:val="auto"/>
              </w:rPr>
            </w:pPr>
            <w:r>
              <w:rPr>
                <w:rFonts w:ascii="Arial" w:cs="Arial" w:eastAsia="Arial" w:hAnsi="Arial"/>
                <w:sz w:val="13"/>
                <w:szCs w:val="13"/>
                <w:color w:val="auto"/>
              </w:rPr>
              <w:t>Total upfront and milestone payments made to Mondobiotech</w:t>
            </w:r>
          </w:p>
        </w:tc>
        <w:tc>
          <w:tcPr>
            <w:tcW w:w="2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42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5"/>
        </w:trPr>
        <w:tc>
          <w:tcPr>
            <w:tcW w:w="646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210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UCB</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June 2009, UCB, S.A., (UCB) and we announced the discontinuation of the Phase 2 clinical trial for this collaboration’s only product candidate due to the absence of clinically relevant efficacy. Since the inception of our collaboration agreement with UCB, we have incurred a total of $101.0 million in research and development expenses for the development and commercialization of an oral alpha4 integrin antagonist for the treatment of relapsing remitting 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3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5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78"/>
        </w:trPr>
        <w:tc>
          <w:tcPr>
            <w:tcW w:w="7520" w:type="dxa"/>
            <w:vAlign w:val="bottom"/>
            <w:gridSpan w:val="2"/>
          </w:tcPr>
          <w:p>
            <w:pPr>
              <w:spacing w:after="0"/>
              <w:rPr>
                <w:sz w:val="20"/>
                <w:szCs w:val="20"/>
                <w:color w:val="auto"/>
              </w:rPr>
            </w:pPr>
            <w:r>
              <w:rPr>
                <w:rFonts w:ascii="Arial" w:cs="Arial" w:eastAsia="Arial" w:hAnsi="Arial"/>
                <w:sz w:val="13"/>
                <w:szCs w:val="13"/>
                <w:color w:val="auto"/>
              </w:rPr>
              <w:t>Total expense incurred by collaboration</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$31.8</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$33.6</w:t>
            </w:r>
          </w:p>
        </w:tc>
        <w:tc>
          <w:tcPr>
            <w:tcW w:w="30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65"/>
        </w:trPr>
        <w:tc>
          <w:tcPr>
            <w:tcW w:w="7520" w:type="dxa"/>
            <w:vAlign w:val="bottom"/>
            <w:gridSpan w:val="2"/>
          </w:tcPr>
          <w:p>
            <w:pPr>
              <w:spacing w:after="0"/>
              <w:rPr>
                <w:sz w:val="20"/>
                <w:szCs w:val="20"/>
                <w:color w:val="auto"/>
              </w:rPr>
            </w:pPr>
            <w:r>
              <w:rPr>
                <w:rFonts w:ascii="Arial" w:cs="Arial" w:eastAsia="Arial" w:hAnsi="Arial"/>
                <w:sz w:val="13"/>
                <w:szCs w:val="13"/>
                <w:color w:val="auto"/>
              </w:rPr>
              <w:t>Biogen Idec Inc., share of expense reflected within our consolidated statements of income</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$21.0</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$21.9</w:t>
            </w:r>
          </w:p>
        </w:tc>
        <w:tc>
          <w:tcPr>
            <w:tcW w:w="30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summary of activity related to this collaboration since inception, along with an estimate of additional future development expense expected to be incurred by us, is as follows: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87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7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UCB</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the compound in this indication</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Facet Biotech</w:t>
      </w:r>
    </w:p>
    <w:p>
      <w:pPr>
        <w:spacing w:after="0" w:line="96" w:lineRule="exact"/>
        <w:rPr>
          <w:sz w:val="20"/>
          <w:szCs w:val="20"/>
          <w:color w:val="auto"/>
        </w:rPr>
      </w:pPr>
    </w:p>
    <w:p>
      <w:pPr>
        <w:jc w:val="both"/>
        <w:ind w:left="680" w:right="280" w:firstLine="399"/>
        <w:spacing w:after="0" w:line="260" w:lineRule="auto"/>
        <w:rPr>
          <w:sz w:val="20"/>
          <w:szCs w:val="20"/>
          <w:color w:val="auto"/>
        </w:rPr>
      </w:pPr>
      <w:r>
        <w:rPr>
          <w:rFonts w:ascii="Arial" w:cs="Arial" w:eastAsia="Arial" w:hAnsi="Arial"/>
          <w:sz w:val="13"/>
          <w:szCs w:val="13"/>
          <w:color w:val="auto"/>
        </w:rPr>
        <w:t>We have a collaboration agreement with Facet Biotech Corporation (Facet) aimed at advancing the development and commercialization of daclizumab in MS and volociximab in solid tumors. Daclizumab is a humanized monoclonal antibody that binds to the IL-2 receptor on activated T cells. Volociximab is an anti-angiogenic chimeric antibody directed against alpha5 beta1 integrin. Under the agreement, development and commercialization costs and profits are shared equally. We may incur up to an additional $210.0 million of payments upon achievement of development and commercial milestones.</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January 2010, we agreed with our collaborator, Facet, to assume the manufacture of declizumab and began the process of transferring from Facet the manufacturing technology necessary for us to manufacture declizumab.</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For the Years Ended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3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5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78"/>
        </w:trPr>
        <w:tc>
          <w:tcPr>
            <w:tcW w:w="7520" w:type="dxa"/>
            <w:vAlign w:val="bottom"/>
            <w:gridSpan w:val="2"/>
          </w:tcPr>
          <w:p>
            <w:pPr>
              <w:spacing w:after="0"/>
              <w:rPr>
                <w:sz w:val="20"/>
                <w:szCs w:val="20"/>
                <w:color w:val="auto"/>
              </w:rPr>
            </w:pPr>
            <w:r>
              <w:rPr>
                <w:rFonts w:ascii="Arial" w:cs="Arial" w:eastAsia="Arial" w:hAnsi="Arial"/>
                <w:sz w:val="13"/>
                <w:szCs w:val="13"/>
                <w:color w:val="auto"/>
              </w:rPr>
              <w:t>Total expense incurred by collaboration</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$40.8</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$65.7</w:t>
            </w:r>
          </w:p>
        </w:tc>
        <w:tc>
          <w:tcPr>
            <w:tcW w:w="30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65"/>
        </w:trPr>
        <w:tc>
          <w:tcPr>
            <w:tcW w:w="7520" w:type="dxa"/>
            <w:vAlign w:val="bottom"/>
            <w:gridSpan w:val="2"/>
          </w:tcPr>
          <w:p>
            <w:pPr>
              <w:spacing w:after="0"/>
              <w:rPr>
                <w:sz w:val="20"/>
                <w:szCs w:val="20"/>
                <w:color w:val="auto"/>
              </w:rPr>
            </w:pPr>
            <w:r>
              <w:rPr>
                <w:rFonts w:ascii="Arial" w:cs="Arial" w:eastAsia="Arial" w:hAnsi="Arial"/>
                <w:sz w:val="13"/>
                <w:szCs w:val="13"/>
                <w:color w:val="auto"/>
              </w:rPr>
              <w:t>Biogen Idec Inc. share of expense reflected within our consolidated statements of income</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$20.4</w:t>
            </w:r>
          </w:p>
        </w:tc>
        <w:tc>
          <w:tcPr>
            <w:tcW w:w="900" w:type="dxa"/>
            <w:vAlign w:val="bottom"/>
            <w:gridSpan w:val="2"/>
          </w:tcPr>
          <w:p>
            <w:pPr>
              <w:jc w:val="right"/>
              <w:ind w:right="128"/>
              <w:spacing w:after="0"/>
              <w:rPr>
                <w:sz w:val="20"/>
                <w:szCs w:val="20"/>
                <w:color w:val="auto"/>
              </w:rPr>
            </w:pPr>
            <w:r>
              <w:rPr>
                <w:rFonts w:ascii="Arial" w:cs="Arial" w:eastAsia="Arial" w:hAnsi="Arial"/>
                <w:sz w:val="13"/>
                <w:szCs w:val="13"/>
                <w:color w:val="auto"/>
              </w:rPr>
              <w:t>$32.8</w:t>
            </w:r>
          </w:p>
        </w:tc>
        <w:tc>
          <w:tcPr>
            <w:tcW w:w="30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summary of activity related to this collaboration since inception, along with an estimate of additional future development expense expected to be incurred by us,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2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Facet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w w:val="85"/>
              </w:rPr>
              <w:t>122.5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us in development of current indications of daclizumab and volociximab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475.0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Vernalis</w:t>
      </w:r>
    </w:p>
    <w:p>
      <w:pPr>
        <w:spacing w:after="0" w:line="96" w:lineRule="exact"/>
        <w:rPr>
          <w:sz w:val="20"/>
          <w:szCs w:val="20"/>
          <w:color w:val="auto"/>
        </w:rPr>
      </w:pPr>
    </w:p>
    <w:p>
      <w:pPr>
        <w:ind w:left="680" w:right="880" w:firstLine="399"/>
        <w:spacing w:after="0" w:line="296" w:lineRule="auto"/>
        <w:rPr>
          <w:sz w:val="20"/>
          <w:szCs w:val="20"/>
          <w:color w:val="auto"/>
        </w:rPr>
      </w:pPr>
      <w:r>
        <w:rPr>
          <w:rFonts w:ascii="Arial" w:cs="Arial" w:eastAsia="Arial" w:hAnsi="Arial"/>
          <w:sz w:val="12"/>
          <w:szCs w:val="12"/>
          <w:color w:val="auto"/>
        </w:rPr>
        <w:t>We have a collaboration agreement with Vernalis plc (Vernalis) aimed at advancing the development and commercialization of an adenosine A2a receptor antagonist for treatment of Parkinson’s disease. Under the agreement, we received exclusive worldwide rights to develop and commercialize the compound. We are responsible for funding all development costs and may incur up to an additional $85.0 million of milestone payments upon achievement of certain objectives, as well as royalties on commercial sales.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4"/>
              </w:rPr>
              <w:t>For the Years Ended</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58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vMerge w:val="restart"/>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61"/>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36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85"/>
        </w:trPr>
        <w:tc>
          <w:tcPr>
            <w:tcW w:w="7780" w:type="dxa"/>
            <w:vAlign w:val="bottom"/>
            <w:gridSpan w:val="2"/>
          </w:tcPr>
          <w:p>
            <w:pPr>
              <w:spacing w:after="0"/>
              <w:rPr>
                <w:sz w:val="20"/>
                <w:szCs w:val="20"/>
                <w:color w:val="auto"/>
              </w:rPr>
            </w:pPr>
            <w:r>
              <w:rPr>
                <w:rFonts w:ascii="Arial" w:cs="Arial" w:eastAsia="Arial" w:hAnsi="Arial"/>
                <w:sz w:val="13"/>
                <w:szCs w:val="13"/>
                <w:color w:val="auto"/>
              </w:rPr>
              <w:t>Total expense incurred by collaboration and reflected within our consolidated statements of income</w:t>
            </w:r>
          </w:p>
        </w:tc>
        <w:tc>
          <w:tcPr>
            <w:tcW w:w="640" w:type="dxa"/>
            <w:vAlign w:val="bottom"/>
          </w:tcPr>
          <w:p>
            <w:pPr>
              <w:jc w:val="right"/>
              <w:ind w:right="141"/>
              <w:spacing w:after="0"/>
              <w:rPr>
                <w:sz w:val="20"/>
                <w:szCs w:val="20"/>
                <w:color w:val="auto"/>
              </w:rPr>
            </w:pPr>
            <w:r>
              <w:rPr>
                <w:rFonts w:ascii="Arial" w:cs="Arial" w:eastAsia="Arial" w:hAnsi="Arial"/>
                <w:sz w:val="13"/>
                <w:szCs w:val="13"/>
                <w:color w:val="auto"/>
              </w:rPr>
              <w:t>$14.8</w:t>
            </w:r>
          </w:p>
        </w:tc>
        <w:tc>
          <w:tcPr>
            <w:tcW w:w="900" w:type="dxa"/>
            <w:vAlign w:val="bottom"/>
            <w:gridSpan w:val="2"/>
          </w:tcPr>
          <w:p>
            <w:pPr>
              <w:jc w:val="right"/>
              <w:ind w:right="148"/>
              <w:spacing w:after="0"/>
              <w:rPr>
                <w:sz w:val="20"/>
                <w:szCs w:val="20"/>
                <w:color w:val="auto"/>
              </w:rPr>
            </w:pPr>
            <w:r>
              <w:rPr>
                <w:rFonts w:ascii="Arial" w:cs="Arial" w:eastAsia="Arial" w:hAnsi="Arial"/>
                <w:sz w:val="13"/>
                <w:szCs w:val="13"/>
                <w:color w:val="auto"/>
              </w:rPr>
              <w:t>$16.9</w:t>
            </w:r>
          </w:p>
        </w:tc>
        <w:tc>
          <w:tcPr>
            <w:tcW w:w="300" w:type="dxa"/>
            <w:vAlign w:val="bottom"/>
          </w:tcPr>
          <w:p>
            <w:pPr>
              <w:spacing w:after="0"/>
              <w:rPr>
                <w:sz w:val="16"/>
                <w:szCs w:val="16"/>
                <w:color w:val="auto"/>
              </w:rPr>
            </w:pPr>
          </w:p>
        </w:tc>
        <w:tc>
          <w:tcPr>
            <w:tcW w:w="360" w:type="dxa"/>
            <w:vAlign w:val="bottom"/>
          </w:tcPr>
          <w:p>
            <w:pPr>
              <w:jc w:val="right"/>
              <w:ind w:right="41"/>
              <w:spacing w:after="0"/>
              <w:rPr>
                <w:sz w:val="20"/>
                <w:szCs w:val="20"/>
                <w:color w:val="auto"/>
              </w:rPr>
            </w:pPr>
            <w:r>
              <w:rPr>
                <w:rFonts w:ascii="Arial" w:cs="Arial" w:eastAsia="Arial" w:hAnsi="Arial"/>
                <w:sz w:val="13"/>
                <w:szCs w:val="13"/>
                <w:color w:val="auto"/>
                <w:w w:val="94"/>
              </w:rPr>
              <w:t>$9.6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summary of activity related to this collaboration since inception, along with an estimate of additional future development expense expected to be incurred by us,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jc w:val="center"/>
              <w:ind w:right="420"/>
              <w:spacing w:after="0"/>
              <w:rPr>
                <w:sz w:val="20"/>
                <w:szCs w:val="20"/>
                <w:color w:val="auto"/>
              </w:rPr>
            </w:pPr>
            <w:r>
              <w:rPr>
                <w:rFonts w:ascii="Arial" w:cs="Arial" w:eastAsia="Arial" w:hAnsi="Arial"/>
                <w:sz w:val="10"/>
                <w:szCs w:val="10"/>
                <w:b w:val="1"/>
                <w:bCs w:val="1"/>
                <w:color w:val="auto"/>
                <w:w w:val="87"/>
              </w:rPr>
              <w:t>As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50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2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5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8"/>
              </w:rPr>
              <w:t>2009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upfront and milestone payments made to Vernalis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Total development expense incurred by Biogen Idec Inc. excluding upfront and milestone payments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0"/>
              <w:spacing w:after="0"/>
              <w:rPr>
                <w:sz w:val="20"/>
                <w:szCs w:val="20"/>
                <w:color w:val="auto"/>
              </w:rPr>
            </w:pPr>
            <w:r>
              <w:rPr>
                <w:rFonts w:ascii="Arial" w:cs="Arial" w:eastAsia="Arial" w:hAnsi="Arial"/>
                <w:sz w:val="13"/>
                <w:szCs w:val="13"/>
                <w:color w:val="auto"/>
              </w:rPr>
              <w:t>69.7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Estimate of additional amounts to be incurred by Biogen Idec Inc. in development of the compound in this indication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w w:val="85"/>
              </w:rPr>
              <w:t>225.0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8500" w:type="dxa"/>
            <w:vAlign w:val="bottom"/>
          </w:tcPr>
          <w:p>
            <w:pPr>
              <w:ind w:left="4880"/>
              <w:spacing w:after="0"/>
              <w:rPr>
                <w:sz w:val="20"/>
                <w:szCs w:val="20"/>
                <w:color w:val="auto"/>
              </w:rPr>
            </w:pPr>
            <w:r>
              <w:rPr>
                <w:rFonts w:ascii="Arial" w:cs="Arial" w:eastAsia="Arial" w:hAnsi="Arial"/>
                <w:sz w:val="13"/>
                <w:szCs w:val="13"/>
                <w:color w:val="auto"/>
              </w:rPr>
              <w:t>F-56</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of December 31, 2008, we held a total of approximately 7.6 million shares of Vernalis. During 2009, due to a reverse stock split, we received one new share for every twenty shares previously owned. As a result, as of December 31, 2009, we held a total of approximately 0.4 million shares of Vernalis. As of December 31, 2009 and 2008, our investment in Vernalis had a fair value of approximately $0.5 million and $0.3 million, respectively.</w:t>
      </w:r>
    </w:p>
    <w:p>
      <w:pPr>
        <w:spacing w:after="0" w:line="67" w:lineRule="exact"/>
        <w:rPr>
          <w:sz w:val="20"/>
          <w:szCs w:val="20"/>
          <w:color w:val="auto"/>
        </w:rPr>
      </w:pPr>
    </w:p>
    <w:p>
      <w:pPr>
        <w:jc w:val="both"/>
        <w:ind w:left="680" w:right="100" w:firstLine="399"/>
        <w:spacing w:after="0" w:line="371" w:lineRule="auto"/>
        <w:rPr>
          <w:sz w:val="20"/>
          <w:szCs w:val="20"/>
          <w:color w:val="auto"/>
        </w:rPr>
      </w:pPr>
      <w:r>
        <w:rPr>
          <w:rFonts w:ascii="Arial" w:cs="Arial" w:eastAsia="Arial" w:hAnsi="Arial"/>
          <w:sz w:val="11"/>
          <w:szCs w:val="11"/>
          <w:color w:val="auto"/>
        </w:rPr>
        <w:t>Our investment in Vernalis, which is included within investments and other assets, is subject to periodic review of impairment. In 2008 and 2007, we recorded an impairment charge of $0.5 million and $6.3 million, respectively, representing an other-than-temporary impairment in the stock we own. No impairment was recognized related to this investment during 2009.</w:t>
      </w:r>
    </w:p>
    <w:p>
      <w:pPr>
        <w:spacing w:after="0" w:line="47"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rent laboratory and office space and certain equipment under noncancellable operating leases. These lease agreements contain various clauses for renewal at our option and, in certain cases, escalation clauses typically linked to rates of inflation. Rental expense under these leases, which terminate at various dates through 2025, amounted to $36.4 million in 2009, $36.0 million in 2008, and $33.1 million in 2007.</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minimum rental commitments under noncancellable leases for each of the next five years and total thereafter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0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58"/>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18"/>
              <w:spacing w:after="0"/>
              <w:rPr>
                <w:sz w:val="20"/>
                <w:szCs w:val="20"/>
                <w:color w:val="auto"/>
              </w:rPr>
            </w:pPr>
            <w:r>
              <w:rPr>
                <w:rFonts w:ascii="Arial" w:cs="Arial" w:eastAsia="Arial" w:hAnsi="Arial"/>
                <w:sz w:val="10"/>
                <w:szCs w:val="10"/>
                <w:b w:val="1"/>
                <w:bCs w:val="1"/>
                <w:color w:val="auto"/>
                <w:w w:val="89"/>
              </w:rPr>
              <w:t>2012</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2013</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2014</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8"/>
              </w:rPr>
              <w:t>Thereafter</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29"/>
        </w:trPr>
        <w:tc>
          <w:tcPr>
            <w:tcW w:w="1300" w:type="dxa"/>
            <w:vAlign w:val="bottom"/>
            <w:tcBorders>
              <w:top w:val="single" w:sz="8" w:color="auto"/>
            </w:tcBorders>
          </w:tcPr>
          <w:p>
            <w:pPr>
              <w:spacing w:after="0"/>
              <w:rPr>
                <w:sz w:val="2"/>
                <w:szCs w:val="2"/>
                <w:color w:val="auto"/>
              </w:rPr>
            </w:pPr>
          </w:p>
        </w:tc>
        <w:tc>
          <w:tcPr>
            <w:tcW w:w="2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Minimum lease payments(1)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381.8</w:t>
            </w: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Income from subleases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(0.7)</w:t>
            </w: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minimum lease payments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381.1</w:t>
            </w:r>
          </w:p>
        </w:tc>
      </w:tr>
      <w:tr>
        <w:trPr>
          <w:trHeight w:val="108"/>
        </w:trPr>
        <w:tc>
          <w:tcPr>
            <w:tcW w:w="130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180" w:hanging="259"/>
        <w:spacing w:after="0" w:line="320"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fifteen-year lease on a 356,000 square foot office building in Weston, Massachusetts, which will serve as the future location of our general and administrative offices with a planned occupancy around mid-year 2010. The initial lease term is from 2010 through 2025 under which the total minimum lease payments are $258.6 million.</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Funding 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have funding commitments of up to approximately $24.8 million in biotechnology oriented venture capital funds.</w:t>
      </w:r>
    </w:p>
    <w:p>
      <w:pPr>
        <w:spacing w:after="0" w:line="96"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As of December 31, 2009, we have accrued expenses totaling approximately $31.7 million on our consolidated balance sheet related to clinical research organizations for expenditures incurred in relation to ongoing clinical trials.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Milestone Payments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Based on our development plans as of December 31, 2009, we have committed to make potential future milestone payments to third parties of up to approximately $1,500.0 million as part of our various collaborations, including licensing and development programs. Payments under these agreements generally become due and payable only upon achievement of certain developmental, regulatory or commercial milestones. Because the achievement of these milestones had not occurred as of December 31, 2009, such contingencies have not been recorded in our financial statements.</w:t>
      </w:r>
    </w:p>
    <w:p>
      <w:pPr>
        <w:spacing w:after="0" w:line="105"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Along with several other major pharmaceutical and biotechnology companies, Biogen, Inc. (now Biogen Idec MA, Inc., one of our wholly-owned subsidiaries) or, in some cases, Biogen Idec Inc., was named as a defendant in lawsuits filed by the City of New York and numerous Counties of the State of New York. All of the cases — except for</w:t>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cases filed by the County of Erie, County of Oswego and County of Schenectady (Three County Actions) — are the subject of a Consolidated Complaint, first filed on September 15, 2005 in the U.S. District Court for the District of Massachusetts in Multi-District Litigation No. 1456 (MDL proceedings). The complaints allege that the defendants (i) fraudulently reported (or caused others to report incorrectly)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 (iii) 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 Secretary of Health and Human Services pursuant to rebate agreements, and excluded from their reporting certain discounts and other rebates that would have reduced the “best price.” With respect to the MDL proceedings, some of the plaintiffs’ claims were dismissed, and the parties, including Biogen Idec, began a mediation of the outstanding claims on July 1, 2008. We have not formed an opinion that an unfavorable outcome is either “probable” or “remote” in any of these cases, and do not express an opinion at this time as to their likely outcome or as to the magnitude or range of any potential loss. We believe that we have good and valid defenses to each of these complaints and are vigorously defending against them.</w:t>
      </w:r>
    </w:p>
    <w:p>
      <w:pPr>
        <w:spacing w:after="0" w:line="6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 2006, the Massachusetts Department of Revenue (DOR) issued a notice of assessment against Biogen Idec MA, Inc. for $38.9 million of corporate excise tax with respect to the 2002 tax year, which includes associated interest and penalties. On December 6, 2006, we filed an abatement application with the DOR, seeking abatements for 2001, 2002 and 2003 tax years. The abatement application was denied on July 24, 2007. On July 25, 2007, we filed a petition with the Massachusetts Appellate Tax Board, seeking, among other items, abatements of corporate excise tax for 2001, 2002 and 2003 tax years and adjustments in certain credits and credit carry forwards for 2001, 2002 and 2003 tax years. Issues before the Board include the computation of Biogen Idec MA’s sales factor for 2001, 2002 and 2003 tax years, computation of Biogen Idec MA’s research credits for those same years, and the availability of deductions for certain expenses and partnership flow-through items. We anticipate that the trial will take place in 2010. We intend to contest this matter vigorously.</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October 4, 2004, Genentech, Inc. received a subpoena from the U.S. Department of Justice requesting documents related to the promotion of RITUXAN. We market RITUXAN in the United States in collaboration with Genentech. We cooperated in the government’s investigation. It is our understanding that the government has not taken any action against Genentech as a result of the investigation. We therefore do not expect to report further on this matter.</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On October 27, 2008, Sanofi-Aventis Deutschland GmbH (Sanofi) filed suit against Genentech and Biogen Idec in federal court in Texas (E.D. Tex.) (Texas Action) claiming that RITUXAN and certain other Genentech products infringe U.S. Patents 5,849,522 (‘522 patent) and 6,218,140 (‘140 patent). Sanofi seeks preliminary and permanent injunctions, compensatory and exemplary damages, and other relief. On October 27, 2008, Genentech and Biogen Idec filed a complaint against Sanofi, Sanofi-Aventis U.S. LLC, and Sanofi-Aventis U.S., Inc. in federal court in California (N.D. Cal.) (California Action) seeking a declaratory judgment that RITUXAN and other Genentech products do not infringe the ‘522 patent or the ‘140 patent, and a declaratory judgment that those patents are invalid. (Sanofi-Aventis U.S. LLC and Sanofi-Aventis U.S., Inc. were later dismissed voluntarily.) On May 22, 2009, the United States Court of Appeals for the Federal Circuit granted Genentech’s and our petition for a writ of mandamus transferring the Texas Action to the federal court in California, and denied Sanofi’s petition for rehearing on August 10, 2009. The Texas Action has been consolidated with the California Action and we refer to the two actions together as the Consolidated Actions. We have not formed an opinion that an unfavorable outcome in the Consolidated Actions is either “probable” or “remote,” and do not express an opinion at this time as to the likely outcome of the matters or as to the magnitude or range of any potential loss. We believe that we have good and valid defenses and intend vigorously to defend against the allegations against us.</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firstLine="399"/>
        <w:spacing w:after="0" w:line="282" w:lineRule="auto"/>
        <w:rPr>
          <w:sz w:val="20"/>
          <w:szCs w:val="20"/>
          <w:color w:val="auto"/>
        </w:rPr>
      </w:pPr>
      <w:r>
        <w:rPr>
          <w:rFonts w:ascii="Arial" w:cs="Arial" w:eastAsia="Arial" w:hAnsi="Arial"/>
          <w:sz w:val="12"/>
          <w:szCs w:val="12"/>
          <w:color w:val="auto"/>
        </w:rPr>
        <w:t>On October 24, 2008, Hoechst GmbH filed with the ICC International Court of Arbitration (Paris) a request for arbitration against Genentech, relating to a terminated license agreement between Hoechst’s predecessor and Genentech that pertained to the above-referenced patents and related patents outside the U.S. The license was entered as of January 1, 1991 and was terminated by Genentech on October 27, 2008. We understand that Hoechst seeks payment of royalties on sales of Genentech products, including RITUXAN, damages for breach of contract, and other relief. Although we are not a party to the arbitration, any damages awarded to Hoescht based on sales of RITUXAN may be a cost allocable to our collaboration with Genentech. Under the collaboration agreement, we may be responsible for a portion of any such damages. We have not formed an opinion that an unfavorable outcome in the arbitration is either “probable” or “remote,” and do not express an opinion at this time as to the likely outcome of the matter or as to the magnitude or range of any potential loss.</w:t>
      </w:r>
    </w:p>
    <w:p>
      <w:pPr>
        <w:spacing w:after="0" w:line="59" w:lineRule="exact"/>
        <w:rPr>
          <w:sz w:val="20"/>
          <w:szCs w:val="20"/>
          <w:color w:val="auto"/>
        </w:rPr>
      </w:pPr>
    </w:p>
    <w:p>
      <w:pPr>
        <w:ind w:left="680" w:right="1200" w:firstLine="399"/>
        <w:spacing w:after="0" w:line="264" w:lineRule="auto"/>
        <w:rPr>
          <w:sz w:val="20"/>
          <w:szCs w:val="20"/>
          <w:color w:val="auto"/>
        </w:rPr>
      </w:pPr>
      <w:r>
        <w:rPr>
          <w:rFonts w:ascii="Arial" w:cs="Arial" w:eastAsia="Arial" w:hAnsi="Arial"/>
          <w:sz w:val="13"/>
          <w:szCs w:val="13"/>
          <w:color w:val="auto"/>
        </w:rPr>
        <w:t>In addition, we are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conditions.</w:t>
      </w:r>
    </w:p>
    <w:p>
      <w:pPr>
        <w:spacing w:after="0" w:line="142"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b w:val="1"/>
          <w:bCs w:val="1"/>
          <w:color w:val="auto"/>
        </w:rPr>
        <w:t>Segment Information</w:t>
      </w:r>
    </w:p>
    <w:p>
      <w:pPr>
        <w:spacing w:after="0" w:line="100" w:lineRule="exact"/>
        <w:rPr>
          <w:sz w:val="20"/>
          <w:szCs w:val="20"/>
          <w:color w:val="auto"/>
        </w:rPr>
      </w:pPr>
    </w:p>
    <w:p>
      <w:pPr>
        <w:jc w:val="both"/>
        <w:ind w:left="680" w:right="800" w:firstLine="399"/>
        <w:spacing w:after="0" w:line="334" w:lineRule="auto"/>
        <w:rPr>
          <w:sz w:val="20"/>
          <w:szCs w:val="20"/>
          <w:color w:val="auto"/>
        </w:rPr>
      </w:pPr>
      <w:r>
        <w:rPr>
          <w:rFonts w:ascii="Arial" w:cs="Arial" w:eastAsia="Arial" w:hAnsi="Arial"/>
          <w:sz w:val="11"/>
          <w:szCs w:val="11"/>
          <w:color w:val="auto"/>
        </w:rPr>
        <w:t>We operate in one business segment, which is the business of development, manufacturing and commercialization of novel therapeutics for human healthcare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product is summarized as follows: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9"/>
                <w:szCs w:val="9"/>
                <w:b w:val="1"/>
                <w:bCs w:val="1"/>
                <w:color w:val="auto"/>
                <w:w w:val="99"/>
              </w:rPr>
              <w:t>For the Years Ended December 31,</w:t>
            </w: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67"/>
              <w:spacing w:after="0" w:line="88" w:lineRule="exact"/>
              <w:rPr>
                <w:sz w:val="20"/>
                <w:szCs w:val="20"/>
                <w:color w:val="auto"/>
              </w:rPr>
            </w:pPr>
            <w:r>
              <w:rPr>
                <w:rFonts w:ascii="Arial" w:cs="Arial" w:eastAsia="Arial" w:hAnsi="Arial"/>
                <w:sz w:val="9"/>
                <w:szCs w:val="9"/>
                <w:b w:val="1"/>
                <w:bCs w:val="1"/>
                <w:color w:val="auto"/>
                <w:w w:val="99"/>
              </w:rPr>
              <w:t>2009</w:t>
            </w: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47"/>
              <w:spacing w:after="0" w:line="88" w:lineRule="exact"/>
              <w:rPr>
                <w:sz w:val="20"/>
                <w:szCs w:val="20"/>
                <w:color w:val="auto"/>
              </w:rPr>
            </w:pPr>
            <w:r>
              <w:rPr>
                <w:rFonts w:ascii="Arial" w:cs="Arial" w:eastAsia="Arial" w:hAnsi="Arial"/>
                <w:sz w:val="9"/>
                <w:szCs w:val="9"/>
                <w:b w:val="1"/>
                <w:bCs w:val="1"/>
                <w:color w:val="auto"/>
                <w:w w:val="89"/>
              </w:rPr>
              <w:t>2008</w:t>
            </w: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89"/>
              </w:rPr>
              <w:t>2007</w:t>
            </w: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right"/>
              <w:ind w:right="380"/>
              <w:spacing w:after="0" w:line="75" w:lineRule="exact"/>
              <w:rPr>
                <w:sz w:val="20"/>
                <w:szCs w:val="20"/>
                <w:color w:val="auto"/>
              </w:rPr>
            </w:pPr>
            <w:r>
              <w:rPr>
                <w:rFonts w:ascii="Arial" w:cs="Arial" w:eastAsia="Arial" w:hAnsi="Arial"/>
                <w:sz w:val="8"/>
                <w:szCs w:val="8"/>
                <w:b w:val="1"/>
                <w:bCs w:val="1"/>
                <w:color w:val="auto"/>
              </w:rPr>
              <w:t>United</w:t>
            </w:r>
          </w:p>
        </w:tc>
        <w:tc>
          <w:tcPr>
            <w:tcW w:w="120" w:type="dxa"/>
            <w:vAlign w:val="bottom"/>
          </w:tcPr>
          <w:p>
            <w:pPr>
              <w:spacing w:after="0"/>
              <w:rPr>
                <w:sz w:val="6"/>
                <w:szCs w:val="6"/>
                <w:color w:val="auto"/>
              </w:rPr>
            </w:pPr>
          </w:p>
        </w:tc>
        <w:tc>
          <w:tcPr>
            <w:tcW w:w="700" w:type="dxa"/>
            <w:vAlign w:val="bottom"/>
            <w:gridSpan w:val="2"/>
          </w:tcPr>
          <w:p>
            <w:pPr>
              <w:jc w:val="center"/>
              <w:ind w:right="340"/>
              <w:spacing w:after="0" w:line="75" w:lineRule="exact"/>
              <w:rPr>
                <w:sz w:val="20"/>
                <w:szCs w:val="20"/>
                <w:color w:val="auto"/>
              </w:rPr>
            </w:pPr>
            <w:r>
              <w:rPr>
                <w:rFonts w:ascii="Arial" w:cs="Arial" w:eastAsia="Arial" w:hAnsi="Arial"/>
                <w:sz w:val="8"/>
                <w:szCs w:val="8"/>
                <w:b w:val="1"/>
                <w:bCs w:val="1"/>
                <w:color w:val="auto"/>
              </w:rPr>
              <w:t>Rest of</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right"/>
              <w:ind w:right="360"/>
              <w:spacing w:after="0" w:line="75" w:lineRule="exact"/>
              <w:rPr>
                <w:sz w:val="20"/>
                <w:szCs w:val="20"/>
                <w:color w:val="auto"/>
              </w:rPr>
            </w:pPr>
            <w:r>
              <w:rPr>
                <w:rFonts w:ascii="Arial" w:cs="Arial" w:eastAsia="Arial" w:hAnsi="Arial"/>
                <w:sz w:val="8"/>
                <w:szCs w:val="8"/>
                <w:b w:val="1"/>
                <w:bCs w:val="1"/>
                <w:color w:val="auto"/>
              </w:rPr>
              <w:t>United</w:t>
            </w:r>
          </w:p>
        </w:tc>
        <w:tc>
          <w:tcPr>
            <w:tcW w:w="120" w:type="dxa"/>
            <w:vAlign w:val="bottom"/>
          </w:tcPr>
          <w:p>
            <w:pPr>
              <w:spacing w:after="0"/>
              <w:rPr>
                <w:sz w:val="6"/>
                <w:szCs w:val="6"/>
                <w:color w:val="auto"/>
              </w:rPr>
            </w:pPr>
          </w:p>
        </w:tc>
        <w:tc>
          <w:tcPr>
            <w:tcW w:w="680" w:type="dxa"/>
            <w:vAlign w:val="bottom"/>
            <w:gridSpan w:val="2"/>
          </w:tcPr>
          <w:p>
            <w:pPr>
              <w:jc w:val="center"/>
              <w:ind w:right="320"/>
              <w:spacing w:after="0" w:line="75" w:lineRule="exact"/>
              <w:rPr>
                <w:sz w:val="20"/>
                <w:szCs w:val="20"/>
                <w:color w:val="auto"/>
              </w:rPr>
            </w:pPr>
            <w:r>
              <w:rPr>
                <w:rFonts w:ascii="Arial" w:cs="Arial" w:eastAsia="Arial" w:hAnsi="Arial"/>
                <w:sz w:val="8"/>
                <w:szCs w:val="8"/>
                <w:b w:val="1"/>
                <w:bCs w:val="1"/>
                <w:color w:val="auto"/>
              </w:rPr>
              <w:t>Rest of</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right"/>
              <w:ind w:right="360"/>
              <w:spacing w:after="0" w:line="75" w:lineRule="exact"/>
              <w:rPr>
                <w:sz w:val="20"/>
                <w:szCs w:val="20"/>
                <w:color w:val="auto"/>
              </w:rPr>
            </w:pPr>
            <w:r>
              <w:rPr>
                <w:rFonts w:ascii="Arial" w:cs="Arial" w:eastAsia="Arial" w:hAnsi="Arial"/>
                <w:sz w:val="8"/>
                <w:szCs w:val="8"/>
                <w:b w:val="1"/>
                <w:bCs w:val="1"/>
                <w:color w:val="auto"/>
              </w:rPr>
              <w:t>United</w:t>
            </w:r>
          </w:p>
        </w:tc>
        <w:tc>
          <w:tcPr>
            <w:tcW w:w="60" w:type="dxa"/>
            <w:vAlign w:val="bottom"/>
          </w:tcPr>
          <w:p>
            <w:pPr>
              <w:spacing w:after="0"/>
              <w:rPr>
                <w:sz w:val="6"/>
                <w:szCs w:val="6"/>
                <w:color w:val="auto"/>
              </w:rPr>
            </w:pPr>
          </w:p>
        </w:tc>
        <w:tc>
          <w:tcPr>
            <w:tcW w:w="54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Rest of</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120" w:type="dxa"/>
            <w:vAlign w:val="bottom"/>
            <w:gridSpan w:val="2"/>
          </w:tcPr>
          <w:p>
            <w:pPr>
              <w:spacing w:after="0"/>
              <w:rPr>
                <w:sz w:val="20"/>
                <w:szCs w:val="20"/>
                <w:color w:val="auto"/>
              </w:rPr>
            </w:pPr>
            <w:r>
              <w:rPr>
                <w:rFonts w:ascii="Arial" w:cs="Arial" w:eastAsia="Arial" w:hAnsi="Arial"/>
                <w:sz w:val="9"/>
                <w:szCs w:val="9"/>
                <w:b w:val="1"/>
                <w:bCs w:val="1"/>
                <w:color w:val="auto"/>
              </w:rPr>
              <w:t>(In millions)</w:t>
            </w:r>
          </w:p>
        </w:tc>
        <w:tc>
          <w:tcPr>
            <w:tcW w:w="100" w:type="dxa"/>
            <w:vAlign w:val="bottom"/>
          </w:tcPr>
          <w:p>
            <w:pPr>
              <w:spacing w:after="0"/>
              <w:rPr>
                <w:sz w:val="9"/>
                <w:szCs w:val="9"/>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States</w:t>
            </w:r>
          </w:p>
        </w:tc>
        <w:tc>
          <w:tcPr>
            <w:tcW w:w="120" w:type="dxa"/>
            <w:vAlign w:val="bottom"/>
          </w:tcPr>
          <w:p>
            <w:pPr>
              <w:spacing w:after="0"/>
              <w:rPr>
                <w:sz w:val="9"/>
                <w:szCs w:val="9"/>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3"/>
              </w:rPr>
              <w:t>World</w:t>
            </w:r>
          </w:p>
        </w:tc>
        <w:tc>
          <w:tcPr>
            <w:tcW w:w="140" w:type="dxa"/>
            <w:vAlign w:val="bottom"/>
          </w:tcPr>
          <w:p>
            <w:pPr>
              <w:spacing w:after="0"/>
              <w:rPr>
                <w:sz w:val="9"/>
                <w:szCs w:val="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States</w:t>
            </w:r>
          </w:p>
        </w:tc>
        <w:tc>
          <w:tcPr>
            <w:tcW w:w="120" w:type="dxa"/>
            <w:vAlign w:val="bottom"/>
          </w:tcPr>
          <w:p>
            <w:pPr>
              <w:spacing w:after="0"/>
              <w:rPr>
                <w:sz w:val="9"/>
                <w:szCs w:val="9"/>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3"/>
              </w:rPr>
              <w:t>World</w:t>
            </w:r>
          </w:p>
        </w:tc>
        <w:tc>
          <w:tcPr>
            <w:tcW w:w="120" w:type="dxa"/>
            <w:vAlign w:val="bottom"/>
          </w:tcPr>
          <w:p>
            <w:pPr>
              <w:spacing w:after="0"/>
              <w:rPr>
                <w:sz w:val="9"/>
                <w:szCs w:val="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States</w:t>
            </w:r>
          </w:p>
        </w:tc>
        <w:tc>
          <w:tcPr>
            <w:tcW w:w="60" w:type="dxa"/>
            <w:vAlign w:val="bottom"/>
          </w:tcPr>
          <w:p>
            <w:pPr>
              <w:spacing w:after="0"/>
              <w:rPr>
                <w:sz w:val="9"/>
                <w:szCs w:val="9"/>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World</w:t>
            </w:r>
          </w:p>
        </w:tc>
        <w:tc>
          <w:tcPr>
            <w:tcW w:w="120" w:type="dxa"/>
            <w:vAlign w:val="bottom"/>
          </w:tcPr>
          <w:p>
            <w:pPr>
              <w:spacing w:after="0"/>
              <w:rPr>
                <w:sz w:val="9"/>
                <w:szCs w:val="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9"/>
        </w:trPr>
        <w:tc>
          <w:tcPr>
            <w:tcW w:w="2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AVONEX</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916.7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2,322.9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1,276.5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926.1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2,202.6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1,085.0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782.8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1,867.8</w:t>
            </w:r>
          </w:p>
        </w:tc>
        <w:tc>
          <w:tcPr>
            <w:tcW w:w="0" w:type="dxa"/>
            <w:vAlign w:val="bottom"/>
          </w:tcPr>
          <w:p>
            <w:pPr>
              <w:spacing w:after="0"/>
              <w:rPr>
                <w:sz w:val="1"/>
                <w:szCs w:val="1"/>
                <w:color w:val="auto"/>
              </w:rPr>
            </w:pPr>
          </w:p>
        </w:tc>
      </w:tr>
      <w:tr>
        <w:trPr>
          <w:trHeight w:val="147"/>
        </w:trPr>
        <w:tc>
          <w:tcPr>
            <w:tcW w:w="3120" w:type="dxa"/>
            <w:vAlign w:val="bottom"/>
            <w:gridSpan w:val="2"/>
          </w:tcPr>
          <w:p>
            <w:pPr>
              <w:spacing w:after="0"/>
              <w:rPr>
                <w:sz w:val="20"/>
                <w:szCs w:val="20"/>
                <w:color w:val="auto"/>
              </w:rPr>
            </w:pPr>
            <w:r>
              <w:rPr>
                <w:rFonts w:ascii="Arial" w:cs="Arial" w:eastAsia="Arial" w:hAnsi="Arial"/>
                <w:sz w:val="12"/>
                <w:szCs w:val="12"/>
                <w:color w:val="auto"/>
              </w:rPr>
              <w:t>TYSABRI</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544.2</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776.0</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196.4</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392.2</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588.6</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104.4</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125.5</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229.9</w:t>
            </w: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39.1</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2"/>
                <w:szCs w:val="12"/>
                <w:color w:val="auto"/>
              </w:rPr>
              <w:t>Total product revenues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2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1,638.0</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1,514.9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3,152.9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1,472.9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1,366.</w:t>
            </w:r>
            <w:r>
              <w:rPr>
                <w:rFonts w:ascii="Arial" w:cs="Arial" w:eastAsia="Arial" w:hAnsi="Arial"/>
                <w:sz w:val="12"/>
                <w:szCs w:val="12"/>
                <w:u w:val="single" w:color="auto"/>
                <w:color w:val="auto"/>
              </w:rPr>
              <w:t>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2,839.7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1,203.6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933.2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2,136.</w:t>
            </w:r>
            <w:r>
              <w:rPr>
                <w:rFonts w:ascii="Arial" w:cs="Arial" w:eastAsia="Arial" w:hAnsi="Arial"/>
                <w:sz w:val="12"/>
                <w:szCs w:val="12"/>
                <w:u w:val="single" w:color="auto"/>
                <w:color w:val="auto"/>
              </w:rPr>
              <w:t>8</w:t>
            </w: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geographic information is summarized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6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2009</w:t>
            </w: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Germany</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1,638.0</w:t>
            </w: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82"/>
              </w:rPr>
              <w:t>$ 913.7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178.5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839.2</w:t>
            </w: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w w:val="82"/>
              </w:rPr>
              <w:t>$ 190.2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24.1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129.5</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Long-lived assets</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1,092.7</w:t>
            </w: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w w:val="82"/>
              </w:rPr>
              <w:t>$ 705.6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1,805.4</w:t>
            </w:r>
          </w:p>
        </w:tc>
        <w:tc>
          <w:tcPr>
            <w:tcW w:w="800" w:type="dxa"/>
            <w:vAlign w:val="bottom"/>
          </w:tcPr>
          <w:p>
            <w:pPr>
              <w:spacing w:after="0"/>
              <w:rPr>
                <w:sz w:val="14"/>
                <w:szCs w:val="14"/>
                <w:color w:val="auto"/>
              </w:rPr>
            </w:pPr>
          </w:p>
        </w:tc>
      </w:tr>
      <w:tr>
        <w:trPr>
          <w:trHeight w:val="287"/>
        </w:trPr>
        <w:tc>
          <w:tcPr>
            <w:tcW w:w="6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2008</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Germany</w:t>
            </w:r>
          </w:p>
        </w:tc>
        <w:tc>
          <w:tcPr>
            <w:tcW w:w="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24"/>
                <w:szCs w:val="2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24"/>
                <w:szCs w:val="24"/>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1,472.9</w:t>
            </w: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82"/>
              </w:rPr>
              <w:t>$ 822.6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36.5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153.2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793.2</w:t>
            </w: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w w:val="82"/>
              </w:rPr>
              <w:t>$ 272.3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21.7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Long-lived assets</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1,111.2</w:t>
            </w: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w w:val="82"/>
              </w:rPr>
              <w:t>$ 658.8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4.2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1,777.9</w:t>
            </w:r>
          </w:p>
        </w:tc>
        <w:tc>
          <w:tcPr>
            <w:tcW w:w="800" w:type="dxa"/>
            <w:vAlign w:val="bottom"/>
          </w:tcPr>
          <w:p>
            <w:pPr>
              <w:spacing w:after="0"/>
              <w:rPr>
                <w:sz w:val="14"/>
                <w:szCs w:val="14"/>
                <w:color w:val="auto"/>
              </w:rPr>
            </w:pPr>
          </w:p>
        </w:tc>
      </w:tr>
      <w:tr>
        <w:trPr>
          <w:trHeight w:val="610"/>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3"/>
                <w:szCs w:val="13"/>
                <w:color w:val="auto"/>
              </w:rPr>
              <w:t>F-59</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40" w:type="dxa"/>
            <w:vAlign w:val="bottom"/>
          </w:tcPr>
          <w:p>
            <w:pPr>
              <w:spacing w:after="0"/>
              <w:rPr>
                <w:sz w:val="11"/>
                <w:szCs w:val="11"/>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Germany</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5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565.9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132.0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2,136.8</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675.3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200.2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18.1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Long-lived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1,145.7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494.9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1,648.7</w:t>
            </w: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 from Unconsolidated Joint Business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Approximately 25%, 28%, and 29% of our total revenues in 2009, 2008, and 2007, respectively, are derived from our joint business arrangement with Genentech (see Note 17, </w:t>
      </w:r>
      <w:r>
        <w:rPr>
          <w:rFonts w:ascii="Arial" w:cs="Arial" w:eastAsia="Arial" w:hAnsi="Arial"/>
          <w:sz w:val="13"/>
          <w:szCs w:val="13"/>
          <w:i w:val="1"/>
          <w:iCs w:val="1"/>
          <w:color w:val="auto"/>
        </w:rPr>
        <w:t xml:space="preserve">Collaborations </w:t>
      </w:r>
      <w:r>
        <w:rPr>
          <w:rFonts w:ascii="Arial" w:cs="Arial" w:eastAsia="Arial" w:hAnsi="Arial"/>
          <w:sz w:val="13"/>
          <w:szCs w:val="13"/>
          <w:color w:val="auto"/>
        </w:rPr>
        <w:t>to our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Customers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recorded revenue from two wholesale distributors accounting for 17.7% and 12.3% of gross product revenues in 2009, 16.2% and 13.1% of gross product revenues in 2008 and 19.4% and 15.2% of gross product revenues in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Included in long-lived assets in Europe as of December 31, 2009, 2008 and 2007 is approximately $665.8 million, $611.5 million and $480.5 million, respectively, related to our operations in Denmark.</w:t>
      </w:r>
    </w:p>
    <w:p>
      <w:pPr>
        <w:spacing w:after="0" w:line="134"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Guarantees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and 2008, we did not have significant liabilities recorded for guarantees.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2009 and 2008, respectively.</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80" w:type="dxa"/>
            <w:vAlign w:val="bottom"/>
          </w:tcPr>
          <w:p>
            <w:pPr>
              <w:spacing w:after="0"/>
              <w:rPr>
                <w:sz w:val="20"/>
                <w:szCs w:val="20"/>
                <w:color w:val="auto"/>
              </w:rPr>
            </w:pPr>
            <w:r>
              <w:rPr>
                <w:rFonts w:ascii="Arial" w:cs="Arial" w:eastAsia="Arial" w:hAnsi="Arial"/>
                <w:sz w:val="13"/>
                <w:szCs w:val="13"/>
                <w:b w:val="1"/>
                <w:bCs w:val="1"/>
                <w:color w:val="auto"/>
              </w:rPr>
              <w:t>22.</w:t>
            </w:r>
          </w:p>
        </w:tc>
        <w:tc>
          <w:tcPr>
            <w:tcW w:w="4220" w:type="dxa"/>
            <w:vAlign w:val="bottom"/>
          </w:tcPr>
          <w:p>
            <w:pPr>
              <w:ind w:left="120"/>
              <w:spacing w:after="0"/>
              <w:rPr>
                <w:sz w:val="20"/>
                <w:szCs w:val="20"/>
                <w:color w:val="auto"/>
              </w:rPr>
            </w:pPr>
            <w:r>
              <w:rPr>
                <w:rFonts w:ascii="Arial" w:cs="Arial" w:eastAsia="Arial" w:hAnsi="Arial"/>
                <w:sz w:val="13"/>
                <w:szCs w:val="13"/>
                <w:b w:val="1"/>
                <w:bCs w:val="1"/>
                <w:color w:val="auto"/>
              </w:rPr>
              <w:t>Quarterly Financial Data (Unaudited)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 except per share amounts)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First</w:t>
            </w:r>
          </w:p>
        </w:tc>
        <w:tc>
          <w:tcPr>
            <w:tcW w:w="100" w:type="dxa"/>
            <w:vAlign w:val="bottom"/>
          </w:tcPr>
          <w:p>
            <w:pPr>
              <w:spacing w:after="0"/>
              <w:rPr>
                <w:sz w:val="16"/>
                <w:szCs w:val="16"/>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6"/>
                <w:szCs w:val="16"/>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Fourth</w:t>
            </w:r>
          </w:p>
        </w:tc>
        <w:tc>
          <w:tcPr>
            <w:tcW w:w="120" w:type="dxa"/>
            <w:vAlign w:val="bottom"/>
          </w:tcPr>
          <w:p>
            <w:pPr>
              <w:spacing w:after="0"/>
              <w:rPr>
                <w:sz w:val="16"/>
                <w:szCs w:val="16"/>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Quarter(b)</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Quarter(c)</w:t>
            </w:r>
          </w:p>
        </w:tc>
        <w:tc>
          <w:tcPr>
            <w:tcW w:w="100" w:type="dxa"/>
            <w:vAlign w:val="bottom"/>
          </w:tcPr>
          <w:p>
            <w:pPr>
              <w:spacing w:after="0"/>
              <w:rPr>
                <w:sz w:val="10"/>
                <w:szCs w:val="10"/>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Quarter(d)(e)</w:t>
            </w:r>
          </w:p>
        </w:tc>
        <w:tc>
          <w:tcPr>
            <w:tcW w:w="120" w:type="dxa"/>
            <w:vAlign w:val="bottom"/>
          </w:tcPr>
          <w:p>
            <w:pPr>
              <w:spacing w:after="0"/>
              <w:rPr>
                <w:sz w:val="10"/>
                <w:szCs w:val="10"/>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w:t>
            </w:r>
          </w:p>
        </w:tc>
        <w:tc>
          <w:tcPr>
            <w:tcW w:w="0" w:type="dxa"/>
            <w:vAlign w:val="bottom"/>
          </w:tcPr>
          <w:p>
            <w:pPr>
              <w:spacing w:after="0"/>
              <w:rPr>
                <w:sz w:val="1"/>
                <w:szCs w:val="1"/>
                <w:color w:val="auto"/>
              </w:rPr>
            </w:pPr>
          </w:p>
        </w:tc>
      </w:tr>
      <w:tr>
        <w:trPr>
          <w:trHeight w:val="29"/>
        </w:trPr>
        <w:tc>
          <w:tcPr>
            <w:tcW w:w="380" w:type="dxa"/>
            <w:vAlign w:val="bottom"/>
            <w:tcBorders>
              <w:top w:val="single" w:sz="8" w:color="auto"/>
            </w:tcBorders>
          </w:tcPr>
          <w:p>
            <w:pPr>
              <w:spacing w:after="0"/>
              <w:rPr>
                <w:sz w:val="2"/>
                <w:szCs w:val="2"/>
                <w:color w:val="auto"/>
              </w:rPr>
            </w:pPr>
          </w:p>
        </w:tc>
        <w:tc>
          <w:tcPr>
            <w:tcW w:w="4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4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Product revenues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733.4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791.0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801.7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826.8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3,152.9</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Unconsolidated joint business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1,094.9</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Other revenues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34.9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43.6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129.5</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4,377.3</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Total costs and expenses and income tax expense</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796.8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963.1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850.3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827.3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3,437.5</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Net income attributable to Biogen Idec Inc.</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244.0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142.8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277.7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305.6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970.1</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 attributable to Biogen Idec Inc.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65"/>
        </w:trPr>
        <w:tc>
          <w:tcPr>
            <w:tcW w:w="4600" w:type="dxa"/>
            <w:vAlign w:val="bottom"/>
            <w:gridSpan w:val="2"/>
          </w:tcPr>
          <w:p>
            <w:pPr>
              <w:spacing w:after="0"/>
              <w:rPr>
                <w:sz w:val="20"/>
                <w:szCs w:val="20"/>
                <w:color w:val="auto"/>
              </w:rPr>
            </w:pPr>
            <w:r>
              <w:rPr>
                <w:rFonts w:ascii="Arial" w:cs="Arial" w:eastAsia="Arial" w:hAnsi="Arial"/>
                <w:sz w:val="13"/>
                <w:szCs w:val="13"/>
                <w:color w:val="auto"/>
              </w:rPr>
              <w:t>Diluted earnings per share attributable to Biogen Idec Inc.</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0.49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0.95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241"/>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 except per share amounts)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First</w:t>
            </w:r>
          </w:p>
        </w:tc>
        <w:tc>
          <w:tcPr>
            <w:tcW w:w="100" w:type="dxa"/>
            <w:vAlign w:val="bottom"/>
          </w:tcPr>
          <w:p>
            <w:pPr>
              <w:spacing w:after="0"/>
              <w:rPr>
                <w:sz w:val="20"/>
                <w:szCs w:val="2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20"/>
                <w:szCs w:val="2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Fourth</w:t>
            </w:r>
          </w:p>
        </w:tc>
        <w:tc>
          <w:tcPr>
            <w:tcW w:w="12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Quarter(a)</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100" w:type="dxa"/>
            <w:vAlign w:val="bottom"/>
          </w:tcPr>
          <w:p>
            <w:pPr>
              <w:spacing w:after="0"/>
              <w:rPr>
                <w:sz w:val="10"/>
                <w:szCs w:val="10"/>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Quarter</w:t>
            </w:r>
          </w:p>
        </w:tc>
        <w:tc>
          <w:tcPr>
            <w:tcW w:w="120" w:type="dxa"/>
            <w:vAlign w:val="bottom"/>
          </w:tcPr>
          <w:p>
            <w:pPr>
              <w:spacing w:after="0"/>
              <w:rPr>
                <w:sz w:val="10"/>
                <w:szCs w:val="10"/>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w:t>
            </w:r>
          </w:p>
        </w:tc>
        <w:tc>
          <w:tcPr>
            <w:tcW w:w="0" w:type="dxa"/>
            <w:vAlign w:val="bottom"/>
          </w:tcPr>
          <w:p>
            <w:pPr>
              <w:spacing w:after="0"/>
              <w:rPr>
                <w:sz w:val="1"/>
                <w:szCs w:val="1"/>
                <w:color w:val="auto"/>
              </w:rPr>
            </w:pPr>
          </w:p>
        </w:tc>
      </w:tr>
      <w:tr>
        <w:trPr>
          <w:trHeight w:val="29"/>
        </w:trPr>
        <w:tc>
          <w:tcPr>
            <w:tcW w:w="380" w:type="dxa"/>
            <w:vAlign w:val="bottom"/>
            <w:tcBorders>
              <w:top w:val="single" w:sz="8" w:color="auto"/>
            </w:tcBorders>
          </w:tcPr>
          <w:p>
            <w:pPr>
              <w:spacing w:after="0"/>
              <w:rPr>
                <w:sz w:val="2"/>
                <w:szCs w:val="2"/>
                <w:color w:val="auto"/>
              </w:rPr>
            </w:pPr>
          </w:p>
        </w:tc>
        <w:tc>
          <w:tcPr>
            <w:tcW w:w="4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4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Product revenues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665.1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684.5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758.3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731.8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2,839.7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Unconsolidated joint business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299.0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1,128.2</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Other revenues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30.1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35.7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942.2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4,097.5</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Total costs and expenses and income tax expense</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779.5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781.4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861.5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827.3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3,249.7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Net income attributable to Biogen Idec Inc.</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163.1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206.6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206.8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206.7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783.2</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 attributable to Biogen Idec Inc.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5"/>
        </w:trPr>
        <w:tc>
          <w:tcPr>
            <w:tcW w:w="4600" w:type="dxa"/>
            <w:vAlign w:val="bottom"/>
            <w:gridSpan w:val="2"/>
          </w:tcPr>
          <w:p>
            <w:pPr>
              <w:spacing w:after="0"/>
              <w:rPr>
                <w:sz w:val="20"/>
                <w:szCs w:val="20"/>
                <w:color w:val="auto"/>
              </w:rPr>
            </w:pPr>
            <w:r>
              <w:rPr>
                <w:rFonts w:ascii="Arial" w:cs="Arial" w:eastAsia="Arial" w:hAnsi="Arial"/>
                <w:sz w:val="13"/>
                <w:szCs w:val="13"/>
                <w:color w:val="auto"/>
              </w:rPr>
              <w:t>Diluted earnings per share attributable to Biogen Idec Inc.</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0.70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0.70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0.70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right="120" w:hanging="393"/>
        <w:spacing w:after="0" w:line="276"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Total costs and expenses and income tax expense for the first quarter of 2008 includes $25.0 million of in-process research and development expense related to a milestone payment made to the former shareholders of Conforma Therapeutics Inc. pursuant to the terms of our acquisition of Conforma Therapeutics Inc. in 2006.</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Changes in tax law in certain state jurisdictions in which we operate during the first quarter of 2009 resulted in a $30.2 million reduction to our first quarter 2009 income tax expense.</w:t>
      </w:r>
    </w:p>
    <w:p>
      <w:pPr>
        <w:spacing w:after="0" w:line="58" w:lineRule="exact"/>
        <w:rPr>
          <w:rFonts w:ascii="Arial" w:cs="Arial" w:eastAsia="Arial" w:hAnsi="Arial"/>
          <w:sz w:val="12"/>
          <w:szCs w:val="12"/>
          <w:color w:val="auto"/>
        </w:rPr>
      </w:pPr>
    </w:p>
    <w:p>
      <w:pPr>
        <w:ind w:left="1080" w:right="340" w:hanging="393"/>
        <w:spacing w:after="0" w:line="307" w:lineRule="auto"/>
        <w:tabs>
          <w:tab w:leader="none" w:pos="10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Total costs and expenses and income tax expense for the second quarter of 2009 includes the $110.0 million upfront payment made to Acorda Therapeutics, Inc. pursuant to our June 30, 2009 collaboration and license agreement to develop and commercialize products containing fampridine in markets outside the U.S.</w:t>
      </w:r>
    </w:p>
    <w:p>
      <w:pPr>
        <w:ind w:left="1080" w:right="60" w:hanging="393"/>
        <w:spacing w:after="0" w:line="264"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During the fourth quarter of 2009, we repurchased 8.8 million shares of our common stock at a cost of approximately $422.4 million under our $1.0 billion share repurchase program authorized in October 2009. In addition, we also purchased an additional 6.0 million shares of our common stock at a cost of approximately $271.1 million during the fourth quarter of 2009 under our 2006 share repurchase program.</w:t>
      </w:r>
    </w:p>
    <w:p>
      <w:pPr>
        <w:spacing w:after="0" w:line="17" w:lineRule="exact"/>
        <w:rPr>
          <w:rFonts w:ascii="Arial" w:cs="Arial" w:eastAsia="Arial" w:hAnsi="Arial"/>
          <w:sz w:val="13"/>
          <w:szCs w:val="13"/>
          <w:color w:val="auto"/>
        </w:rPr>
      </w:pPr>
    </w:p>
    <w:p>
      <w:pPr>
        <w:ind w:left="1080" w:right="240" w:hanging="393"/>
        <w:spacing w:after="0" w:line="276"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Resolution of federal, state and foreign tax audits, including the effective settlement of several uncertain tax positions during the fourth quarter of 2009 resulted in a $34.0 million reduction to our fourth quarter 2009 income tax expense.</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From time to time, new accounting pronouncements are issued by the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October 2009, the FASB issued Accounting Standards Update (ASU) No. 2009-13, </w:t>
      </w:r>
      <w:r>
        <w:rPr>
          <w:rFonts w:ascii="Arial" w:cs="Arial" w:eastAsia="Arial" w:hAnsi="Arial"/>
          <w:sz w:val="12"/>
          <w:szCs w:val="12"/>
          <w:i w:val="1"/>
          <w:iCs w:val="1"/>
          <w:color w:val="auto"/>
        </w:rPr>
        <w:t>Multiple-Deliverable Revenue Arrangements</w:t>
      </w:r>
      <w:r>
        <w:rPr>
          <w:rFonts w:ascii="Arial" w:cs="Arial" w:eastAsia="Arial" w:hAnsi="Arial"/>
          <w:sz w:val="12"/>
          <w:szCs w:val="12"/>
          <w:color w:val="auto"/>
        </w:rPr>
        <w:t xml:space="preserve"> (ASU No. 2009-13). ASU No. 2009-13, which amends existing revenue recognition accounting pronouncements and provides accounting principles and application guidance on whether multiple deliverables exist, how the arrangement should be separated, and the consideration allocated. This guidance eliminates the requirement to establish the fair value of undelivered products and services and instead provides for separate revenue recognition based upon management’s estimate of the selling price for an undelivered item when there is no other means to determine the fair value of that undelivered item. Previous accounting principles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If the fair value of all of the elements in the arrangement was not determinable, then revenue was deferred until all of the items were delivered or fair value was determined. This new approach is effective prospectively for revenue arrangements entered into or materially modified in fiscal years beginning on or after June 15, 2010, which for Biogen Idec means no later than January 1, 2011. Early adoption is permitted; however, adoption of this guidance as of a date other than January 1, 2011, will require us to apply this guidance retrospectively effective as of January 1, 2010 and will require disclosure of the effect of this guidance as applied to all previously reported interim periods in the fiscal year of adoption. While we do not expect the adoption of this standard to have a material impact on our financial position and results of operations, this standard may impact us in the event we complete future transactions or modify existing collaborative relationships.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June 2009, the FASB issued the following two new accounting standards, which were integrated into the Codification in December 2009:</w:t>
      </w:r>
    </w:p>
    <w:p>
      <w:pPr>
        <w:spacing w:after="0" w:line="96" w:lineRule="exact"/>
        <w:rPr>
          <w:sz w:val="20"/>
          <w:szCs w:val="20"/>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ASU No. 2009-16, </w:t>
      </w:r>
      <w:r>
        <w:rPr>
          <w:rFonts w:ascii="Arial" w:cs="Arial" w:eastAsia="Arial" w:hAnsi="Arial"/>
          <w:sz w:val="13"/>
          <w:szCs w:val="13"/>
          <w:i w:val="1"/>
          <w:iCs w:val="1"/>
          <w:color w:val="auto"/>
        </w:rPr>
        <w:t>Accounting for Transfers of Financial Assets</w:t>
      </w:r>
      <w:r>
        <w:rPr>
          <w:rFonts w:ascii="Arial" w:cs="Arial" w:eastAsia="Arial" w:hAnsi="Arial"/>
          <w:sz w:val="13"/>
          <w:szCs w:val="13"/>
          <w:color w:val="auto"/>
        </w:rPr>
        <w:t xml:space="preserve"> (ASU No. 2009-16);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ASU No. 2009-17, </w:t>
      </w:r>
      <w:r>
        <w:rPr>
          <w:rFonts w:ascii="Arial" w:cs="Arial" w:eastAsia="Arial" w:hAnsi="Arial"/>
          <w:sz w:val="13"/>
          <w:szCs w:val="13"/>
          <w:i w:val="1"/>
          <w:iCs w:val="1"/>
          <w:color w:val="auto"/>
        </w:rPr>
        <w:t>Improvements to Financial Reporting by Enterprises Involved with Variable Interest Entities</w:t>
      </w:r>
      <w:r>
        <w:rPr>
          <w:rFonts w:ascii="Arial" w:cs="Arial" w:eastAsia="Arial" w:hAnsi="Arial"/>
          <w:sz w:val="13"/>
          <w:szCs w:val="13"/>
          <w:color w:val="auto"/>
        </w:rPr>
        <w:t xml:space="preserve"> (ASU No. 2009-17).</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ASU No. 2009-16 prescribes the information that a reporting entity must provide in its financial reports about a transfer of financial assets; the effects of a transfer on its financial position, financial performance, and cash flows; and a transferor’s continuing involvement in transferred financial assets. Specifically, among other aspects, this standard amends previously issued accounting guidance, modifies the financial-components approach and removes the concept of a qualifying special purpose entity when accounting for transfers and servicing of financial assets and extinguishments of liabilities, and removes the exception from applying the general accounting principles for the consolidation of variable interest entities that are qualifying special-purpose entities. This new accounting standard is effective for transfers of financial assets occurring on or after January 1, 2010. The adoption of this standard will not have an impact on our financial position or results of operations.</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ASU No. 2009-17 amends previously issued accounting guidance for the consolidation of variable interest entities to require an enterprise to determine whether its variable interest or interests give it a controlling financial interest in a variable interest entity. This amended consolidation guidance for variable interest entities also replaces the existing quantitative approach for identifying which enterprise should consolidate a variable interest entity, which was based on which enterprise is exposed to a majority of the risks and rewards, with a qualitative approach, based on which enterprise has both (1) the power to direct the economically significant activities of the entity and (2) the obligation to absorb losses of the entity that could potentially be significant to the variable interest entity or the right to</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 xml:space="preserve">receive benefits from the entity that could potentially be significant to the variable interest entity. This new standard may affect how we account for the consolidation of common structures, such as joint ventures, equity method investments, collaboration and other agreements and purchase arrangements. Under this revised guidance, more entities may meet the definition of a variable interest entity, and the determination about whether an enterprise should consolidate a variable interest entity is required to be evaluated continuously. This standard is effective for us for interim and annual periods beginning after January 1, 2010. We have completed our evaluation of the impact of adopting this standard and determined that the adoption will not have an impact on our financial position or results of operations. However, changes to existing relationships or future transactions may result in us consolidating or deconsolidating our partner(s) to collaborations and other arrangements. Refer to Note 17, </w:t>
      </w:r>
      <w:r>
        <w:rPr>
          <w:rFonts w:ascii="Arial" w:cs="Arial" w:eastAsia="Arial" w:hAnsi="Arial"/>
          <w:sz w:val="13"/>
          <w:szCs w:val="13"/>
          <w:i w:val="1"/>
          <w:iCs w:val="1"/>
          <w:color w:val="auto"/>
        </w:rPr>
        <w:t>Collaborations</w:t>
      </w:r>
      <w:r>
        <w:rPr>
          <w:rFonts w:ascii="Arial" w:cs="Arial" w:eastAsia="Arial" w:hAnsi="Arial"/>
          <w:sz w:val="13"/>
          <w:szCs w:val="13"/>
          <w:color w:val="auto"/>
        </w:rPr>
        <w:t xml:space="preserve"> to our Consolidated Financial Statements for information about our relationships with significant variable interest entities.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Adopted Accounting Standards</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 xml:space="preserve">In September 2009, the FASB issued ASU No. 2009-12, </w:t>
      </w:r>
      <w:r>
        <w:rPr>
          <w:rFonts w:ascii="Arial" w:cs="Arial" w:eastAsia="Arial" w:hAnsi="Arial"/>
          <w:sz w:val="13"/>
          <w:szCs w:val="13"/>
          <w:i w:val="1"/>
          <w:iCs w:val="1"/>
          <w:color w:val="auto"/>
        </w:rPr>
        <w:t>Fair Value Measurements and Disclosure</w:t>
      </w:r>
      <w:r>
        <w:rPr>
          <w:rFonts w:ascii="Arial" w:cs="Arial" w:eastAsia="Arial" w:hAnsi="Arial"/>
          <w:sz w:val="13"/>
          <w:szCs w:val="13"/>
          <w:color w:val="auto"/>
        </w:rPr>
        <w:t xml:space="preserve"> (ASU No. 2009-12). This standard provides additional guidance on using the net asset value per share, provided by an investee, when estimating the fair value of an alternate investment that does not have a readily determinable fair value and enhances the disclosures concerning these investments. Examples of alternate investments, within the scope of this standard, include investments in hedge funds and private equity, real estate, and venture capital partnerships. This standard is effective for interim and annual periods ending after December 15, 2009. As of December 31, 2009, our only investments falling within the scope of this guidance are our venture capital investments. For these investments we use the net asset value to assess fair value. Refer to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 our Consolidated Financial Statements for additional disclosure related to our venture capital investments. The adoption of this standard did not have an impact on our financial position or results of operations; however, this standard may impact us in future periods.</w:t>
      </w:r>
    </w:p>
    <w:p>
      <w:pPr>
        <w:spacing w:after="0" w:line="73"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April 2009, the FASB issued a new accounting standard providing guidance for the accounting of assets acquired and liabilities assumed in a business combination that arise from contingencies. This guidance amends and clarifies previous accounting standards to address application issues regarding the initial recognition and measurement, subsequent measurement and accounting, and disclosure of assets and liabilities arising from contingencies in a business combination. Due to the fact that this guidance is applicable to acquisitions completed after January 1, 2009 and we did not have any business combinations during 2009, the adoption of this standard did not impact our financial position or results of operations.</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Effective January 1, 2009, we adopted a newly issued accounting standard for business combinations. This standard requires an acquiring company to measure all assets acquired and liabilities assumed, including contingent considerations and all contractual contingencies, at fair value as of the acquisition date. In addition, an acquiring company is required to capitalize IPR&amp;D and either amortize it over the life of the product, or write it off if the project is abandoned or impaired. Due to the fact that this guidance is applicable to acquisitions completed after January 1, 2009 and we did not have any business combinations during 2009, the adoption of this standard did not impact our financial position or results of operations. The standard also amended accounting for uncertainty in income taxes. Previously, accounting standards generally required post-acquisition adjustments related to business combination deferred tax asset valuation allowances and liabilities for uncertain tax positions to be recorded as an increase or decrease to goodwill. This new standard does not permit this accounting and, generally, requires any such changes to be recorded in current period income tax expense. Thus, all changes to valuation allowances and liabilities for uncertain tax positions established in acquisition accounting, whether the business combination was accounted for under this guidance, will be recognized in current period income tax expense.</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Shareholders of Biogen Idec Inc.</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In our opinion, the accompanying consolidated balance sheets and the related consolidated statements of income, shareholders’ equity and cash flows present fairly, in all material respects, the financial position of Biogen Idec Inc. and its subsidiaries as of December 31, 2009 and 2008, and the results of their operations and their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9, 2010</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9740" w:type="dxa"/>
            <w:vAlign w:val="bottom"/>
            <w:gridSpan w:val="3"/>
          </w:tcPr>
          <w:p>
            <w:pPr>
              <w:ind w:left="344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720" w:type="dxa"/>
            <w:vAlign w:val="bottom"/>
          </w:tcPr>
          <w:p>
            <w:pPr>
              <w:ind w:left="114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78"/>
        </w:trPr>
        <w:tc>
          <w:tcPr>
            <w:tcW w:w="1720" w:type="dxa"/>
            <w:vAlign w:val="bottom"/>
          </w:tcPr>
          <w:p>
            <w:pPr>
              <w:ind w:left="680"/>
              <w:spacing w:after="0"/>
              <w:rPr>
                <w:sz w:val="20"/>
                <w:szCs w:val="20"/>
                <w:color w:val="auto"/>
              </w:rPr>
            </w:pPr>
            <w:r>
              <w:rPr>
                <w:rFonts w:ascii="Arial" w:cs="Arial" w:eastAsia="Arial" w:hAnsi="Arial"/>
                <w:sz w:val="13"/>
                <w:szCs w:val="13"/>
                <w:color w:val="auto"/>
              </w:rPr>
              <w:t>3.1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Amended and Restated Certificate of Incorporation. Filed as Exhibit 3.1 to our Annual Report on Form 10-K for the year ended December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Certificate of Amendment to the Amended and Restated Certificate of Incorporation dated May 21, 2001. Filed as Exhibit 3.2 to our Annual Report on Form 10-K for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the year ended December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Certificate Increasing the Number of Authorized Shares of Series X Junior Participating Preferred Stock dated July 26, 2001. Filed as Exhibit 3.3 to our Annual Report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on Form 10-K for the year ended December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Certificate of Amendment to the Amended and Restated Certificate of Incorporation dated November 12, 2003. Filed as Exhibit 3.4 to our Annual Report on Form 10-K</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 the year ended December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Second Amended and Restated Bylaws, as amended. Filed as Exhibit 3.1 to our Quarterly Report on Form 10-Q for the quarter ended June 30, 2009.</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Reference is made to Exhibits 3.1 through 3.4 for a description of the rights, preferences and privileges of our Series A Preferred Stock and Series X Junior Participating</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Preferred Stock</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Amended and Restated Rights Agreement between Biogen Idec and Mellon Investor Services LLC dated as of July 26, 2001. Filed as Exhibit 4.1 to an amendment to</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our Registration Statement on Form 8-A filed on July 27, 2001.</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1 to Amended and Restated Rights Agreement between Biogen Idec and Mellon Investor Services LLC dated as of June 20, 2003. Filed as Exhibit 4.1</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to our Current Report on Form 8-K filed on June 23,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2 to Amended and Restated Rights Agreement between Biogen Idec and Mellon Investor Services LLC dated as of January 22, 2009. Filed as</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Exhibit 4.4 to our Annual Report on 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Indenture between Biogen Idec and The Bank of New York Trust Company, N.A. dated as of February 26, 2008. Filed as Exhibit 4.1 to our Registration Statement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S-3 (File No. 333-149379).</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First Supplemental Indenture between Biogen Idec and The Bank of New York Trust Company, N.A. dated as of March 4, 2008. Filed as Exhibit 4.1 to our Current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Report on Form 8-K filed on March 4,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Credit Agreement among Biogen Idec, Bank of America, N.A. as administrative agent, Merrill Lynch, Pierce, Fenner &amp; Smith Incorporated and Goldman Sachs Credit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Partners L.P. as co-syndication agents, and the other lenders party thereto dated June 29, 2007. Filed as Exhibit 99.2 to our Current Report on Form 8-K filed on July 2,</w:t>
            </w:r>
          </w:p>
        </w:tc>
      </w:tr>
      <w:tr>
        <w:trPr>
          <w:trHeight w:val="157"/>
        </w:trPr>
        <w:tc>
          <w:tcPr>
            <w:tcW w:w="17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Arial" w:cs="Arial" w:eastAsia="Arial" w:hAnsi="Arial"/>
                <w:sz w:val="13"/>
                <w:szCs w:val="13"/>
                <w:color w:val="auto"/>
              </w:rPr>
              <w:t>2007.</w:t>
            </w:r>
          </w:p>
        </w:tc>
        <w:tc>
          <w:tcPr>
            <w:tcW w:w="8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1 to Credit Agreement among Biogen Idec, Bank of America, N.A. as administrative agent, and the other lenders party thereto dated as of March 5,</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2009. Filed as Exhibit 10.1 to our Quarterly Report on Form 10-Q for the quarter ended March 31, 2009.</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Expression Technology Agreement between Biogen Idec and Genentech. Inc. dated March 16, 1995. Filed as an exhibit to Biogen Idec’s Quarterly Report on Form 10-Q</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 the quarter ended March 31, 1995.</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Letter Agreement between Biogen Idec and Genentech, Inc. dated May 21, 1996. Filed as Exhibit 10.1 to our Current Report on Form 8-K filed on June 6, 1996.</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Amended and Restated Collaboration Agreement between Biogen Idec and Genentech, Inc. dated June 19, 2003. Filed as Exhibit 99.1 to our Current Report on Form 8-</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K filed on July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Purchase and Sale Agreement and Joint Escrow Instructions between Biogen Idec and Genentech, Inc. dated as of June 16, 2005. Filed as Exhibit 10.1 to our Quarterly</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Report on Form 10-Q for the quarter ended June 30, 2005.</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10.7†</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ANTEGREN (now TYSABRI) Development and Marketing Collaboration Agreement between Biogen Idec and Elan Pharma International Limited dated August 15,</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2000. Filed as Exhibit 10.48 to Biogen, Inc.’s Annual Report on Form 10-K for the year ended December 31, 2002 (File No. 0-12042) and incorporated herein by</w:t>
            </w:r>
          </w:p>
        </w:tc>
      </w:tr>
      <w:tr>
        <w:trPr>
          <w:trHeight w:val="165"/>
        </w:trPr>
        <w:tc>
          <w:tcPr>
            <w:tcW w:w="1720" w:type="dxa"/>
            <w:vAlign w:val="bottom"/>
          </w:tcPr>
          <w:p>
            <w:pPr>
              <w:spacing w:after="0"/>
              <w:rPr>
                <w:sz w:val="14"/>
                <w:szCs w:val="14"/>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reference.</w:t>
            </w:r>
          </w:p>
        </w:tc>
      </w:tr>
      <w:tr>
        <w:trPr>
          <w:trHeight w:val="452"/>
        </w:trPr>
        <w:tc>
          <w:tcPr>
            <w:tcW w:w="1720" w:type="dxa"/>
            <w:vAlign w:val="bottom"/>
          </w:tcPr>
          <w:p>
            <w:pPr>
              <w:spacing w:after="0"/>
              <w:rPr>
                <w:sz w:val="24"/>
                <w:szCs w:val="24"/>
                <w:color w:val="auto"/>
              </w:rPr>
            </w:pPr>
          </w:p>
        </w:tc>
        <w:tc>
          <w:tcPr>
            <w:tcW w:w="9740" w:type="dxa"/>
            <w:vAlign w:val="bottom"/>
            <w:gridSpan w:val="3"/>
          </w:tcPr>
          <w:p>
            <w:pPr>
              <w:ind w:left="3860"/>
              <w:spacing w:after="0"/>
              <w:rPr>
                <w:sz w:val="20"/>
                <w:szCs w:val="20"/>
                <w:color w:val="auto"/>
              </w:rPr>
            </w:pPr>
            <w:r>
              <w:rPr>
                <w:rFonts w:ascii="Arial" w:cs="Arial" w:eastAsia="Arial" w:hAnsi="Arial"/>
                <w:sz w:val="13"/>
                <w:szCs w:val="13"/>
                <w:color w:val="auto"/>
              </w:rPr>
              <w:t>A-1</w:t>
            </w:r>
          </w:p>
        </w:tc>
      </w:tr>
      <w:tr>
        <w:trPr>
          <w:trHeight w:val="163"/>
        </w:trPr>
        <w:tc>
          <w:tcPr>
            <w:tcW w:w="172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-3928745</wp:posOffset>
            </wp:positionV>
            <wp:extent cx="63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ind w:left="114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528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78"/>
        </w:trPr>
        <w:tc>
          <w:tcPr>
            <w:tcW w:w="1720" w:type="dxa"/>
            <w:vAlign w:val="bottom"/>
          </w:tcPr>
          <w:p>
            <w:pPr>
              <w:ind w:left="680"/>
              <w:spacing w:after="0"/>
              <w:rPr>
                <w:sz w:val="20"/>
                <w:szCs w:val="20"/>
                <w:color w:val="auto"/>
              </w:rPr>
            </w:pPr>
            <w:r>
              <w:rPr>
                <w:rFonts w:ascii="Arial" w:cs="Arial" w:eastAsia="Arial" w:hAnsi="Arial"/>
                <w:sz w:val="13"/>
                <w:szCs w:val="13"/>
                <w:color w:val="auto"/>
              </w:rPr>
              <w:t>10.8*</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2008 Omnibus Equity Plan. Filed as Appendix A to our Definitive Proxy Statement on Schedule 14A filed on May 8,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10.9*</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2008 Omnibus Equity Plan dated October 13, 2008. Filed as Exhibit 10.19 to our Annual Report on Form 10-K for the year ended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10.10*</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of restricted stock unit award agreement under the Biogen Idec Inc. 2008 Omnibus Equity Plan. Filed as Exhibit 10.1 to our Current Report on Form 8-K filed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August 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of nonqualified stock option award agreement under the Biogen Idec Inc. 2008 Omnibus Equity Plan. Filed as Exhibit 10.2 to our Current Report on Form 8-K</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filed on August 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2006 Non-Employee Directors Equity Plan. Filed as Appendix A to our Definitive Proxy Statement on Schedule 14A filed on April 14, 2006.</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the Biogen Idec Inc. 2006 Non-Employee Directors Equity Plan dated October 11, 2006. Filed as Exhibit 10.45 to our Annual Report on Form 10-K for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the year ended December 31, 2007.</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2006 Non-Employee Directors Equity Plan dated April 18, 2008. Filed as Exhibit 10.8 to our Quarterly Report on Form 10-Q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quarter ended June 30,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2006 Non-Employee Directors Equity Plan dated October 13, 2008. Filed as Exhibit 10.25 to our Annual Report on Form 10-K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2005 Omnibus Equity Plan. Filed as Appendix A to our Definitive Proxy Statement on Schedule 14A filed on April 15, 2005.</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10.17*</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1 to the Biogen Idec Inc. 2005 Omnibus Equity Plan dated April 4, 2006. Filed as Exhibit 10.1 to our Quarterly Report on Form 10-Q for the quarter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ended March 31, 2007.</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10.18*</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2 to the Biogen Idec Inc. 2005 Omnibus Equity Plan dated February 12, 2007. Filed as Exhibit 10.2 to our Quarterly Report on Form 10-Q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quarter ended March 31, 2007.</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10.19*</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the Biogen Idec Inc. 2005 Omnibus Equity Plan dated April 18, 2008. Filed as Exhibit 10.7 to our Quarterly Report on Form 10-Q for the quarter ended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June 30,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10.20*</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2005 Omnibus Equity Plan dated October 13, 2008. Filed as Exhibit 10.30 to our Annual Report on Form 10-K for the year ended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2003 Omnibus Equity Plan. Filed as Exhibit 10.73 to our Current Report on Form 8-K filed on November 12,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2003 Omnibus Equity Plan. Filed as Exhibit 10.1 to our Quarterly Report on Form 10-Q for the quarter ended March 31, 2005.</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2003 Omnibus Equity Plan dated April 18, 2008. Filed as Exhibit 10.6 to our Quarterly Report on Form 10-Q for the quarter ended June</w:t>
            </w:r>
          </w:p>
        </w:tc>
      </w:tr>
      <w:tr>
        <w:trPr>
          <w:trHeight w:val="157"/>
        </w:trPr>
        <w:tc>
          <w:tcPr>
            <w:tcW w:w="17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Arial" w:cs="Arial" w:eastAsia="Arial" w:hAnsi="Arial"/>
                <w:sz w:val="13"/>
                <w:szCs w:val="13"/>
                <w:color w:val="auto"/>
              </w:rPr>
              <w:t>30, 2008.</w:t>
            </w:r>
          </w:p>
        </w:tc>
        <w:tc>
          <w:tcPr>
            <w:tcW w:w="8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Idec Inc. 2003 Omnibus Equity Plan dated October 13, 2008. Filed as Exhibit 10.34 to our Annual Report on Form 10-K for the year ended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1995 Employee Stock Purchase Plan as amended and restated effective April 6, 2005. Filed as Appendix B to our Definitive Proxy Statement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Schedule 14A filed on April 15, 2005.</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IDEC Pharmaceuticals Corporation 1993 Non-Employee Directors Stock Option Plan, as amended and restated through February 19, 2003. Filed as Appendix B to our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Definitive Proxy Statement on Schedule 14A filed on April 11,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10.27*</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IDEC Pharmaceuticals Corporation 1993 Non-Employee Directors Stock Option Plan dated April 18, 2008. Filed as Exhibit 10.5 to our Quarterly Report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on Form 10-Q for the quarter ended June 30,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10.28*</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IDEC Pharmaceuticals Corporation 1988 Stock Option Plan, as amended and restated through February 19, 2003. Filed as Appendix A to our Definitive Proxy</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Statement on Schedule 14A filed on April 11,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10.29*</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the IDEC Pharmaceuticals Corporation 1988 Stock Option Plan dated April 16, 2004. Filed as Exhibit 10.1 to our Quarterly Report on Form 10-Q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quarter ended June 30, 2004.</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10.30*</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IDEC Pharmaceuticals Corporation 1988 Stock Option Plan dated April 18, 2008. Filed as Exhibit 10.4 to our Quarterly Report on Form 10-Q for the</w:t>
            </w:r>
          </w:p>
        </w:tc>
      </w:tr>
      <w:tr>
        <w:trPr>
          <w:trHeight w:val="165"/>
        </w:trPr>
        <w:tc>
          <w:tcPr>
            <w:tcW w:w="1720" w:type="dxa"/>
            <w:vAlign w:val="bottom"/>
          </w:tcPr>
          <w:p>
            <w:pPr>
              <w:spacing w:after="0"/>
              <w:rPr>
                <w:sz w:val="14"/>
                <w:szCs w:val="14"/>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quarter ended June 30, 2008.</w:t>
            </w:r>
          </w:p>
        </w:tc>
      </w:tr>
      <w:tr>
        <w:trPr>
          <w:trHeight w:val="452"/>
        </w:trPr>
        <w:tc>
          <w:tcPr>
            <w:tcW w:w="1720" w:type="dxa"/>
            <w:vAlign w:val="bottom"/>
          </w:tcPr>
          <w:p>
            <w:pPr>
              <w:spacing w:after="0"/>
              <w:rPr>
                <w:sz w:val="24"/>
                <w:szCs w:val="24"/>
                <w:color w:val="auto"/>
              </w:rPr>
            </w:pPr>
          </w:p>
        </w:tc>
        <w:tc>
          <w:tcPr>
            <w:tcW w:w="9740" w:type="dxa"/>
            <w:vAlign w:val="bottom"/>
            <w:gridSpan w:val="3"/>
          </w:tcPr>
          <w:p>
            <w:pPr>
              <w:ind w:left="3860"/>
              <w:spacing w:after="0"/>
              <w:rPr>
                <w:sz w:val="20"/>
                <w:szCs w:val="20"/>
                <w:color w:val="auto"/>
              </w:rPr>
            </w:pPr>
            <w:r>
              <w:rPr>
                <w:rFonts w:ascii="Arial" w:cs="Arial" w:eastAsia="Arial" w:hAnsi="Arial"/>
                <w:sz w:val="13"/>
                <w:szCs w:val="13"/>
                <w:color w:val="auto"/>
              </w:rPr>
              <w:t>A-2</w:t>
            </w:r>
          </w:p>
        </w:tc>
      </w:tr>
      <w:tr>
        <w:trPr>
          <w:trHeight w:val="163"/>
        </w:trPr>
        <w:tc>
          <w:tcPr>
            <w:tcW w:w="172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-4527550</wp:posOffset>
            </wp:positionV>
            <wp:extent cx="635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ind w:left="114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528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78"/>
        </w:trPr>
        <w:tc>
          <w:tcPr>
            <w:tcW w:w="1720" w:type="dxa"/>
            <w:vAlign w:val="bottom"/>
          </w:tcPr>
          <w:p>
            <w:pPr>
              <w:ind w:left="680"/>
              <w:spacing w:after="0"/>
              <w:rPr>
                <w:sz w:val="20"/>
                <w:szCs w:val="20"/>
                <w:color w:val="auto"/>
              </w:rPr>
            </w:pPr>
            <w:r>
              <w:rPr>
                <w:rFonts w:ascii="Arial" w:cs="Arial" w:eastAsia="Arial" w:hAnsi="Arial"/>
                <w:sz w:val="13"/>
                <w:szCs w:val="13"/>
                <w:color w:val="auto"/>
              </w:rPr>
              <w:t>10.31*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Inc. 1987 Scientific Board Stock Option Plan (as amended and restated through February 7, 2003). Filed as Exhibit 10.22 to Biogen, Inc.’s Annual Report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10-K for the year ended December 31, 2002 (File No. 0-12042) and incorporated herein by reference.</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Inc. 1987 Scientific Board Stock Option Plan dated April 18, 2008. Filed as Exhibit 10.3 to our Quarterly Report on Form 10-Q for the quarter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ended June 30,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Inc. 1985 Non-Qualified Stock Option Plan, as amended and restated through April 11, 2003. Filed as Exhibit 10.22 to our Annual Report on Form 10-K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year ended December 31, 2007.</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Inc. 1985 Non-Qualified Stock Option Plan dated April 18, 2008. Filed as Exhibit 10.2 to our Quarterly Report on Form 10-Q for the quarter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ended June 30,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to Biogen, Inc. 1985 Non-Qualified Stock Option Plan dated October 13, 2008. Filed as Exhibit 10.45 to our Annual Report on Form 10-K for the year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2008 Performance-Based Management Incentive Plan. Filed as Appendix B to Biogen Idec’s Definitive Proxy Statement on Schedule 14A filed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May 8,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10.37*</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2003 Performance-Based Management Incentive Plan. Filed as Exhibit 10.74 to our Current Report on Form 8-K filed on November 12,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10.38*</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Voluntary Executive Supplemental Savings Plan, as amended and restated effective January 1, 2004. Filed as Exhibit 10.13 to our Annual Report on Form 10-K for the</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year ended December 31, 2003.</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10.39*</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Supplemental Savings Plan, as amended and restated effective January 1, 2008. Filed as Exhibit 10.55 to our Annual Report on Form 10-K for the year ended December</w:t>
            </w:r>
          </w:p>
        </w:tc>
      </w:tr>
      <w:tr>
        <w:trPr>
          <w:trHeight w:val="157"/>
        </w:trPr>
        <w:tc>
          <w:tcPr>
            <w:tcW w:w="17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Arial" w:cs="Arial" w:eastAsia="Arial" w:hAnsi="Arial"/>
                <w:sz w:val="13"/>
                <w:szCs w:val="13"/>
                <w:color w:val="auto"/>
              </w:rPr>
              <w:t>31, 2007.</w:t>
            </w:r>
          </w:p>
        </w:tc>
        <w:tc>
          <w:tcPr>
            <w:tcW w:w="8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10.40*</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Voluntary Board of Directors Savings Plan, as amended and restated effective January 1, 2008. Filed as Exhibit 10.56 to our Annual Report on Form 10-K for the year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ended December 31, 2007.</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Executive Severance Policy -- U.S. Executive Vice President, as amended effective October 13, 2008. Filed as Exhibit 10.51 to our Annual Report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Executive Severance Policy -- International Executive Vice President, as amended effective October 13, 2008. Filed as Exhibit 10.52 to our Annual</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Report on 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Executive Severance Policy -- U.S. Senior Vice President, as amended effective October 13, 2008. Filed as Exhibit 10.53 to our Annual Report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10.44*</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Biogen Idec Inc. Executive Severance Policy -- International Senior Vice President, as amended effective October 13, 2008. Filed as Exhibit 10.54 to our Annual Report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on 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10.45*</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Annual Retainer Summary for Board of Directors. Filed as Exhibit 10.3 to our Quarterly Report on Form 10-Q for the quarter ended June 30, 2009.</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10.46*</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Form of indemnification agreement for directors. Filed as Exhibit 10.1 to our Current Report on Form 8-K filed on October 17,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10.47*</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w w:val="99"/>
              </w:rPr>
              <w:t>Employment Agreement between Biogen Idec and James C Mullen dated as of June 20, 2003. Filed as Exhibit 10.2 to our Registration Statement on Form S-4 (File No.</w:t>
            </w:r>
          </w:p>
        </w:tc>
      </w:tr>
      <w:tr>
        <w:trPr>
          <w:trHeight w:val="157"/>
        </w:trPr>
        <w:tc>
          <w:tcPr>
            <w:tcW w:w="17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Arial" w:cs="Arial" w:eastAsia="Arial" w:hAnsi="Arial"/>
                <w:sz w:val="13"/>
                <w:szCs w:val="13"/>
                <w:color w:val="auto"/>
              </w:rPr>
              <w:t>333-107098).</w:t>
            </w:r>
          </w:p>
        </w:tc>
        <w:tc>
          <w:tcPr>
            <w:tcW w:w="8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10.48*</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First Amendment to Employment Agreement between Biogen Idec and James C. Mullen dated February 7, 2006. Filed as Exhibit 10.1 to our Current Report on Form 8-</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K filed on February 10, 2006.</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10.49*</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Second Amendment to Employment Agreement between Biogen Idec and James C. Mullen dated as of December 4, 2008. Filed as Exhibit 10.59 to our Annual Report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on Form 10-K for the year ended December 31, 2008.</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10.50*+</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Transition Agreement between Biogen Idec and James C. Mullen dated as of January 4, 2010.</w:t>
            </w: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10.51*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Letter regarding employment arrangement of Paul J. Clancy dated August 17, 2007. Filed as Exhibit 10.49 to our Annual Report on Form 10-K for the year ended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December 31, 2007.</w:t>
            </w:r>
          </w:p>
        </w:tc>
      </w:tr>
      <w:tr>
        <w:trPr>
          <w:trHeight w:val="165"/>
        </w:trPr>
        <w:tc>
          <w:tcPr>
            <w:tcW w:w="1720" w:type="dxa"/>
            <w:vAlign w:val="bottom"/>
          </w:tcPr>
          <w:p>
            <w:pPr>
              <w:ind w:left="680"/>
              <w:spacing w:after="0"/>
              <w:rPr>
                <w:sz w:val="20"/>
                <w:szCs w:val="20"/>
                <w:color w:val="auto"/>
              </w:rPr>
            </w:pPr>
            <w:r>
              <w:rPr>
                <w:rFonts w:ascii="Arial" w:cs="Arial" w:eastAsia="Arial" w:hAnsi="Arial"/>
                <w:sz w:val="13"/>
                <w:szCs w:val="13"/>
                <w:color w:val="auto"/>
              </w:rPr>
              <w:t>10.52*+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Letter regarding employment arrangement of Robert Hamm dated April 1, 2009.</w:t>
            </w:r>
          </w:p>
        </w:tc>
      </w:tr>
      <w:tr>
        <w:trPr>
          <w:trHeight w:val="452"/>
        </w:trPr>
        <w:tc>
          <w:tcPr>
            <w:tcW w:w="1720" w:type="dxa"/>
            <w:vAlign w:val="bottom"/>
          </w:tcPr>
          <w:p>
            <w:pPr>
              <w:spacing w:after="0"/>
              <w:rPr>
                <w:sz w:val="24"/>
                <w:szCs w:val="24"/>
                <w:color w:val="auto"/>
              </w:rPr>
            </w:pPr>
          </w:p>
        </w:tc>
        <w:tc>
          <w:tcPr>
            <w:tcW w:w="9740" w:type="dxa"/>
            <w:vAlign w:val="bottom"/>
            <w:gridSpan w:val="3"/>
          </w:tcPr>
          <w:p>
            <w:pPr>
              <w:ind w:left="3860"/>
              <w:spacing w:after="0"/>
              <w:rPr>
                <w:sz w:val="20"/>
                <w:szCs w:val="20"/>
                <w:color w:val="auto"/>
              </w:rPr>
            </w:pPr>
            <w:r>
              <w:rPr>
                <w:rFonts w:ascii="Arial" w:cs="Arial" w:eastAsia="Arial" w:hAnsi="Arial"/>
                <w:sz w:val="13"/>
                <w:szCs w:val="13"/>
                <w:color w:val="auto"/>
              </w:rPr>
              <w:t>A-3</w:t>
            </w:r>
          </w:p>
        </w:tc>
      </w:tr>
      <w:tr>
        <w:trPr>
          <w:trHeight w:val="163"/>
        </w:trPr>
        <w:tc>
          <w:tcPr>
            <w:tcW w:w="172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-4328160</wp:posOffset>
            </wp:positionV>
            <wp:extent cx="63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040" w:type="dxa"/>
            <w:vAlign w:val="bottom"/>
          </w:tcPr>
          <w:p>
            <w:pPr>
              <w:ind w:left="46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10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3"/>
                <w:szCs w:val="13"/>
                <w:color w:val="auto"/>
              </w:rPr>
              <w:t>10.53*</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3"/>
              </w:rPr>
              <w:t>Letter regarding employment arrangement of Craig E. Schneier dated October 8, 2001. Filed as Exhibit 10.53 to our Annual Report on Form 10-K for the year ended</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December 31, 2005.</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10.54*</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3"/>
              </w:rPr>
              <w:t>First Amendment to Employment Agreement between Biogen Idec and Craig E. Schneier dated October 8, 2008. Filed as Exhibit 10.66 to our Annual Report on Form</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10-K for the year ended December 31, 2008.</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10.55*</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1"/>
              </w:rPr>
              <w:t>Employment Agreement between Biogen Idec Management Services GmbH and Hans Peter Hasler dated October 15, 2008. Filed as Exhibit 10.61 to our Annual Report</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on Form 10-K for the year ended December 31, 2008.</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10.56*</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2"/>
              </w:rPr>
              <w:t>Consulting Agreement between Eidetica Biopharma GmBH and Hans Peter Hasler dated April 30, 2009. Filed as Exhibit 10.1 to our Quarterly Report on Form 10-Q for</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the quarter ended June 30, 2009.</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10.57*</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2"/>
              </w:rPr>
              <w:t>Director Agreement between Biogen Idec International B.V. and Hans Peter Hasler dated April 30, 2009. Filed as Exhibit 10.2 to our Quarterly Report on Form 10-Q for</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the quarter ended June 30, 2009.</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10.58*+</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Letter regarding employment arrangement of Susan Alexander dated December 13, 2005.</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21+</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Subsidiaries.</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23+</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Consent of PricewaterhouseCoopers LLP, an Independent Registered Public Accounting Firm.</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31.1+</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Certification of the Chief Executive Officer pursuant to Section 302 of the Sarbanes-Oxley Act of 2002.</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31.2+</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Certification of the Chief Financial Officer pursuant to Section 302 of the Sarbanes-Oxley Act of 2002.</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32.1++</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Certification of the Chief Executive Officer and the Chief Financial Officer pursuant to Section 906 of the Sarbanes-Oxley Act of 2002.</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101++</w:t>
            </w: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8"/>
              </w:rPr>
              <w:t>The following materials from Biogen Idec Inc.’s Annual Report on Form 10-K for the year ended December 31, 2009, formatted in XBRL (Extensible Business</w:t>
            </w:r>
          </w:p>
        </w:tc>
      </w:tr>
      <w:tr>
        <w:trPr>
          <w:trHeight w:val="157"/>
        </w:trPr>
        <w:tc>
          <w:tcPr>
            <w:tcW w:w="1040" w:type="dxa"/>
            <w:vAlign w:val="bottom"/>
          </w:tcPr>
          <w:p>
            <w:pPr>
              <w:spacing w:after="0"/>
              <w:rPr>
                <w:sz w:val="13"/>
                <w:szCs w:val="13"/>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w w:val="96"/>
              </w:rPr>
              <w:t>Reporting Language): (i) the Consolidated Statements of Income, (ii) the Consolidated Balance Sheets, (iii) the Consolidated Statements of Cash Flows, (iv) the</w:t>
            </w:r>
          </w:p>
        </w:tc>
      </w:tr>
      <w:tr>
        <w:trPr>
          <w:trHeight w:val="165"/>
        </w:trPr>
        <w:tc>
          <w:tcPr>
            <w:tcW w:w="1040" w:type="dxa"/>
            <w:vAlign w:val="bottom"/>
          </w:tcPr>
          <w:p>
            <w:pPr>
              <w:spacing w:after="0"/>
              <w:rPr>
                <w:sz w:val="14"/>
                <w:szCs w:val="14"/>
                <w:color w:val="auto"/>
              </w:rPr>
            </w:pPr>
          </w:p>
        </w:tc>
        <w:tc>
          <w:tcPr>
            <w:tcW w:w="8940" w:type="dxa"/>
            <w:vAlign w:val="bottom"/>
            <w:gridSpan w:val="3"/>
          </w:tcPr>
          <w:p>
            <w:pPr>
              <w:ind w:left="60"/>
              <w:spacing w:after="0"/>
              <w:rPr>
                <w:sz w:val="20"/>
                <w:szCs w:val="20"/>
                <w:color w:val="auto"/>
              </w:rPr>
            </w:pPr>
            <w:r>
              <w:rPr>
                <w:rFonts w:ascii="Arial" w:cs="Arial" w:eastAsia="Arial" w:hAnsi="Arial"/>
                <w:sz w:val="13"/>
                <w:szCs w:val="13"/>
                <w:color w:val="auto"/>
              </w:rPr>
              <w:t>Consolidated Statement of Shareholders’ Equity and (v) Notes to Consolidated Financial Statements, tagged as blocks of 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-1927225</wp:posOffset>
            </wp:positionV>
            <wp:extent cx="63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right="300" w:hanging="132"/>
        <w:spacing w:after="0" w:line="307" w:lineRule="auto"/>
        <w:tabs>
          <w:tab w:leader="none" w:pos="10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Reference to “our” filings mean filings made by Biogen Idec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Management contract or compensatory plan or arrangement.</w:t>
      </w:r>
    </w:p>
    <w:p>
      <w:pPr>
        <w:spacing w:after="0" w:line="47" w:lineRule="exact"/>
        <w:rPr>
          <w:sz w:val="20"/>
          <w:szCs w:val="20"/>
          <w:color w:val="auto"/>
        </w:rPr>
      </w:pPr>
    </w:p>
    <w:p>
      <w:pPr>
        <w:ind w:left="920" w:right="5200" w:firstLine="6"/>
        <w:spacing w:after="0" w:line="315" w:lineRule="auto"/>
        <w:tabs>
          <w:tab w:leader="none" w:pos="1092" w:val="left"/>
        </w:tabs>
        <w:numPr>
          <w:ilvl w:val="0"/>
          <w:numId w:val="63"/>
        </w:numPr>
        <w:rPr>
          <w:rFonts w:ascii="Arial" w:cs="Arial" w:eastAsia="Arial" w:hAnsi="Arial"/>
          <w:sz w:val="13"/>
          <w:szCs w:val="13"/>
          <w:color w:val="auto"/>
        </w:rPr>
      </w:pPr>
      <w:r>
        <w:rPr>
          <w:rFonts w:ascii="Arial" w:cs="Arial" w:eastAsia="Arial" w:hAnsi="Arial"/>
          <w:sz w:val="13"/>
          <w:szCs w:val="13"/>
          <w:color w:val="auto"/>
        </w:rPr>
        <w:t>Confidential Treatment has been granted with respect to portions of this agreement. + Filed herewith.</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Furnished herewith.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0660"/>
          </w:cols>
          <w:pgMar w:left="220" w:top="343" w:right="10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10.50</w:t>
      </w:r>
    </w:p>
    <w:p>
      <w:pPr>
        <w:spacing w:after="0" w:line="244" w:lineRule="exact"/>
        <w:rPr>
          <w:sz w:val="20"/>
          <w:szCs w:val="20"/>
          <w:color w:val="auto"/>
        </w:rPr>
      </w:pPr>
    </w:p>
    <w:p>
      <w:pPr>
        <w:ind w:left="4881"/>
        <w:spacing w:after="0"/>
        <w:rPr>
          <w:sz w:val="20"/>
          <w:szCs w:val="20"/>
          <w:color w:val="auto"/>
        </w:rPr>
      </w:pPr>
      <w:r>
        <w:rPr>
          <w:rFonts w:ascii="Arial" w:cs="Arial" w:eastAsia="Arial" w:hAnsi="Arial"/>
          <w:sz w:val="13"/>
          <w:szCs w:val="13"/>
          <w:b w:val="1"/>
          <w:bCs w:val="1"/>
          <w:color w:val="auto"/>
        </w:rPr>
        <w:t>TRANSITION AGREEMENT</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TRANSITION AGREEMENT (this “Agreement”) made and entered into by and between Biogen Idec Inc. (the “Company”) and James C. Mullen (the “Executive”), dated as of January 4, 2010.</w:t>
      </w:r>
    </w:p>
    <w:p>
      <w:pPr>
        <w:spacing w:after="0" w:line="86" w:lineRule="exact"/>
        <w:rPr>
          <w:sz w:val="20"/>
          <w:szCs w:val="20"/>
          <w:color w:val="auto"/>
        </w:rPr>
      </w:pPr>
    </w:p>
    <w:p>
      <w:pPr>
        <w:ind w:left="1" w:right="80" w:firstLine="161"/>
        <w:spacing w:after="0" w:line="276" w:lineRule="auto"/>
        <w:rPr>
          <w:sz w:val="20"/>
          <w:szCs w:val="20"/>
          <w:color w:val="auto"/>
        </w:rPr>
      </w:pPr>
      <w:r>
        <w:rPr>
          <w:rFonts w:ascii="Arial" w:cs="Arial" w:eastAsia="Arial" w:hAnsi="Arial"/>
          <w:sz w:val="13"/>
          <w:szCs w:val="13"/>
          <w:color w:val="auto"/>
        </w:rPr>
        <w:t>WHEREAS, the Executive has been employed as President and Chief Executive Officer of the Company and has served as a member of the Company’s Board of Directors pursuant to a written agreement originally dated June 20,2003 (as amended, the “Employment Agreement”); and</w:t>
      </w:r>
    </w:p>
    <w:p>
      <w:pPr>
        <w:spacing w:after="0" w:line="49" w:lineRule="exact"/>
        <w:rPr>
          <w:sz w:val="20"/>
          <w:szCs w:val="20"/>
          <w:color w:val="auto"/>
        </w:rPr>
      </w:pPr>
    </w:p>
    <w:p>
      <w:pPr>
        <w:ind w:left="1" w:right="320" w:firstLine="161"/>
        <w:spacing w:after="0" w:line="276" w:lineRule="auto"/>
        <w:rPr>
          <w:sz w:val="20"/>
          <w:szCs w:val="20"/>
          <w:color w:val="auto"/>
        </w:rPr>
      </w:pPr>
      <w:r>
        <w:rPr>
          <w:rFonts w:ascii="Arial" w:cs="Arial" w:eastAsia="Arial" w:hAnsi="Arial"/>
          <w:sz w:val="13"/>
          <w:szCs w:val="13"/>
          <w:color w:val="auto"/>
        </w:rPr>
        <w:t>WHEREAS, the Executive and the Company have mutually determined that it is an appropriate time for the Company to transition to a new President and Chief Executive Officer and therefore wish to set forth clearly the terms of such transition;</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NOW, THEREFORE, in consideration of the foregoing premises and the mutual promises, terms, provisions and conditions set forth in this Agreement, the parties hereby agree as follows:</w:t>
      </w:r>
    </w:p>
    <w:p>
      <w:pPr>
        <w:spacing w:after="0" w:line="82" w:lineRule="exact"/>
        <w:rPr>
          <w:sz w:val="20"/>
          <w:szCs w:val="20"/>
          <w:color w:val="auto"/>
        </w:rPr>
      </w:pPr>
    </w:p>
    <w:p>
      <w:pPr>
        <w:ind w:left="221" w:hanging="221"/>
        <w:spacing w:after="0"/>
        <w:tabs>
          <w:tab w:leader="none" w:pos="221"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Dates.</w:t>
      </w:r>
    </w:p>
    <w:p>
      <w:pPr>
        <w:spacing w:after="0" w:line="90" w:lineRule="exact"/>
        <w:rPr>
          <w:rFonts w:ascii="Arial" w:cs="Arial" w:eastAsia="Arial" w:hAnsi="Arial"/>
          <w:sz w:val="13"/>
          <w:szCs w:val="13"/>
          <w:b w:val="1"/>
          <w:bCs w:val="1"/>
          <w:color w:val="auto"/>
        </w:rPr>
      </w:pPr>
    </w:p>
    <w:p>
      <w:pPr>
        <w:ind w:left="561" w:hanging="168"/>
        <w:spacing w:after="0"/>
        <w:tabs>
          <w:tab w:leader="none" w:pos="5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For purposes of this Agreement, the “Transition Date” shall be such date designated by the Board of Directors of the Company (the “Board), by notice to the Executive.</w:t>
      </w:r>
    </w:p>
    <w:p>
      <w:pPr>
        <w:spacing w:after="0" w:line="86" w:lineRule="exact"/>
        <w:rPr>
          <w:rFonts w:ascii="Arial" w:cs="Arial" w:eastAsia="Arial" w:hAnsi="Arial"/>
          <w:sz w:val="13"/>
          <w:szCs w:val="13"/>
          <w:color w:val="auto"/>
        </w:rPr>
      </w:pPr>
    </w:p>
    <w:p>
      <w:pPr>
        <w:ind w:left="221" w:right="100" w:firstLine="172"/>
        <w:spacing w:after="0" w:line="264" w:lineRule="auto"/>
        <w:tabs>
          <w:tab w:leader="none" w:pos="571" w:val="left"/>
        </w:tabs>
        <w:numPr>
          <w:ilvl w:val="1"/>
          <w:numId w:val="64"/>
        </w:numPr>
        <w:rPr>
          <w:rFonts w:ascii="Arial" w:cs="Arial" w:eastAsia="Arial" w:hAnsi="Arial"/>
          <w:sz w:val="13"/>
          <w:szCs w:val="13"/>
          <w:color w:val="auto"/>
        </w:rPr>
      </w:pPr>
      <w:r>
        <w:rPr>
          <w:rFonts w:ascii="Arial" w:cs="Arial" w:eastAsia="Arial" w:hAnsi="Arial"/>
          <w:sz w:val="13"/>
          <w:szCs w:val="13"/>
          <w:color w:val="auto"/>
        </w:rPr>
        <w:t>For purposes of this Agreement, the “Separation Date” shall be June 8, 2010 or such earlier date as the Executive’s employment with the Company terminates due to Executive’s death or disability or termination by the Company for any reason. If the Transition Date does not occur prior to the Separation Date, then references herein to the Transition Date shall be deemed to be references to the Separation Date, where the context so requires.</w:t>
      </w:r>
    </w:p>
    <w:p>
      <w:pPr>
        <w:spacing w:after="0" w:line="53" w:lineRule="exact"/>
        <w:rPr>
          <w:rFonts w:ascii="Arial" w:cs="Arial" w:eastAsia="Arial" w:hAnsi="Arial"/>
          <w:sz w:val="13"/>
          <w:szCs w:val="13"/>
          <w:color w:val="auto"/>
        </w:rPr>
      </w:pPr>
    </w:p>
    <w:p>
      <w:pPr>
        <w:jc w:val="both"/>
        <w:ind w:left="221" w:right="180" w:hanging="221"/>
        <w:spacing w:after="0" w:line="267" w:lineRule="auto"/>
        <w:tabs>
          <w:tab w:leader="none" w:pos="221"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Resignation. </w:t>
      </w:r>
      <w:r>
        <w:rPr>
          <w:rFonts w:ascii="Arial" w:cs="Arial" w:eastAsia="Arial" w:hAnsi="Arial"/>
          <w:sz w:val="13"/>
          <w:szCs w:val="13"/>
          <w:color w:val="auto"/>
        </w:rPr>
        <w:t>The Executive hereby resigns (a) his position as President and Chief Executive Officer of the Company, effective as of the Transition Date and (b) his employment with the Company, effective as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Separation Date. The Executive further agrees that he will resign from the Board upon the formal request of the Board at any time following the Transition Date. The Executive shall not stand for reelection to the Board.</w:t>
      </w:r>
    </w:p>
    <w:p>
      <w:pPr>
        <w:spacing w:after="0" w:line="61" w:lineRule="exact"/>
        <w:rPr>
          <w:rFonts w:ascii="Arial" w:cs="Arial" w:eastAsia="Arial" w:hAnsi="Arial"/>
          <w:sz w:val="13"/>
          <w:szCs w:val="13"/>
          <w:b w:val="1"/>
          <w:bCs w:val="1"/>
          <w:color w:val="auto"/>
        </w:rPr>
      </w:pPr>
    </w:p>
    <w:p>
      <w:pPr>
        <w:ind w:left="221" w:right="80" w:hanging="221"/>
        <w:spacing w:after="0" w:line="338" w:lineRule="auto"/>
        <w:tabs>
          <w:tab w:leader="none" w:pos="221" w:val="left"/>
        </w:tabs>
        <w:numPr>
          <w:ilvl w:val="0"/>
          <w:numId w:val="6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Continuation Period. </w:t>
      </w:r>
      <w:r>
        <w:rPr>
          <w:rFonts w:ascii="Arial" w:cs="Arial" w:eastAsia="Arial" w:hAnsi="Arial"/>
          <w:sz w:val="11"/>
          <w:szCs w:val="11"/>
          <w:color w:val="auto"/>
        </w:rPr>
        <w:t>The period from the date hereof through the Transition Date shall be referred to as the “Continuation Period”. During the Continuation Period, the Executive shall continue to serve as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Company’s President and Chief Executive Officer and, until the end of his current Board term, as a member of the Board, and shall have such duties and responsibilities as provided in Section 2 of the Employment Agreement. Notwithstanding the foregoing, it is understood and agreed that following the public disclosure by the Company of the existence of this Agreement, the Executive will be allowed (i) to devote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41" w:name="page142"/>
    <w:bookmarkEnd w:id="141"/>
    <w:p>
      <w:pPr>
        <w:ind w:left="221" w:right="100"/>
        <w:spacing w:after="0" w:line="264" w:lineRule="auto"/>
        <w:rPr>
          <w:sz w:val="20"/>
          <w:szCs w:val="20"/>
          <w:color w:val="auto"/>
        </w:rPr>
      </w:pPr>
      <w:r>
        <w:rPr>
          <w:rFonts w:ascii="Arial" w:cs="Arial" w:eastAsia="Arial" w:hAnsi="Arial"/>
          <w:sz w:val="13"/>
          <w:szCs w:val="13"/>
          <w:color w:val="auto"/>
        </w:rPr>
        <w:t>working time to career-related matters, including communicating with prospective employers and/or boards regarding potential future opportunities, provided doing so does not materially interfere with his performance of his duties and responsibilities hereunder and (ii) to join the board of directors or other governing body of one or more other entities so long as the Executive’s membership thereon does not violate Section 6 of the Employment Agreement.</w:t>
      </w:r>
    </w:p>
    <w:p>
      <w:pPr>
        <w:spacing w:after="0" w:line="53" w:lineRule="exact"/>
        <w:rPr>
          <w:sz w:val="20"/>
          <w:szCs w:val="20"/>
          <w:color w:val="auto"/>
        </w:rPr>
      </w:pPr>
    </w:p>
    <w:p>
      <w:pPr>
        <w:ind w:left="221" w:hanging="221"/>
        <w:spacing w:after="0"/>
        <w:tabs>
          <w:tab w:leader="none" w:pos="221"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Period.</w:t>
      </w:r>
    </w:p>
    <w:p>
      <w:pPr>
        <w:spacing w:after="0" w:line="90" w:lineRule="exact"/>
        <w:rPr>
          <w:rFonts w:ascii="Arial" w:cs="Arial" w:eastAsia="Arial" w:hAnsi="Arial"/>
          <w:sz w:val="13"/>
          <w:szCs w:val="13"/>
          <w:b w:val="1"/>
          <w:bCs w:val="1"/>
          <w:color w:val="auto"/>
        </w:rPr>
      </w:pPr>
    </w:p>
    <w:p>
      <w:pPr>
        <w:ind w:left="221" w:firstLine="172"/>
        <w:spacing w:after="0" w:line="276" w:lineRule="auto"/>
        <w:tabs>
          <w:tab w:leader="none" w:pos="563"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The period (if any) from the Transition Date through the Separation Date shall be referred to as the “Transition Period.” During the Transition Period, the Executive shall continue as a Company employee as Special Advisor to the Company.</w:t>
      </w:r>
    </w:p>
    <w:p>
      <w:pPr>
        <w:spacing w:after="0" w:line="49" w:lineRule="exact"/>
        <w:rPr>
          <w:rFonts w:ascii="Arial" w:cs="Arial" w:eastAsia="Arial" w:hAnsi="Arial"/>
          <w:sz w:val="13"/>
          <w:szCs w:val="13"/>
          <w:color w:val="auto"/>
        </w:rPr>
      </w:pPr>
    </w:p>
    <w:p>
      <w:pPr>
        <w:ind w:left="221" w:right="280" w:firstLine="172"/>
        <w:spacing w:after="0" w:line="276" w:lineRule="auto"/>
        <w:tabs>
          <w:tab w:leader="none" w:pos="571" w:val="left"/>
        </w:tabs>
        <w:numPr>
          <w:ilvl w:val="1"/>
          <w:numId w:val="65"/>
        </w:numPr>
        <w:rPr>
          <w:rFonts w:ascii="Arial" w:cs="Arial" w:eastAsia="Arial" w:hAnsi="Arial"/>
          <w:sz w:val="13"/>
          <w:szCs w:val="13"/>
          <w:color w:val="auto"/>
        </w:rPr>
      </w:pPr>
      <w:r>
        <w:rPr>
          <w:rFonts w:ascii="Arial" w:cs="Arial" w:eastAsia="Arial" w:hAnsi="Arial"/>
          <w:sz w:val="13"/>
          <w:szCs w:val="13"/>
          <w:color w:val="auto"/>
        </w:rPr>
        <w:t>During the Transition Period, the Executive may be assigned such projects and tasks as are reasonably related to, and consistent with his former position as, President and Chief Executive Officer of the Company.</w:t>
      </w:r>
    </w:p>
    <w:p>
      <w:pPr>
        <w:spacing w:after="0" w:line="45" w:lineRule="exact"/>
        <w:rPr>
          <w:rFonts w:ascii="Arial" w:cs="Arial" w:eastAsia="Arial" w:hAnsi="Arial"/>
          <w:sz w:val="13"/>
          <w:szCs w:val="13"/>
          <w:color w:val="auto"/>
        </w:rPr>
      </w:pPr>
    </w:p>
    <w:p>
      <w:pPr>
        <w:ind w:left="221" w:hanging="221"/>
        <w:spacing w:after="0"/>
        <w:tabs>
          <w:tab w:leader="none" w:pos="221"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 and Benefits Through the Separation Date.</w:t>
      </w:r>
    </w:p>
    <w:p>
      <w:pPr>
        <w:spacing w:after="0" w:line="90" w:lineRule="exact"/>
        <w:rPr>
          <w:rFonts w:ascii="Arial" w:cs="Arial" w:eastAsia="Arial" w:hAnsi="Arial"/>
          <w:sz w:val="13"/>
          <w:szCs w:val="13"/>
          <w:b w:val="1"/>
          <w:bCs w:val="1"/>
          <w:color w:val="auto"/>
        </w:rPr>
      </w:pPr>
    </w:p>
    <w:p>
      <w:pPr>
        <w:ind w:left="221" w:right="200" w:firstLine="172"/>
        <w:spacing w:after="0" w:line="276" w:lineRule="auto"/>
        <w:tabs>
          <w:tab w:leader="none" w:pos="563" w:val="left"/>
        </w:tabs>
        <w:numPr>
          <w:ilvl w:val="1"/>
          <w:numId w:val="65"/>
        </w:numPr>
        <w:rPr>
          <w:rFonts w:ascii="Arial" w:cs="Arial" w:eastAsia="Arial" w:hAnsi="Arial"/>
          <w:sz w:val="13"/>
          <w:szCs w:val="13"/>
          <w:color w:val="auto"/>
        </w:rPr>
      </w:pPr>
      <w:r>
        <w:rPr>
          <w:rFonts w:ascii="Arial" w:cs="Arial" w:eastAsia="Arial" w:hAnsi="Arial"/>
          <w:sz w:val="13"/>
          <w:szCs w:val="13"/>
          <w:color w:val="auto"/>
        </w:rPr>
        <w:t>From the date hereof through June 8, 2010, the Company shall continue to pay the Executive his base salary at the rate in effect immediately prior to the date hereof at the rate of $1,200,000 per year (the “Base Salary”), payable in accordance with the normal payroll practices of the Company.</w:t>
      </w:r>
    </w:p>
    <w:p>
      <w:pPr>
        <w:spacing w:after="0" w:line="49" w:lineRule="exact"/>
        <w:rPr>
          <w:rFonts w:ascii="Arial" w:cs="Arial" w:eastAsia="Arial" w:hAnsi="Arial"/>
          <w:sz w:val="13"/>
          <w:szCs w:val="13"/>
          <w:color w:val="auto"/>
        </w:rPr>
      </w:pPr>
    </w:p>
    <w:p>
      <w:pPr>
        <w:ind w:left="221" w:right="40" w:firstLine="172"/>
        <w:spacing w:after="0" w:line="296" w:lineRule="auto"/>
        <w:tabs>
          <w:tab w:leader="none" w:pos="571" w:val="left"/>
        </w:tabs>
        <w:numPr>
          <w:ilvl w:val="1"/>
          <w:numId w:val="65"/>
        </w:numPr>
        <w:rPr>
          <w:rFonts w:ascii="Arial" w:cs="Arial" w:eastAsia="Arial" w:hAnsi="Arial"/>
          <w:sz w:val="12"/>
          <w:szCs w:val="12"/>
          <w:color w:val="auto"/>
        </w:rPr>
      </w:pPr>
      <w:r>
        <w:rPr>
          <w:rFonts w:ascii="Arial" w:cs="Arial" w:eastAsia="Arial" w:hAnsi="Arial"/>
          <w:sz w:val="12"/>
          <w:szCs w:val="12"/>
          <w:color w:val="auto"/>
        </w:rPr>
        <w:t>From the date hereof through June 8, 2010, the Executive shall be entitled to continue to participate in any and all employee benefit plans of the Company in which he was participating immediately prior to the date hereof and, as of the Separation Date, (i) all matching credits for contributions with respect to periods through June 8, 2010 will be credited to the Executive’s accounts (notwithstanding the ordinary crediting schedule applicable to such plans) and (ii) all such benefits (including matching credits) shall be fully vested. Exhibit A sets forth a list of certain of the Executive’s benefits as of December 28, 2009.</w:t>
      </w:r>
    </w:p>
    <w:p>
      <w:pPr>
        <w:spacing w:after="0" w:line="39" w:lineRule="exact"/>
        <w:rPr>
          <w:rFonts w:ascii="Arial" w:cs="Arial" w:eastAsia="Arial" w:hAnsi="Arial"/>
          <w:sz w:val="12"/>
          <w:szCs w:val="12"/>
          <w:color w:val="auto"/>
        </w:rPr>
      </w:pPr>
    </w:p>
    <w:p>
      <w:pPr>
        <w:jc w:val="both"/>
        <w:ind w:left="221" w:right="40" w:firstLine="172"/>
        <w:spacing w:after="0" w:line="296" w:lineRule="auto"/>
        <w:tabs>
          <w:tab w:leader="none" w:pos="563" w:val="left"/>
        </w:tabs>
        <w:numPr>
          <w:ilvl w:val="1"/>
          <w:numId w:val="65"/>
        </w:numPr>
        <w:rPr>
          <w:rFonts w:ascii="Arial" w:cs="Arial" w:eastAsia="Arial" w:hAnsi="Arial"/>
          <w:sz w:val="12"/>
          <w:szCs w:val="12"/>
          <w:color w:val="auto"/>
        </w:rPr>
      </w:pPr>
      <w:r>
        <w:rPr>
          <w:rFonts w:ascii="Arial" w:cs="Arial" w:eastAsia="Arial" w:hAnsi="Arial"/>
          <w:sz w:val="12"/>
          <w:szCs w:val="12"/>
          <w:color w:val="auto"/>
        </w:rPr>
        <w:t>The Executive shall be paid an annual bonus with respect to 2009 in an amount not less than the product of his 2009 annual bonus target (125% of base salary) and the corporate multiplier (to be determined by the Compensation Committee of the Board based on performance metrics previously established in 2009 consistent with the determination made for the Company’s other executive officers). Such annual bonus will be paid at the time bonus awards with respect to 2009 are paid to the Company’s other executive officers, but prior to March 15, 2010.</w:t>
      </w:r>
    </w:p>
    <w:p>
      <w:pPr>
        <w:spacing w:after="0" w:line="39" w:lineRule="exact"/>
        <w:rPr>
          <w:rFonts w:ascii="Arial" w:cs="Arial" w:eastAsia="Arial" w:hAnsi="Arial"/>
          <w:sz w:val="12"/>
          <w:szCs w:val="12"/>
          <w:color w:val="auto"/>
        </w:rPr>
      </w:pPr>
    </w:p>
    <w:p>
      <w:pPr>
        <w:ind w:left="221" w:right="40" w:firstLine="172"/>
        <w:spacing w:after="0" w:line="276" w:lineRule="auto"/>
        <w:tabs>
          <w:tab w:leader="none" w:pos="571" w:val="left"/>
        </w:tabs>
        <w:numPr>
          <w:ilvl w:val="1"/>
          <w:numId w:val="65"/>
        </w:numPr>
        <w:rPr>
          <w:rFonts w:ascii="Arial" w:cs="Arial" w:eastAsia="Arial" w:hAnsi="Arial"/>
          <w:sz w:val="13"/>
          <w:szCs w:val="13"/>
          <w:color w:val="auto"/>
        </w:rPr>
      </w:pPr>
      <w:r>
        <w:rPr>
          <w:rFonts w:ascii="Arial" w:cs="Arial" w:eastAsia="Arial" w:hAnsi="Arial"/>
          <w:sz w:val="13"/>
          <w:szCs w:val="13"/>
          <w:color w:val="auto"/>
        </w:rPr>
        <w:t>Subject to the provisions of Section 11(c), no later than the later of June 8, 2010 and ten business days following the Separation Date, the Executive shall be paid a pro-rata bonus with respect to 2010 based on his Base Salary and an annual bonus target of 125% of the Base Salary, pro-rated for the portion of calendar year 2010 that precedes June 8, 2010.</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20" w:right="299" w:bottom="1440" w:gutter="0" w:footer="0" w:header="0"/>
        </w:sectPr>
      </w:pPr>
    </w:p>
    <w:bookmarkStart w:id="142" w:name="page143"/>
    <w:bookmarkEnd w:id="142"/>
    <w:p>
      <w:pPr>
        <w:ind w:left="221" w:right="180" w:firstLine="172"/>
        <w:spacing w:after="0" w:line="276" w:lineRule="auto"/>
        <w:tabs>
          <w:tab w:leader="none" w:pos="563"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Company shall pay or reimburse the Executive for all reasonable and necessary business expenses incurred or paid by the Executive in the performance of his duties and responsibilities, in accordance with the applicable reimbursement policy of the Company.</w:t>
      </w:r>
    </w:p>
    <w:p>
      <w:pPr>
        <w:spacing w:after="0" w:line="49" w:lineRule="exact"/>
        <w:rPr>
          <w:rFonts w:ascii="Arial" w:cs="Arial" w:eastAsia="Arial" w:hAnsi="Arial"/>
          <w:sz w:val="13"/>
          <w:szCs w:val="13"/>
          <w:color w:val="auto"/>
        </w:rPr>
      </w:pPr>
    </w:p>
    <w:p>
      <w:pPr>
        <w:ind w:left="221" w:right="20" w:firstLine="172"/>
        <w:spacing w:after="0" w:line="264" w:lineRule="auto"/>
        <w:tabs>
          <w:tab w:leader="none" w:pos="544" w:val="left"/>
        </w:tabs>
        <w:numPr>
          <w:ilvl w:val="1"/>
          <w:numId w:val="66"/>
        </w:numPr>
        <w:rPr>
          <w:rFonts w:ascii="Arial" w:cs="Arial" w:eastAsia="Arial" w:hAnsi="Arial"/>
          <w:sz w:val="13"/>
          <w:szCs w:val="13"/>
          <w:color w:val="auto"/>
        </w:rPr>
      </w:pPr>
      <w:r>
        <w:rPr>
          <w:rFonts w:ascii="Arial" w:cs="Arial" w:eastAsia="Arial" w:hAnsi="Arial"/>
          <w:sz w:val="13"/>
          <w:szCs w:val="13"/>
          <w:color w:val="auto"/>
        </w:rPr>
        <w:t>Until the Transition Date, the Executive shall retain his current office location in the Company’s offices and shall maintain the same level of administrative support and services as are being provided as of the date hereof. Between the Transition Date and the Separation Date, the Executive shall be provided an office and a level of administrative support and services comparable to the level being provided as of the date hereof.</w:t>
      </w:r>
    </w:p>
    <w:p>
      <w:pPr>
        <w:spacing w:after="0" w:line="53" w:lineRule="exact"/>
        <w:rPr>
          <w:rFonts w:ascii="Arial" w:cs="Arial" w:eastAsia="Arial" w:hAnsi="Arial"/>
          <w:sz w:val="13"/>
          <w:szCs w:val="13"/>
          <w:color w:val="auto"/>
        </w:rPr>
      </w:pPr>
    </w:p>
    <w:p>
      <w:pPr>
        <w:ind w:left="221" w:hanging="221"/>
        <w:spacing w:after="0"/>
        <w:tabs>
          <w:tab w:leader="none" w:pos="221"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Options.</w:t>
      </w:r>
    </w:p>
    <w:p>
      <w:pPr>
        <w:spacing w:after="0" w:line="90" w:lineRule="exact"/>
        <w:rPr>
          <w:rFonts w:ascii="Arial" w:cs="Arial" w:eastAsia="Arial" w:hAnsi="Arial"/>
          <w:sz w:val="13"/>
          <w:szCs w:val="13"/>
          <w:b w:val="1"/>
          <w:bCs w:val="1"/>
          <w:color w:val="auto"/>
        </w:rPr>
      </w:pPr>
    </w:p>
    <w:p>
      <w:pPr>
        <w:ind w:left="221" w:firstLine="172"/>
        <w:spacing w:after="0" w:line="264" w:lineRule="auto"/>
        <w:tabs>
          <w:tab w:leader="none" w:pos="563" w:val="left"/>
        </w:tabs>
        <w:numPr>
          <w:ilvl w:val="1"/>
          <w:numId w:val="67"/>
        </w:numPr>
        <w:rPr>
          <w:rFonts w:ascii="Arial" w:cs="Arial" w:eastAsia="Arial" w:hAnsi="Arial"/>
          <w:sz w:val="13"/>
          <w:szCs w:val="13"/>
          <w:color w:val="auto"/>
        </w:rPr>
      </w:pPr>
      <w:r>
        <w:rPr>
          <w:rFonts w:ascii="Arial" w:cs="Arial" w:eastAsia="Arial" w:hAnsi="Arial"/>
          <w:sz w:val="13"/>
          <w:szCs w:val="13"/>
          <w:color w:val="auto"/>
        </w:rPr>
        <w:t>Attached hereto as Exhibit B is a schedule of all outstanding stock options previously granted (and not yet exercised) to the Executive by the Company or a predecessor as of December 28, 2009 (the “Stock Options”). From the date hereof through the Separation Date, the Stock Options shall continue to vest in accordance with the governing terms of the applicable stock plan and/or the option agreement or other award documentation governing such Stock Options.</w:t>
      </w:r>
    </w:p>
    <w:p>
      <w:pPr>
        <w:spacing w:after="0" w:line="57" w:lineRule="exact"/>
        <w:rPr>
          <w:rFonts w:ascii="Arial" w:cs="Arial" w:eastAsia="Arial" w:hAnsi="Arial"/>
          <w:sz w:val="13"/>
          <w:szCs w:val="13"/>
          <w:color w:val="auto"/>
        </w:rPr>
      </w:pPr>
    </w:p>
    <w:p>
      <w:pPr>
        <w:ind w:left="221" w:right="580" w:firstLine="172"/>
        <w:spacing w:after="0" w:line="276" w:lineRule="auto"/>
        <w:tabs>
          <w:tab w:leader="none" w:pos="571" w:val="left"/>
        </w:tabs>
        <w:numPr>
          <w:ilvl w:val="1"/>
          <w:numId w:val="67"/>
        </w:numPr>
        <w:rPr>
          <w:rFonts w:ascii="Arial" w:cs="Arial" w:eastAsia="Arial" w:hAnsi="Arial"/>
          <w:sz w:val="13"/>
          <w:szCs w:val="13"/>
          <w:color w:val="auto"/>
        </w:rPr>
      </w:pPr>
      <w:r>
        <w:rPr>
          <w:rFonts w:ascii="Arial" w:cs="Arial" w:eastAsia="Arial" w:hAnsi="Arial"/>
          <w:sz w:val="13"/>
          <w:szCs w:val="13"/>
          <w:color w:val="auto"/>
        </w:rPr>
        <w:t>Notwithstanding any provision of the Employment Agreement or any stock plan or agreement evidencing a Stock Option, upon the Separation Date (and immediately prior to the termination of the Executive’s employment) each Stock Option shall, to the extent not theretofore vested, become fully vested and exercisable.</w:t>
      </w:r>
    </w:p>
    <w:p>
      <w:pPr>
        <w:spacing w:after="0" w:line="49" w:lineRule="exact"/>
        <w:rPr>
          <w:rFonts w:ascii="Arial" w:cs="Arial" w:eastAsia="Arial" w:hAnsi="Arial"/>
          <w:sz w:val="13"/>
          <w:szCs w:val="13"/>
          <w:color w:val="auto"/>
        </w:rPr>
      </w:pPr>
    </w:p>
    <w:p>
      <w:pPr>
        <w:ind w:left="221" w:right="160" w:firstLine="172"/>
        <w:spacing w:after="0" w:line="260" w:lineRule="auto"/>
        <w:tabs>
          <w:tab w:leader="none" w:pos="563" w:val="left"/>
        </w:tabs>
        <w:numPr>
          <w:ilvl w:val="1"/>
          <w:numId w:val="67"/>
        </w:numPr>
        <w:rPr>
          <w:rFonts w:ascii="Arial" w:cs="Arial" w:eastAsia="Arial" w:hAnsi="Arial"/>
          <w:sz w:val="13"/>
          <w:szCs w:val="13"/>
          <w:color w:val="auto"/>
        </w:rPr>
      </w:pPr>
      <w:r>
        <w:rPr>
          <w:rFonts w:ascii="Arial" w:cs="Arial" w:eastAsia="Arial" w:hAnsi="Arial"/>
          <w:sz w:val="13"/>
          <w:szCs w:val="13"/>
          <w:color w:val="auto"/>
        </w:rPr>
        <w:t>Following the Separation Date, the Executive shall be entitled to exercise each Stock Option, in whole or in part. until the earlier of (i) three years following June 8, 2010 and (ii) the expiration of the maximum term of such Stock Option. The Company shall permit the Executive to elect to net-exercise all such Stock Options (for both exercise prices and taxes) throughout the above-described period. The Company shall also take such actions as are necessary to permit the Executive unrestricted resale of shares acquired pursuant to such Stock Options and the Stock Awards described in Section 7 hereof (including maintaining the effectiveness of a Form S-8 or similar form and a resale prospectus with respect to such equity awards).</w:t>
      </w:r>
    </w:p>
    <w:p>
      <w:pPr>
        <w:spacing w:after="0" w:line="55" w:lineRule="exact"/>
        <w:rPr>
          <w:rFonts w:ascii="Arial" w:cs="Arial" w:eastAsia="Arial" w:hAnsi="Arial"/>
          <w:sz w:val="13"/>
          <w:szCs w:val="13"/>
          <w:color w:val="auto"/>
        </w:rPr>
      </w:pPr>
    </w:p>
    <w:p>
      <w:pPr>
        <w:ind w:left="221" w:right="20" w:hanging="221"/>
        <w:spacing w:after="0" w:line="291" w:lineRule="auto"/>
        <w:tabs>
          <w:tab w:leader="none" w:pos="221"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Restricted Stock. </w:t>
      </w:r>
      <w:r>
        <w:rPr>
          <w:rFonts w:ascii="Arial" w:cs="Arial" w:eastAsia="Arial" w:hAnsi="Arial"/>
          <w:sz w:val="12"/>
          <w:szCs w:val="12"/>
          <w:color w:val="auto"/>
        </w:rPr>
        <w:t>Attached hereto as Exhibit C is a schedule of all outstanding and unvested restricted stock unit awards previously granted to the Executive by the Company or a predecessor as of December 28,</w:t>
      </w:r>
      <w:r>
        <w:rPr>
          <w:rFonts w:ascii="Arial" w:cs="Arial" w:eastAsia="Arial" w:hAnsi="Arial"/>
          <w:sz w:val="12"/>
          <w:szCs w:val="12"/>
          <w:b w:val="1"/>
          <w:bCs w:val="1"/>
          <w:color w:val="auto"/>
        </w:rPr>
        <w:t xml:space="preserve"> </w:t>
      </w:r>
      <w:r>
        <w:rPr>
          <w:rFonts w:ascii="Arial" w:cs="Arial" w:eastAsia="Arial" w:hAnsi="Arial"/>
          <w:sz w:val="12"/>
          <w:szCs w:val="12"/>
          <w:color w:val="auto"/>
        </w:rPr>
        <w:t>2009 (the “Stock Awards”), provided, however, that the final number of shares available pursuant to the Performance Based Restricted Stock Unit Award identified in Exhibit C (“PBRSUs”) shall be determined (and increased or decreased, as the case may be) by the attainment of the applicable performance goals. From the date hereof through the Separation Date, the Stock Awards shall continue to vest in accordance with the governing terms of the applicable stock plan or award documentation governing such Stock Awards. Notwithstanding any provision of the</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43" w:name="page144"/>
    <w:bookmarkEnd w:id="143"/>
    <w:p>
      <w:pPr>
        <w:ind w:left="341" w:right="140"/>
        <w:spacing w:after="0" w:line="276" w:lineRule="auto"/>
        <w:rPr>
          <w:sz w:val="20"/>
          <w:szCs w:val="20"/>
          <w:color w:val="auto"/>
        </w:rPr>
      </w:pPr>
      <w:r>
        <w:rPr>
          <w:rFonts w:ascii="Arial" w:cs="Arial" w:eastAsia="Arial" w:hAnsi="Arial"/>
          <w:sz w:val="13"/>
          <w:szCs w:val="13"/>
          <w:color w:val="auto"/>
        </w:rPr>
        <w:t>Employment Agreement or any stock plan or agreement evidencing a Stock Award, as of the Separation Date, each Stock Award (including “Earned PBRSUs” as determined in accordance with the terms of the PBRSU grant) shall, to the extent not theretofore vested, become fully vested and the Company shall deliver to the Executive shares in respect of each such award.</w:t>
      </w:r>
    </w:p>
    <w:p>
      <w:pPr>
        <w:spacing w:after="0" w:line="45" w:lineRule="exact"/>
        <w:rPr>
          <w:sz w:val="20"/>
          <w:szCs w:val="20"/>
          <w:color w:val="auto"/>
        </w:rPr>
      </w:pPr>
    </w:p>
    <w:p>
      <w:pPr>
        <w:ind w:left="341" w:hanging="341"/>
        <w:spacing w:after="0" w:line="327" w:lineRule="auto"/>
        <w:tabs>
          <w:tab w:leader="none" w:pos="341"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Final Salary and Paid Time Off. </w:t>
      </w:r>
      <w:r>
        <w:rPr>
          <w:rFonts w:ascii="Arial" w:cs="Arial" w:eastAsia="Arial" w:hAnsi="Arial"/>
          <w:sz w:val="12"/>
          <w:szCs w:val="12"/>
          <w:color w:val="auto"/>
        </w:rPr>
        <w:t>On the first regular Company payday immediately following the Separation Date, the Executive shall receive payment with respect to any accrued paid time off rights,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but not limited to, pay for the vacation the Executive had earned and not used as of the Separation Date determined in accordance with Company policy and as reflected on the books of the Company.</w:t>
      </w:r>
    </w:p>
    <w:p>
      <w:pPr>
        <w:spacing w:after="0" w:line="17" w:lineRule="exact"/>
        <w:rPr>
          <w:rFonts w:ascii="Arial" w:cs="Arial" w:eastAsia="Arial" w:hAnsi="Arial"/>
          <w:sz w:val="12"/>
          <w:szCs w:val="12"/>
          <w:b w:val="1"/>
          <w:bCs w:val="1"/>
          <w:color w:val="auto"/>
        </w:rPr>
      </w:pPr>
    </w:p>
    <w:p>
      <w:pPr>
        <w:jc w:val="both"/>
        <w:ind w:left="341" w:right="140" w:hanging="341"/>
        <w:spacing w:after="0" w:line="267" w:lineRule="auto"/>
        <w:tabs>
          <w:tab w:leader="none" w:pos="341"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In the event that prior to June 8, 2010, the Company has publicly announced a transaction which would constitute a Change in Control (as defined in the Employment Agreement), then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pay to the Executive the cash severance payment described in Section 5(a) of the Employment Agreement only upon the consummation of such Change in Control (and otherwise in accordance with the provisions of the Employment Agreement). No payment will be due to the Executive if such transaction is not consummated.</w:t>
      </w:r>
    </w:p>
    <w:p>
      <w:pPr>
        <w:spacing w:after="0" w:line="51" w:lineRule="exact"/>
        <w:rPr>
          <w:rFonts w:ascii="Arial" w:cs="Arial" w:eastAsia="Arial" w:hAnsi="Arial"/>
          <w:sz w:val="13"/>
          <w:szCs w:val="13"/>
          <w:b w:val="1"/>
          <w:bCs w:val="1"/>
          <w:color w:val="auto"/>
        </w:rPr>
      </w:pPr>
    </w:p>
    <w:p>
      <w:pPr>
        <w:ind w:left="281" w:right="120" w:hanging="281"/>
        <w:spacing w:after="0" w:line="283" w:lineRule="auto"/>
        <w:tabs>
          <w:tab w:leader="none" w:pos="281"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Non-Competition. </w:t>
      </w:r>
      <w:r>
        <w:rPr>
          <w:rFonts w:ascii="Arial" w:cs="Arial" w:eastAsia="Arial" w:hAnsi="Arial"/>
          <w:sz w:val="13"/>
          <w:szCs w:val="13"/>
          <w:color w:val="auto"/>
        </w:rPr>
        <w:t>The Executive affirms that those provisions of Section 6 of the Employment Agreement shall continue to apply in accordance with their terms for the one year period following the Separation</w:t>
      </w:r>
      <w:r>
        <w:rPr>
          <w:rFonts w:ascii="Arial" w:cs="Arial" w:eastAsia="Arial" w:hAnsi="Arial"/>
          <w:sz w:val="13"/>
          <w:szCs w:val="13"/>
          <w:b w:val="1"/>
          <w:bCs w:val="1"/>
          <w:color w:val="auto"/>
        </w:rPr>
        <w:t xml:space="preserve"> </w:t>
      </w:r>
      <w:r>
        <w:rPr>
          <w:rFonts w:ascii="Arial" w:cs="Arial" w:eastAsia="Arial" w:hAnsi="Arial"/>
          <w:sz w:val="13"/>
          <w:szCs w:val="13"/>
          <w:color w:val="auto"/>
        </w:rPr>
        <w:t>Date.</w:t>
      </w:r>
    </w:p>
    <w:p>
      <w:pPr>
        <w:spacing w:after="0" w:line="40" w:lineRule="exact"/>
        <w:rPr>
          <w:rFonts w:ascii="Arial" w:cs="Arial" w:eastAsia="Arial" w:hAnsi="Arial"/>
          <w:sz w:val="13"/>
          <w:szCs w:val="13"/>
          <w:b w:val="1"/>
          <w:bCs w:val="1"/>
          <w:color w:val="auto"/>
        </w:rPr>
      </w:pPr>
    </w:p>
    <w:p>
      <w:pPr>
        <w:ind w:left="261" w:hanging="261"/>
        <w:spacing w:after="0"/>
        <w:tabs>
          <w:tab w:leader="none" w:pos="261"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Mutual Release of Claims.</w:t>
      </w:r>
    </w:p>
    <w:p>
      <w:pPr>
        <w:spacing w:after="0" w:line="90" w:lineRule="exact"/>
        <w:rPr>
          <w:rFonts w:ascii="Arial" w:cs="Arial" w:eastAsia="Arial" w:hAnsi="Arial"/>
          <w:sz w:val="13"/>
          <w:szCs w:val="13"/>
          <w:b w:val="1"/>
          <w:bCs w:val="1"/>
          <w:color w:val="auto"/>
        </w:rPr>
      </w:pPr>
    </w:p>
    <w:p>
      <w:pPr>
        <w:ind w:left="341" w:firstLine="166"/>
        <w:spacing w:after="0" w:line="279" w:lineRule="auto"/>
        <w:tabs>
          <w:tab w:leader="none" w:pos="683" w:val="left"/>
        </w:tabs>
        <w:numPr>
          <w:ilvl w:val="1"/>
          <w:numId w:val="68"/>
        </w:numPr>
        <w:rPr>
          <w:rFonts w:ascii="Arial" w:cs="Arial" w:eastAsia="Arial" w:hAnsi="Arial"/>
          <w:sz w:val="12"/>
          <w:szCs w:val="12"/>
          <w:color w:val="auto"/>
        </w:rPr>
      </w:pPr>
      <w:r>
        <w:rPr>
          <w:rFonts w:ascii="Arial" w:cs="Arial" w:eastAsia="Arial" w:hAnsi="Arial"/>
          <w:sz w:val="12"/>
          <w:szCs w:val="12"/>
          <w:color w:val="auto"/>
        </w:rPr>
        <w:t>In consideration of the Company’s promises in this Agreement, Executive hereby knowingly and voluntarily releases and forever discharges the Company and each of its parents, subsidiaries and affiliates, together with all of their respective current and former principals, officers, directors, agents, representatives and employees, and each of their successors and assigns (collectively, the “Company Releasees”), from any and all debts, demands, actions, causes of actions, accounts, covenants, contracts, agreements, claims, damages, omissions, promises, and any and all claims and liabilities whatsoever, of every name and nature, known or unknown, suspected or unsuspected, both in law and equity (“Claims”), which Executive ever had, now has, or may hereafter claim to have against the Company Releasees by reason of any matter, cause or thing whatsoever arising from the beginning of time to the time Executive signs this Agreement (the “General Release”). This General Release of Claims shall, except as set forth below, apply to any Claim of any type, including, without limitation and by way of example only, any and all Claims of any type that Executive may have arising under the common law, under Title VII of the Civil Rights Act of 1964, the Civil Rights Act of 1991, the Age Discrimination in Employment Act of 1967, the Older Workers Benefit Protection Act, the Americans With Disabilities Act of 1967, the Family and Medical Leave Act of 1993, the Employee Retirement Income Security Act of 1974, the Sarbanes-Oxley Act of 2002, the Massachusetts Fair Practices Act, Mass. Gen. L. ch. 151B and Mass. Gen. L. ch. 149, §§ 24A-24J, the Massachusetts Civil Rights Act, and the Massachusetts Equal Rights Law,</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44" w:name="page145"/>
    <w:bookmarkEnd w:id="144"/>
    <w:p>
      <w:pPr>
        <w:spacing w:after="0" w:line="280" w:lineRule="auto"/>
        <w:rPr>
          <w:sz w:val="20"/>
          <w:szCs w:val="20"/>
          <w:color w:val="auto"/>
        </w:rPr>
      </w:pPr>
      <w:r>
        <w:rPr>
          <w:rFonts w:ascii="Arial" w:cs="Arial" w:eastAsia="Arial" w:hAnsi="Arial"/>
          <w:sz w:val="12"/>
          <w:szCs w:val="12"/>
          <w:color w:val="auto"/>
        </w:rPr>
        <w:t>each as amended, and any other federal, state or local statutes, regulations, ordinances or common law, or under any policy, agreement, contract, understanding or promise, written or oral, formal or informal, between any of the Company Releasees and Executive, including, without limitation, the Employment Agreement, and shall further apply, without limitation, to any and all Claims in connection with, related to or arising out of Executive’s employment, or the termination of Executive’s employment, with the Company; provided, however, that nothing contained in this General Release shall (i) release any claim that cannot be waived under applicable law, (ii) release Executive’s rights to any benefits under any employee benefit plan of the Company or an affiliate, with respect to those Stock Options or Stock Awards specifically listed in this Transition Agreement, or with respect to health care continuation under COBRA, (iii) release any entitlement to or with respect to indemnification which the Executive may have pursuant to Section 7 of the Employment Agreement, as provided in Section 13 below, or pursuant to the Company’s bylaws, any policy of insurance maintained by the Company or otherwise under law, or (iv) be construed to release the Executive’s rights under this Agreement or be construed to prohibit or restrict in any manner the Executive from bringing appropriate proceedings to enforce this Agreement. Executive acknowledges that his execution of the Transition Agreement terminates any claims he previously held to any and all equity, compensation, and employee benefits, other than those specifically identified in this Transition Agreement.</w:t>
      </w:r>
    </w:p>
    <w:p>
      <w:pPr>
        <w:spacing w:after="0" w:line="49" w:lineRule="exact"/>
        <w:rPr>
          <w:sz w:val="20"/>
          <w:szCs w:val="20"/>
          <w:color w:val="auto"/>
        </w:rPr>
      </w:pPr>
    </w:p>
    <w:p>
      <w:pPr>
        <w:ind w:firstLine="159"/>
        <w:spacing w:after="0" w:line="255" w:lineRule="auto"/>
        <w:tabs>
          <w:tab w:leader="none" w:pos="349"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In consideration of the Executive’s promises in this Agreement, the Company, on behalf of itself and each of its parents, subsidiaries and affiliates, and each of their successors and assigns, hereby knowingly and voluntarily releases and forever discharges Executive from any and all Claims, which it ever had, now has, or may hereafter claim to have against Executive by reason of any matter, cause or thing whatsoever arising from the beginning of time to the time the Company signs this Agreement (the “Company Release”), including, without limitation, all Claims of any type that the Company have against Executive under any federal, state or local statutes, regulations, ordinances or common law, or under any policy, agreement, contract, understanding or promise, written or oral, formal or informal, between Executive and any Company Releasee, including, without limitation, the Employment Agreement, and any and all Claims in connection with, related to or arising out of Executive’s employment, or the termination of Executive’s employment, with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nothing contained in this Company Release shall release Executive from the Non- Competition provisions of Section 6 of the Employment Agreement, in accordance with Section 10 above, or from Executive’s obligations under the Employee’s Proprietary Information and Inventions Agreement, effective June 1, 1989, entered into by the Executive and Biogen Inc. (the “Proprietary Information and Inventions Agreement”).</w:t>
      </w:r>
    </w:p>
    <w:p>
      <w:pPr>
        <w:spacing w:after="0" w:line="66" w:lineRule="exact"/>
        <w:rPr>
          <w:rFonts w:ascii="Arial" w:cs="Arial" w:eastAsia="Arial" w:hAnsi="Arial"/>
          <w:sz w:val="13"/>
          <w:szCs w:val="13"/>
          <w:color w:val="auto"/>
        </w:rPr>
      </w:pPr>
    </w:p>
    <w:p>
      <w:pPr>
        <w:ind w:right="180" w:firstLine="159"/>
        <w:spacing w:after="0" w:line="296" w:lineRule="auto"/>
        <w:tabs>
          <w:tab w:leader="none" w:pos="342" w:val="left"/>
        </w:tabs>
        <w:numPr>
          <w:ilvl w:val="0"/>
          <w:numId w:val="69"/>
        </w:numPr>
        <w:rPr>
          <w:rFonts w:ascii="Arial" w:cs="Arial" w:eastAsia="Arial" w:hAnsi="Arial"/>
          <w:sz w:val="12"/>
          <w:szCs w:val="12"/>
          <w:color w:val="auto"/>
        </w:rPr>
      </w:pPr>
      <w:r>
        <w:rPr>
          <w:rFonts w:ascii="Arial" w:cs="Arial" w:eastAsia="Arial" w:hAnsi="Arial"/>
          <w:sz w:val="12"/>
          <w:szCs w:val="12"/>
          <w:color w:val="auto"/>
        </w:rPr>
        <w:t>Additionally, the Executive and the Company, on behalf of itself and each of its parents, subsidiaries and affiliates, and each of their successors and assigns, hereby agree to execute the Mutual Release and Waiver attached as Exhibit D on the Separation Date. If the Executive timely delivers the Mutual Release and Waiver, the Executive will be entitled to the benefits described in Section 5(d) of this Agreement. Absent satisfaction of the provisions of the foregoing sentence, the Executive is not entitled to the benefits described in Section 5(d) of this Agreement. For the avoidance of doubt, the Executive’s</w:t>
      </w:r>
    </w:p>
    <w:p>
      <w:pPr>
        <w:spacing w:after="0" w:line="9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45" w:name="page146"/>
    <w:bookmarkEnd w:id="145"/>
    <w:p>
      <w:pPr>
        <w:jc w:val="both"/>
        <w:ind w:left="461"/>
        <w:spacing w:after="0" w:line="264" w:lineRule="auto"/>
        <w:rPr>
          <w:sz w:val="20"/>
          <w:szCs w:val="20"/>
          <w:color w:val="auto"/>
        </w:rPr>
      </w:pPr>
      <w:r>
        <w:rPr>
          <w:rFonts w:ascii="Arial" w:cs="Arial" w:eastAsia="Arial" w:hAnsi="Arial"/>
          <w:sz w:val="13"/>
          <w:szCs w:val="13"/>
          <w:color w:val="auto"/>
        </w:rPr>
        <w:t>entitlement to the benefits described in Section 5(d) of this Agreement is conditioned solely upon the Executive’s execution of the Mutual Release and Waiver attached as Exhibit D and is not conditioned on the Company’s execution of such release and waiver. The Company and the Executive further agree that the Mutual Release and Waiver attached as Exhibit D shall only be effective with respect to either party if it is executed by both parties.</w:t>
      </w:r>
    </w:p>
    <w:p>
      <w:pPr>
        <w:spacing w:after="0" w:line="53" w:lineRule="exact"/>
        <w:rPr>
          <w:sz w:val="20"/>
          <w:szCs w:val="20"/>
          <w:color w:val="auto"/>
        </w:rPr>
      </w:pPr>
    </w:p>
    <w:p>
      <w:pPr>
        <w:ind w:left="281" w:hanging="281"/>
        <w:spacing w:after="0"/>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Withholding. </w:t>
      </w:r>
      <w:r>
        <w:rPr>
          <w:rFonts w:ascii="Arial" w:cs="Arial" w:eastAsia="Arial" w:hAnsi="Arial"/>
          <w:sz w:val="13"/>
          <w:szCs w:val="13"/>
          <w:color w:val="auto"/>
        </w:rPr>
        <w:t>All payments made by the Company to the Executive under this Agreement shall be subject to applicable tax withholding.</w:t>
      </w:r>
    </w:p>
    <w:p>
      <w:pPr>
        <w:spacing w:after="0" w:line="86" w:lineRule="exact"/>
        <w:rPr>
          <w:rFonts w:ascii="Arial" w:cs="Arial" w:eastAsia="Arial" w:hAnsi="Arial"/>
          <w:sz w:val="13"/>
          <w:szCs w:val="13"/>
          <w:b w:val="1"/>
          <w:bCs w:val="1"/>
          <w:color w:val="auto"/>
        </w:rPr>
      </w:pPr>
    </w:p>
    <w:p>
      <w:pPr>
        <w:ind w:left="281" w:right="100" w:hanging="281"/>
        <w:spacing w:after="0" w:line="283" w:lineRule="auto"/>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Indemnification. </w:t>
      </w:r>
      <w:r>
        <w:rPr>
          <w:rFonts w:ascii="Arial" w:cs="Arial" w:eastAsia="Arial" w:hAnsi="Arial"/>
          <w:sz w:val="13"/>
          <w:szCs w:val="13"/>
          <w:color w:val="auto"/>
        </w:rPr>
        <w:t>The Company agrees to provide the Executive with the indemnification, insurance, expense advancement and other rights set forth in Section 7 of the Employment Agreement, except that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extent permitted by law, the Company’s expense advancement obligations thereunder shall be unconditional.</w:t>
      </w:r>
    </w:p>
    <w:p>
      <w:pPr>
        <w:spacing w:after="0" w:line="40" w:lineRule="exact"/>
        <w:rPr>
          <w:rFonts w:ascii="Arial" w:cs="Arial" w:eastAsia="Arial" w:hAnsi="Arial"/>
          <w:sz w:val="13"/>
          <w:szCs w:val="13"/>
          <w:b w:val="1"/>
          <w:bCs w:val="1"/>
          <w:color w:val="auto"/>
        </w:rPr>
      </w:pPr>
    </w:p>
    <w:p>
      <w:pPr>
        <w:ind w:left="281" w:right="40" w:hanging="281"/>
        <w:spacing w:after="0" w:line="257" w:lineRule="auto"/>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Legal Fees. </w:t>
      </w:r>
      <w:r>
        <w:rPr>
          <w:rFonts w:ascii="Arial" w:cs="Arial" w:eastAsia="Arial" w:hAnsi="Arial"/>
          <w:sz w:val="13"/>
          <w:szCs w:val="13"/>
          <w:color w:val="auto"/>
        </w:rPr>
        <w:t>The Company shall pay, or reimburse the Executive for the legal fees, charges and disbursements of the Executive’s counsel, Skadden, Arps, Slate, Meagher &amp; Flom LLP (“Skadden”) incurred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the negotiation and execution of this Agreement. Such reimbursement or payment shall be made by the Company within ten business days of the Executive’s or Skadden’s submission to the Company of an invoice or invoices in Skadden’s customary form, which submission shall be made no later than thirty (30) days after the Effective Date. In the event that the Executive recognizes income with respect to such legal fee reimbursement, the Company shall pay to the Executive an additional amount such that the Executive is in the same after-tax position he would have been in had no income been recognized with respect to such reimbursement. Such tax reimbursement (and any related tax gross-up) shall be paid not later than 60 days following the date the applicable tax is paid by the Executive. The Company further agrees to pay or reimburse the Executive, in the manner set forth in this Section 14, for reasonable legal fees incurred by the Executive following the Effective Date in connection with the matters covered by this Agreement.</w:t>
      </w:r>
    </w:p>
    <w:p>
      <w:pPr>
        <w:spacing w:after="0" w:line="58" w:lineRule="exact"/>
        <w:rPr>
          <w:rFonts w:ascii="Arial" w:cs="Arial" w:eastAsia="Arial" w:hAnsi="Arial"/>
          <w:sz w:val="13"/>
          <w:szCs w:val="13"/>
          <w:b w:val="1"/>
          <w:bCs w:val="1"/>
          <w:color w:val="auto"/>
        </w:rPr>
      </w:pPr>
    </w:p>
    <w:p>
      <w:pPr>
        <w:ind w:left="281" w:right="60" w:hanging="281"/>
        <w:spacing w:after="0" w:line="300" w:lineRule="auto"/>
        <w:tabs>
          <w:tab w:leader="none" w:pos="281"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Consultation with Attorney; Voluntary Agreement. </w:t>
      </w:r>
      <w:r>
        <w:rPr>
          <w:rFonts w:ascii="Arial" w:cs="Arial" w:eastAsia="Arial" w:hAnsi="Arial"/>
          <w:sz w:val="12"/>
          <w:szCs w:val="12"/>
          <w:color w:val="auto"/>
        </w:rPr>
        <w:t>Executive understands and agrees that Executive has the right and has been given the opportunity to review this Agreement and, specifically, the General</w:t>
      </w:r>
      <w:r>
        <w:rPr>
          <w:rFonts w:ascii="Arial" w:cs="Arial" w:eastAsia="Arial" w:hAnsi="Arial"/>
          <w:sz w:val="12"/>
          <w:szCs w:val="12"/>
          <w:b w:val="1"/>
          <w:bCs w:val="1"/>
          <w:color w:val="auto"/>
        </w:rPr>
        <w:t xml:space="preserve"> </w:t>
      </w:r>
      <w:r>
        <w:rPr>
          <w:rFonts w:ascii="Arial" w:cs="Arial" w:eastAsia="Arial" w:hAnsi="Arial"/>
          <w:sz w:val="12"/>
          <w:szCs w:val="12"/>
          <w:color w:val="auto"/>
        </w:rPr>
        <w:t>Release in Section 11 above, with an attorney. Executive also understands and agrees that Executive is under no obligation to consent to the General Release set forth in Section 11 above. Executive represents that he has read this Agreement, including the General Release set forth in Section 11 and understand its terms and that Executive enters into this Agreement freely, voluntarily, and without coercion.</w:t>
      </w:r>
    </w:p>
    <w:p>
      <w:pPr>
        <w:spacing w:after="0" w:line="32" w:lineRule="exact"/>
        <w:rPr>
          <w:rFonts w:ascii="Arial" w:cs="Arial" w:eastAsia="Arial" w:hAnsi="Arial"/>
          <w:sz w:val="12"/>
          <w:szCs w:val="12"/>
          <w:b w:val="1"/>
          <w:bCs w:val="1"/>
          <w:color w:val="auto"/>
        </w:rPr>
      </w:pPr>
    </w:p>
    <w:p>
      <w:pPr>
        <w:ind w:left="281" w:hanging="281"/>
        <w:spacing w:after="0" w:line="267" w:lineRule="auto"/>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Effective Date; Revocation. </w:t>
      </w:r>
      <w:r>
        <w:rPr>
          <w:rFonts w:ascii="Arial" w:cs="Arial" w:eastAsia="Arial" w:hAnsi="Arial"/>
          <w:sz w:val="13"/>
          <w:szCs w:val="13"/>
          <w:color w:val="auto"/>
        </w:rPr>
        <w:t>Executive acknowledges and represents that he has been given at least twenty-one (21) days during which to review and consider the provisions of this Agreement and, specifically, the</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Release set forth in Section 11 above, although Executive may sign and return it sooner if Executive so desires. Executive further acknowledges and represents that Executive has been advised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46" w:name="page147"/>
    <w:bookmarkEnd w:id="146"/>
    <w:p>
      <w:pPr>
        <w:ind w:left="221"/>
        <w:spacing w:after="0" w:line="260" w:lineRule="auto"/>
        <w:rPr>
          <w:sz w:val="20"/>
          <w:szCs w:val="20"/>
          <w:color w:val="auto"/>
        </w:rPr>
      </w:pPr>
      <w:r>
        <w:rPr>
          <w:rFonts w:ascii="Arial" w:cs="Arial" w:eastAsia="Arial" w:hAnsi="Arial"/>
          <w:sz w:val="13"/>
          <w:szCs w:val="13"/>
          <w:color w:val="auto"/>
        </w:rPr>
        <w:t>that Executive has the right to revoke this Agreement for a period of seven (7) days after signing it. Executive acknowledges and agrees that, if Executive wishes to revoke this Agreement, he must do so in a writing, signed by Executive and received by the Company no later than 5:00 p.m. Eastern Time on the seventh (7th) day of the revocation period. If no such revocation occurs, the General Release and this Agreement shall become effective on the eighth (8th) day following Executive’s execution of this Agreement (the “Effective Date”). Executive further acknowledges and agrees that, in the event that Executive revokes this Agreement, it shall have no force or effect.</w:t>
      </w:r>
    </w:p>
    <w:p>
      <w:pPr>
        <w:spacing w:after="0" w:line="56" w:lineRule="exact"/>
        <w:rPr>
          <w:sz w:val="20"/>
          <w:szCs w:val="20"/>
          <w:color w:val="auto"/>
        </w:rPr>
      </w:pPr>
    </w:p>
    <w:p>
      <w:pPr>
        <w:ind w:left="281" w:hanging="281"/>
        <w:spacing w:after="0"/>
        <w:tabs>
          <w:tab w:leader="none" w:pos="281"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90" w:lineRule="exact"/>
        <w:rPr>
          <w:rFonts w:ascii="Arial" w:cs="Arial" w:eastAsia="Arial" w:hAnsi="Arial"/>
          <w:sz w:val="13"/>
          <w:szCs w:val="13"/>
          <w:b w:val="1"/>
          <w:bCs w:val="1"/>
          <w:color w:val="auto"/>
        </w:rPr>
      </w:pPr>
    </w:p>
    <w:p>
      <w:pPr>
        <w:jc w:val="both"/>
        <w:ind w:left="221" w:right="100" w:firstLine="172"/>
        <w:spacing w:after="0" w:line="260" w:lineRule="auto"/>
        <w:tabs>
          <w:tab w:leader="none" w:pos="563" w:val="left"/>
        </w:tabs>
        <w:numPr>
          <w:ilvl w:val="1"/>
          <w:numId w:val="71"/>
        </w:numPr>
        <w:rPr>
          <w:rFonts w:ascii="Arial" w:cs="Arial" w:eastAsia="Arial" w:hAnsi="Arial"/>
          <w:sz w:val="13"/>
          <w:szCs w:val="13"/>
          <w:color w:val="auto"/>
        </w:rPr>
      </w:pPr>
      <w:r>
        <w:rPr>
          <w:rFonts w:ascii="Arial" w:cs="Arial" w:eastAsia="Arial" w:hAnsi="Arial"/>
          <w:sz w:val="13"/>
          <w:szCs w:val="13"/>
          <w:color w:val="auto"/>
        </w:rPr>
        <w:t>Except as modified hereby, the Employment Agreement shall remain in effect in accordance with its terms; provided, however, that the provisions of Section 5 of the Employment Agreement shall not apply except as explicitly provided in this Agreement. In the event the terms of this Agreement conflict with the terms of the Employment Agreement, this Agreement shall control. For the avoidance of doubt, the terms of this Agreement set forth the parties’ final agreement with respect to the termination of the Executive’s employment with and service to the Company and the obligations of the parties in connection with such termination.</w:t>
      </w:r>
    </w:p>
    <w:p>
      <w:pPr>
        <w:spacing w:after="0" w:line="59" w:lineRule="exact"/>
        <w:rPr>
          <w:rFonts w:ascii="Arial" w:cs="Arial" w:eastAsia="Arial" w:hAnsi="Arial"/>
          <w:sz w:val="13"/>
          <w:szCs w:val="13"/>
          <w:color w:val="auto"/>
        </w:rPr>
      </w:pPr>
    </w:p>
    <w:p>
      <w:pPr>
        <w:ind w:left="221" w:right="380" w:firstLine="172"/>
        <w:spacing w:after="0" w:line="276" w:lineRule="auto"/>
        <w:tabs>
          <w:tab w:leader="none" w:pos="571"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This Agreement may not be modified or amended, and no breach shall be deemed to be waived, unless agreed to in writing by the Executive and the authorized designee of the Board. The captions and headings in this Agreement are for convenience only, and in no way define or describe the scope or content of any provision of this Agreement.</w:t>
      </w:r>
    </w:p>
    <w:p>
      <w:pPr>
        <w:spacing w:after="0" w:line="49" w:lineRule="exact"/>
        <w:rPr>
          <w:rFonts w:ascii="Arial" w:cs="Arial" w:eastAsia="Arial" w:hAnsi="Arial"/>
          <w:sz w:val="13"/>
          <w:szCs w:val="13"/>
          <w:color w:val="auto"/>
        </w:rPr>
      </w:pPr>
    </w:p>
    <w:p>
      <w:pPr>
        <w:ind w:left="221" w:right="80" w:firstLine="172"/>
        <w:spacing w:after="0" w:line="289" w:lineRule="auto"/>
        <w:tabs>
          <w:tab w:leader="none" w:pos="563"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Company and the Executive each hereby affirm that it is their mutual view that the provision of payments and benefits described or referenced herein are exempt from or in compliance with the requirements of Internal Revenue Code Section 409A and that each party’s tax reporting shall be completed in a manner consistent with such view. The Executive and the Company hereby further agree that in the event that any payment or benefit made or provided to the Executive in connection with his service to the Company results in the imposition of an excise tax pursuant to Section 4999 of the Internal Revenue Code, the Executive shall be entitled to the payment described in Section 5(f) of the Employment Agreement, which shall be paid in the manner set forth therein.</w:t>
      </w:r>
    </w:p>
    <w:p>
      <w:pPr>
        <w:spacing w:after="0" w:line="43" w:lineRule="exact"/>
        <w:rPr>
          <w:rFonts w:ascii="Arial" w:cs="Arial" w:eastAsia="Arial" w:hAnsi="Arial"/>
          <w:sz w:val="12"/>
          <w:szCs w:val="12"/>
          <w:color w:val="auto"/>
        </w:rPr>
      </w:pPr>
    </w:p>
    <w:p>
      <w:pPr>
        <w:ind w:left="581" w:hanging="188"/>
        <w:spacing w:after="0"/>
        <w:tabs>
          <w:tab w:leader="none" w:pos="581"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parties agree that the Executive’s Proprietary Information and Inventions Agreement shall remain in effect in accordance with its terms.</w:t>
      </w:r>
    </w:p>
    <w:p>
      <w:pPr>
        <w:spacing w:after="0" w:line="86" w:lineRule="exact"/>
        <w:rPr>
          <w:rFonts w:ascii="Arial" w:cs="Arial" w:eastAsia="Arial" w:hAnsi="Arial"/>
          <w:sz w:val="13"/>
          <w:szCs w:val="13"/>
          <w:color w:val="auto"/>
        </w:rPr>
      </w:pPr>
    </w:p>
    <w:p>
      <w:pPr>
        <w:ind w:left="221" w:right="260" w:firstLine="172"/>
        <w:spacing w:after="0" w:line="276" w:lineRule="auto"/>
        <w:tabs>
          <w:tab w:leader="none" w:pos="563"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Executive agrees to return to the Company, on the Separation Date or immediately thereafter, all files, records, documents, reports, computers, and other property of the Company in his possession or control and he further agrees that he will not keep, transfer or use any copies or excerpts of the foregoing items.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7" w:name="page148"/>
    <w:bookmarkEnd w:id="147"/>
    <w:p>
      <w:pPr>
        <w:ind w:left="221" w:firstLine="172"/>
        <w:spacing w:after="0" w:line="285" w:lineRule="auto"/>
        <w:tabs>
          <w:tab w:leader="none" w:pos="549" w:val="left"/>
        </w:tabs>
        <w:numPr>
          <w:ilvl w:val="1"/>
          <w:numId w:val="72"/>
        </w:numPr>
        <w:rPr>
          <w:rFonts w:ascii="Arial" w:cs="Arial" w:eastAsia="Arial" w:hAnsi="Arial"/>
          <w:sz w:val="12"/>
          <w:szCs w:val="12"/>
          <w:color w:val="auto"/>
        </w:rPr>
      </w:pPr>
      <w:r>
        <w:rPr>
          <w:rFonts w:ascii="Arial" w:cs="Arial" w:eastAsia="Arial" w:hAnsi="Arial"/>
          <w:sz w:val="12"/>
          <w:szCs w:val="12"/>
          <w:color w:val="auto"/>
        </w:rPr>
        <w:t>The Executive agrees that during his employment and from and after the Separation Date, he will make himself available to the Company to provide reasonable cooperation and assistance to the Company with respect to areas and matters in which he was involved during his employment, including any threatened or actual litigation concerning the Company, and make himself reasonably available to provide to the Company, if requested, information and counsel relating to ongoing matters of interest to the Company. The Company agrees to reimburse the Executive for the actual out-of- pocket expenses incurred by him as a result of complying with this provision, subject to submission to the Company of documentation substantiating such expenses as the Company may require. The Executive’s obligations under this Section 17(f) after the Separation Date shall be conditioned upon the Company’s execution of the Mutual Release and Waiver attached as Exhibit D.</w:t>
      </w:r>
    </w:p>
    <w:p>
      <w:pPr>
        <w:spacing w:after="0" w:line="45" w:lineRule="exact"/>
        <w:rPr>
          <w:rFonts w:ascii="Arial" w:cs="Arial" w:eastAsia="Arial" w:hAnsi="Arial"/>
          <w:sz w:val="12"/>
          <w:szCs w:val="12"/>
          <w:color w:val="auto"/>
        </w:rPr>
      </w:pPr>
    </w:p>
    <w:p>
      <w:pPr>
        <w:ind w:left="581" w:hanging="188"/>
        <w:spacing w:after="0"/>
        <w:tabs>
          <w:tab w:leader="none" w:pos="581" w:val="left"/>
        </w:tabs>
        <w:numPr>
          <w:ilvl w:val="1"/>
          <w:numId w:val="72"/>
        </w:numPr>
        <w:rPr>
          <w:rFonts w:ascii="Arial" w:cs="Arial" w:eastAsia="Arial" w:hAnsi="Arial"/>
          <w:sz w:val="13"/>
          <w:szCs w:val="13"/>
          <w:color w:val="auto"/>
        </w:rPr>
      </w:pPr>
      <w:r>
        <w:rPr>
          <w:rFonts w:ascii="Arial" w:cs="Arial" w:eastAsia="Arial" w:hAnsi="Arial"/>
          <w:sz w:val="13"/>
          <w:szCs w:val="13"/>
          <w:color w:val="auto"/>
        </w:rPr>
        <w:t>This Agreement may be executed in counterparts, each of which shall be deemed an original, and which together shall be deemed to be one and the same instrument.</w:t>
      </w:r>
    </w:p>
    <w:p>
      <w:pPr>
        <w:spacing w:after="0" w:line="86" w:lineRule="exact"/>
        <w:rPr>
          <w:rFonts w:ascii="Arial" w:cs="Arial" w:eastAsia="Arial" w:hAnsi="Arial"/>
          <w:sz w:val="13"/>
          <w:szCs w:val="13"/>
          <w:color w:val="auto"/>
        </w:rPr>
      </w:pPr>
    </w:p>
    <w:p>
      <w:pPr>
        <w:ind w:left="221" w:right="40" w:firstLine="172"/>
        <w:spacing w:after="0" w:line="264" w:lineRule="auto"/>
        <w:tabs>
          <w:tab w:leader="none" w:pos="571" w:val="left"/>
        </w:tabs>
        <w:numPr>
          <w:ilvl w:val="1"/>
          <w:numId w:val="72"/>
        </w:numPr>
        <w:rPr>
          <w:rFonts w:ascii="Arial" w:cs="Arial" w:eastAsia="Arial" w:hAnsi="Arial"/>
          <w:sz w:val="13"/>
          <w:szCs w:val="13"/>
          <w:color w:val="auto"/>
        </w:rPr>
      </w:pPr>
      <w:r>
        <w:rPr>
          <w:rFonts w:ascii="Arial" w:cs="Arial" w:eastAsia="Arial" w:hAnsi="Arial"/>
          <w:sz w:val="13"/>
          <w:szCs w:val="13"/>
          <w:color w:val="auto"/>
        </w:rPr>
        <w:t>The Company agrees that the Executive is not required to seek other employment or to attempt in any way to reduce any amounts payable to the Executive. Further, no payment or benefit provided for in this Agreement shall be reduced by any compensation earned by the Executive as the result of employment by another employer, by retirement benefits, by offset against any amount claimed to be owed by the Executive to the Company or any affiliate, or otherwise.</w:t>
      </w:r>
    </w:p>
    <w:p>
      <w:pPr>
        <w:spacing w:after="0" w:line="57" w:lineRule="exact"/>
        <w:rPr>
          <w:rFonts w:ascii="Arial" w:cs="Arial" w:eastAsia="Arial" w:hAnsi="Arial"/>
          <w:sz w:val="13"/>
          <w:szCs w:val="13"/>
          <w:color w:val="auto"/>
        </w:rPr>
      </w:pPr>
    </w:p>
    <w:p>
      <w:pPr>
        <w:ind w:left="221" w:right="160" w:firstLine="172"/>
        <w:spacing w:after="0" w:line="276" w:lineRule="auto"/>
        <w:tabs>
          <w:tab w:leader="none" w:pos="541" w:val="left"/>
        </w:tabs>
        <w:numPr>
          <w:ilvl w:val="1"/>
          <w:numId w:val="72"/>
        </w:numPr>
        <w:rPr>
          <w:rFonts w:ascii="Arial" w:cs="Arial" w:eastAsia="Arial" w:hAnsi="Arial"/>
          <w:sz w:val="13"/>
          <w:szCs w:val="13"/>
          <w:color w:val="auto"/>
        </w:rPr>
      </w:pPr>
      <w:r>
        <w:rPr>
          <w:rFonts w:ascii="Arial" w:cs="Arial" w:eastAsia="Arial" w:hAnsi="Arial"/>
          <w:sz w:val="13"/>
          <w:szCs w:val="13"/>
          <w:color w:val="auto"/>
        </w:rPr>
        <w:t>The Company and the Executive agree that the text set forth on Exhibit E hereof shall be used by the Company for the press release announcing this Agreement and the Transition Period with respect to the Executive.</w:t>
      </w:r>
    </w:p>
    <w:p>
      <w:pPr>
        <w:spacing w:after="0" w:line="49" w:lineRule="exact"/>
        <w:rPr>
          <w:rFonts w:ascii="Arial" w:cs="Arial" w:eastAsia="Arial" w:hAnsi="Arial"/>
          <w:sz w:val="13"/>
          <w:szCs w:val="13"/>
          <w:color w:val="auto"/>
        </w:rPr>
      </w:pPr>
    </w:p>
    <w:p>
      <w:pPr>
        <w:ind w:left="221" w:right="20" w:firstLine="172"/>
        <w:spacing w:after="0" w:line="276" w:lineRule="auto"/>
        <w:tabs>
          <w:tab w:leader="none" w:pos="541" w:val="left"/>
        </w:tabs>
        <w:numPr>
          <w:ilvl w:val="1"/>
          <w:numId w:val="72"/>
        </w:numPr>
        <w:rPr>
          <w:rFonts w:ascii="Arial" w:cs="Arial" w:eastAsia="Arial" w:hAnsi="Arial"/>
          <w:sz w:val="13"/>
          <w:szCs w:val="13"/>
          <w:color w:val="auto"/>
        </w:rPr>
      </w:pPr>
      <w:r>
        <w:rPr>
          <w:rFonts w:ascii="Arial" w:cs="Arial" w:eastAsia="Arial" w:hAnsi="Arial"/>
          <w:sz w:val="13"/>
          <w:szCs w:val="13"/>
          <w:color w:val="auto"/>
        </w:rPr>
        <w:t>The Company and the Executive agree that, in the event of a dispute with respect to the provisions of this Agreement, the dispute resolution provisions of Section 8 of the Employment Agreement shall apply, except that the Company shall pay the Executive’s reasonable legal fees incurred in connection with his enforcement of his rights hereunder.</w:t>
      </w:r>
    </w:p>
    <w:p>
      <w:pPr>
        <w:spacing w:after="0" w:line="49" w:lineRule="exact"/>
        <w:rPr>
          <w:rFonts w:ascii="Arial" w:cs="Arial" w:eastAsia="Arial" w:hAnsi="Arial"/>
          <w:sz w:val="13"/>
          <w:szCs w:val="13"/>
          <w:color w:val="auto"/>
        </w:rPr>
      </w:pPr>
    </w:p>
    <w:p>
      <w:pPr>
        <w:ind w:left="221" w:firstLine="172"/>
        <w:spacing w:after="0" w:line="276" w:lineRule="auto"/>
        <w:tabs>
          <w:tab w:leader="none" w:pos="566" w:val="left"/>
        </w:tabs>
        <w:numPr>
          <w:ilvl w:val="1"/>
          <w:numId w:val="72"/>
        </w:numPr>
        <w:rPr>
          <w:rFonts w:ascii="Arial" w:cs="Arial" w:eastAsia="Arial" w:hAnsi="Arial"/>
          <w:sz w:val="13"/>
          <w:szCs w:val="13"/>
          <w:color w:val="auto"/>
        </w:rPr>
      </w:pPr>
      <w:r>
        <w:rPr>
          <w:rFonts w:ascii="Arial" w:cs="Arial" w:eastAsia="Arial" w:hAnsi="Arial"/>
          <w:sz w:val="13"/>
          <w:szCs w:val="13"/>
          <w:color w:val="auto"/>
        </w:rPr>
        <w:t>In the event that any one or more of the provisions of this Agreement shall be held to be invalid, illegal or unenforceable, the validity, legality and enforceability of the remainder of the Agreement shall not in any way be affected or impaired thereby.</w:t>
      </w:r>
    </w:p>
    <w:p>
      <w:pPr>
        <w:spacing w:after="0" w:line="49" w:lineRule="exact"/>
        <w:rPr>
          <w:rFonts w:ascii="Arial" w:cs="Arial" w:eastAsia="Arial" w:hAnsi="Arial"/>
          <w:sz w:val="13"/>
          <w:szCs w:val="13"/>
          <w:color w:val="auto"/>
        </w:rPr>
      </w:pPr>
    </w:p>
    <w:p>
      <w:pPr>
        <w:ind w:left="221" w:right="40" w:firstLine="172"/>
        <w:spacing w:after="0" w:line="320" w:lineRule="auto"/>
        <w:tabs>
          <w:tab w:leader="none" w:pos="541" w:val="left"/>
        </w:tabs>
        <w:numPr>
          <w:ilvl w:val="1"/>
          <w:numId w:val="72"/>
        </w:numPr>
        <w:rPr>
          <w:rFonts w:ascii="Arial" w:cs="Arial" w:eastAsia="Arial" w:hAnsi="Arial"/>
          <w:sz w:val="12"/>
          <w:szCs w:val="12"/>
          <w:color w:val="auto"/>
        </w:rPr>
      </w:pPr>
      <w:r>
        <w:rPr>
          <w:rFonts w:ascii="Arial" w:cs="Arial" w:eastAsia="Arial" w:hAnsi="Arial"/>
          <w:sz w:val="12"/>
          <w:szCs w:val="12"/>
          <w:color w:val="auto"/>
        </w:rPr>
        <w:t>This Agreement shall he governed by and construed and enforced in accordance with the laws of the Commonwealth of Massachusetts, without reference to its choice of law rules. The parties hereby consent to submit to the exclusive jurisdiction of the state and federal courts of the Commonwealth of Massachusetts for any actions, suits or proceedings arising out of or relating to this Agreement.</w:t>
      </w:r>
    </w:p>
    <w:p>
      <w:pPr>
        <w:spacing w:after="0" w:line="21" w:lineRule="exact"/>
        <w:rPr>
          <w:rFonts w:ascii="Arial" w:cs="Arial" w:eastAsia="Arial" w:hAnsi="Arial"/>
          <w:sz w:val="12"/>
          <w:szCs w:val="12"/>
          <w:color w:val="auto"/>
        </w:rPr>
      </w:pPr>
    </w:p>
    <w:p>
      <w:pPr>
        <w:ind w:left="281" w:right="120" w:hanging="281"/>
        <w:spacing w:after="0" w:line="283" w:lineRule="auto"/>
        <w:tabs>
          <w:tab w:leader="none" w:pos="281"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Any and all notices, requests, demands and other communications provided for by this Agreement shall be in writing and shall be effective when delivered in person, consigned to a reputable national or</w:t>
      </w:r>
      <w:r>
        <w:rPr>
          <w:rFonts w:ascii="Arial" w:cs="Arial" w:eastAsia="Arial" w:hAnsi="Arial"/>
          <w:sz w:val="13"/>
          <w:szCs w:val="13"/>
          <w:b w:val="1"/>
          <w:bCs w:val="1"/>
          <w:color w:val="auto"/>
        </w:rPr>
        <w:t xml:space="preserve"> </w:t>
      </w:r>
      <w:r>
        <w:rPr>
          <w:rFonts w:ascii="Arial" w:cs="Arial" w:eastAsia="Arial" w:hAnsi="Arial"/>
          <w:sz w:val="13"/>
          <w:szCs w:val="13"/>
          <w:color w:val="auto"/>
        </w:rPr>
        <w:t>international courier service or deposited in the</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48" w:name="page149"/>
    <w:bookmarkEnd w:id="148"/>
    <w:p>
      <w:pPr>
        <w:ind w:left="220" w:right="20"/>
        <w:spacing w:after="0" w:line="276" w:lineRule="auto"/>
        <w:rPr>
          <w:sz w:val="20"/>
          <w:szCs w:val="20"/>
          <w:color w:val="auto"/>
        </w:rPr>
      </w:pPr>
      <w:r>
        <w:rPr>
          <w:rFonts w:ascii="Arial" w:cs="Arial" w:eastAsia="Arial" w:hAnsi="Arial"/>
          <w:sz w:val="13"/>
          <w:szCs w:val="13"/>
          <w:color w:val="auto"/>
        </w:rPr>
        <w:t>United States mail, postage prepaid, registered or certified, and addressed to the Executive at his last known address on the books of the Company or, in the case of the Company, at the Company’s principal place of business, attention of the General Counsel of the Company, or to such other address as either party may specify by notice to the other actually received.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ACCEPTED AND AGREED TO:</w:t>
            </w:r>
          </w:p>
        </w:tc>
        <w:tc>
          <w:tcPr>
            <w:tcW w:w="4580" w:type="dxa"/>
            <w:vAlign w:val="bottom"/>
            <w:gridSpan w:val="2"/>
          </w:tcPr>
          <w:p>
            <w:pPr>
              <w:ind w:left="1140"/>
              <w:spacing w:after="0"/>
              <w:rPr>
                <w:sz w:val="20"/>
                <w:szCs w:val="20"/>
                <w:color w:val="auto"/>
              </w:rPr>
            </w:pPr>
            <w:r>
              <w:rPr>
                <w:rFonts w:ascii="Arial" w:cs="Arial" w:eastAsia="Arial" w:hAnsi="Arial"/>
                <w:sz w:val="13"/>
                <w:szCs w:val="13"/>
                <w:b w:val="1"/>
                <w:bCs w:val="1"/>
                <w:color w:val="auto"/>
              </w:rPr>
              <w:t>ACCEPTED AND AGREED TO:</w:t>
            </w:r>
          </w:p>
        </w:tc>
        <w:tc>
          <w:tcPr>
            <w:tcW w:w="3440" w:type="dxa"/>
            <w:vAlign w:val="bottom"/>
          </w:tcPr>
          <w:p>
            <w:pPr>
              <w:spacing w:after="0"/>
              <w:rPr>
                <w:sz w:val="14"/>
                <w:szCs w:val="14"/>
                <w:color w:val="auto"/>
              </w:rPr>
            </w:pP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James C. Mullen</w:t>
            </w:r>
          </w:p>
        </w:tc>
        <w:tc>
          <w:tcPr>
            <w:tcW w:w="4580" w:type="dxa"/>
            <w:vAlign w:val="bottom"/>
            <w:gridSpan w:val="2"/>
          </w:tcPr>
          <w:p>
            <w:pPr>
              <w:ind w:left="1140"/>
              <w:spacing w:after="0"/>
              <w:rPr>
                <w:sz w:val="20"/>
                <w:szCs w:val="20"/>
                <w:color w:val="auto"/>
              </w:rPr>
            </w:pPr>
            <w:r>
              <w:rPr>
                <w:rFonts w:ascii="Arial" w:cs="Arial" w:eastAsia="Arial" w:hAnsi="Arial"/>
                <w:sz w:val="13"/>
                <w:szCs w:val="13"/>
                <w:b w:val="1"/>
                <w:bCs w:val="1"/>
                <w:color w:val="auto"/>
              </w:rPr>
              <w:t>Biogen Idec Inc.</w:t>
            </w:r>
          </w:p>
        </w:tc>
        <w:tc>
          <w:tcPr>
            <w:tcW w:w="344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3420" w:type="dxa"/>
            <w:vAlign w:val="bottom"/>
            <w:tcBorders>
              <w:bottom w:val="single" w:sz="8" w:color="auto"/>
            </w:tcBorders>
          </w:tcPr>
          <w:p>
            <w:pPr>
              <w:jc w:val="right"/>
              <w:ind w:right="2134"/>
              <w:spacing w:after="0"/>
              <w:rPr>
                <w:sz w:val="20"/>
                <w:szCs w:val="20"/>
                <w:color w:val="auto"/>
              </w:rPr>
            </w:pPr>
            <w:r>
              <w:rPr>
                <w:rFonts w:ascii="Arial" w:cs="Arial" w:eastAsia="Arial" w:hAnsi="Arial"/>
                <w:sz w:val="13"/>
                <w:szCs w:val="13"/>
                <w:color w:val="auto"/>
              </w:rPr>
              <w:t>/s/ James C. Mullen</w:t>
            </w:r>
          </w:p>
        </w:tc>
        <w:tc>
          <w:tcPr>
            <w:tcW w:w="1140" w:type="dxa"/>
            <w:vAlign w:val="bottom"/>
          </w:tcPr>
          <w:p>
            <w:pPr>
              <w:spacing w:after="0"/>
              <w:rPr>
                <w:sz w:val="24"/>
                <w:szCs w:val="24"/>
                <w:color w:val="auto"/>
              </w:rPr>
            </w:pPr>
          </w:p>
        </w:tc>
        <w:tc>
          <w:tcPr>
            <w:tcW w:w="34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/s/ William D. Young</w:t>
            </w:r>
          </w:p>
        </w:tc>
        <w:tc>
          <w:tcPr>
            <w:tcW w:w="3440" w:type="dxa"/>
            <w:vAlign w:val="bottom"/>
          </w:tcPr>
          <w:p>
            <w:pPr>
              <w:spacing w:after="0"/>
              <w:rPr>
                <w:sz w:val="24"/>
                <w:szCs w:val="24"/>
                <w:color w:val="auto"/>
              </w:rPr>
            </w:pPr>
          </w:p>
        </w:tc>
      </w:tr>
      <w:tr>
        <w:trPr>
          <w:trHeight w:val="314"/>
        </w:trPr>
        <w:tc>
          <w:tcPr>
            <w:tcW w:w="3440" w:type="dxa"/>
            <w:vAlign w:val="bottom"/>
            <w:gridSpan w:val="2"/>
          </w:tcPr>
          <w:p>
            <w:pPr>
              <w:jc w:val="right"/>
              <w:ind w:right="2874"/>
              <w:spacing w:after="0"/>
              <w:rPr>
                <w:sz w:val="20"/>
                <w:szCs w:val="20"/>
                <w:color w:val="auto"/>
              </w:rPr>
            </w:pPr>
            <w:r>
              <w:rPr>
                <w:rFonts w:ascii="Arial" w:cs="Arial" w:eastAsia="Arial" w:hAnsi="Arial"/>
                <w:sz w:val="13"/>
                <w:szCs w:val="13"/>
                <w:color w:val="auto"/>
              </w:rPr>
              <w:t>1/4/10</w:t>
            </w:r>
          </w:p>
        </w:tc>
        <w:tc>
          <w:tcPr>
            <w:tcW w:w="4580" w:type="dxa"/>
            <w:vAlign w:val="bottom"/>
            <w:gridSpan w:val="2"/>
          </w:tcPr>
          <w:p>
            <w:pPr>
              <w:jc w:val="right"/>
              <w:ind w:right="2874"/>
              <w:spacing w:after="0"/>
              <w:rPr>
                <w:sz w:val="20"/>
                <w:szCs w:val="20"/>
                <w:color w:val="auto"/>
              </w:rPr>
            </w:pPr>
            <w:r>
              <w:rPr>
                <w:rFonts w:ascii="Arial" w:cs="Arial" w:eastAsia="Arial" w:hAnsi="Arial"/>
                <w:sz w:val="13"/>
                <w:szCs w:val="13"/>
                <w:color w:val="auto"/>
              </w:rPr>
              <w:t>1/4/10</w:t>
            </w:r>
          </w:p>
        </w:tc>
        <w:tc>
          <w:tcPr>
            <w:tcW w:w="344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1140" w:type="dxa"/>
            <w:vAlign w:val="bottom"/>
          </w:tcPr>
          <w:p>
            <w:pPr>
              <w:spacing w:after="0"/>
              <w:rPr>
                <w:sz w:val="13"/>
                <w:szCs w:val="13"/>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3440" w:type="dxa"/>
            <w:vAlign w:val="bottom"/>
          </w:tcPr>
          <w:p>
            <w:pPr>
              <w:spacing w:after="0"/>
              <w:rPr>
                <w:sz w:val="13"/>
                <w:szCs w:val="13"/>
                <w:color w:val="auto"/>
              </w:rPr>
            </w:pPr>
          </w:p>
        </w:tc>
      </w:tr>
      <w:tr>
        <w:trPr>
          <w:trHeight w:val="2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80" w:type="dxa"/>
            <w:vAlign w:val="bottom"/>
            <w:gridSpan w:val="2"/>
          </w:tcPr>
          <w:p>
            <w:pPr>
              <w:jc w:val="right"/>
              <w:ind w:right="2194"/>
              <w:spacing w:after="0"/>
              <w:rPr>
                <w:sz w:val="20"/>
                <w:szCs w:val="20"/>
                <w:color w:val="auto"/>
              </w:rPr>
            </w:pPr>
            <w:r>
              <w:rPr>
                <w:rFonts w:ascii="Arial" w:cs="Arial" w:eastAsia="Arial" w:hAnsi="Arial"/>
                <w:sz w:val="13"/>
                <w:szCs w:val="13"/>
                <w:color w:val="auto"/>
              </w:rPr>
              <w:t>9</w:t>
            </w:r>
          </w:p>
        </w:tc>
        <w:tc>
          <w:tcPr>
            <w:tcW w:w="344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As of December 28, 2009</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contents of this exhibit are for informational purposes only and shall not be construed to limit or reduce the entitlements of the Executive to benefits under the terms of any benefit plan or program of the Company, as modified by this Agreement.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401(k) Savings Plan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Supplemental Savings Plan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Employee Stock Purchase Plan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Disability Benefits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Life and Accidental Death &amp; Dismemberment Insurance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Business Travel Accident Insurance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Medical Benefits, Dental Benefits, and Wellness &amp; Fitness Programs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Career Policy (including, but not limited to, tuition reimbursements and service awards)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Tax and Financial Planning Reimbursement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Vacation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36" w:right="2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3"/>
          <w:szCs w:val="13"/>
          <w:b w:val="1"/>
          <w:bCs w:val="1"/>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December 28, 2009</w:t>
      </w:r>
    </w:p>
    <w:p>
      <w:pPr>
        <w:spacing w:after="0" w:line="79"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The contents of this exhibit are for informational purposes only and shall not be construed to limit or reduce the entitlements of the Executive to benefits under the terms of any benefit plan or program of the Company, as modified by this Agreement.</w:t>
      </w:r>
    </w:p>
    <w:p>
      <w:pPr>
        <w:spacing w:after="0" w:line="113"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3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740" w:type="dxa"/>
            <w:vAlign w:val="bottom"/>
          </w:tcPr>
          <w:p>
            <w:pPr>
              <w:spacing w:after="0"/>
              <w:rPr>
                <w:sz w:val="10"/>
                <w:szCs w:val="10"/>
                <w:color w:val="auto"/>
              </w:rPr>
            </w:pPr>
          </w:p>
        </w:tc>
        <w:tc>
          <w:tcPr>
            <w:tcW w:w="660" w:type="dxa"/>
            <w:vAlign w:val="bottom"/>
          </w:tcPr>
          <w:p>
            <w:pPr>
              <w:spacing w:after="0"/>
              <w:rPr>
                <w:sz w:val="20"/>
                <w:szCs w:val="20"/>
                <w:color w:val="auto"/>
              </w:rPr>
            </w:pPr>
            <w:r>
              <w:rPr>
                <w:rFonts w:ascii="Arial" w:cs="Arial" w:eastAsia="Arial" w:hAnsi="Arial"/>
                <w:sz w:val="10"/>
                <w:szCs w:val="10"/>
                <w:b w:val="1"/>
                <w:bCs w:val="1"/>
                <w:color w:val="auto"/>
              </w:rPr>
              <w:t>Exercise</w:t>
            </w: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0"/>
                <w:szCs w:val="10"/>
                <w:b w:val="1"/>
                <w:bCs w:val="1"/>
                <w:color w:val="auto"/>
              </w:rPr>
              <w:t>Options</w:t>
            </w:r>
          </w:p>
        </w:tc>
        <w:tc>
          <w:tcPr>
            <w:tcW w:w="760" w:type="dxa"/>
            <w:vAlign w:val="bottom"/>
          </w:tcPr>
          <w:p>
            <w:pPr>
              <w:spacing w:after="0"/>
              <w:rPr>
                <w:sz w:val="10"/>
                <w:szCs w:val="10"/>
                <w:color w:val="auto"/>
              </w:rPr>
            </w:pPr>
          </w:p>
        </w:tc>
        <w:tc>
          <w:tcPr>
            <w:tcW w:w="820" w:type="dxa"/>
            <w:vAlign w:val="bottom"/>
          </w:tcPr>
          <w:p>
            <w:pPr>
              <w:spacing w:after="0"/>
              <w:rPr>
                <w:sz w:val="20"/>
                <w:szCs w:val="20"/>
                <w:color w:val="auto"/>
              </w:rPr>
            </w:pPr>
            <w:r>
              <w:rPr>
                <w:rFonts w:ascii="Arial" w:cs="Arial" w:eastAsia="Arial" w:hAnsi="Arial"/>
                <w:sz w:val="10"/>
                <w:szCs w:val="10"/>
                <w:b w:val="1"/>
                <w:bCs w:val="1"/>
                <w:color w:val="auto"/>
              </w:rPr>
              <w:t>Options</w:t>
            </w:r>
          </w:p>
        </w:tc>
        <w:tc>
          <w:tcPr>
            <w:tcW w:w="1500" w:type="dxa"/>
            <w:vAlign w:val="bottom"/>
            <w:gridSpan w:val="2"/>
          </w:tcPr>
          <w:p>
            <w:pPr>
              <w:ind w:left="760"/>
              <w:spacing w:after="0"/>
              <w:rPr>
                <w:sz w:val="20"/>
                <w:szCs w:val="20"/>
                <w:color w:val="auto"/>
              </w:rPr>
            </w:pPr>
            <w:r>
              <w:rPr>
                <w:rFonts w:ascii="Arial" w:cs="Arial" w:eastAsia="Arial" w:hAnsi="Arial"/>
                <w:sz w:val="10"/>
                <w:szCs w:val="10"/>
                <w:b w:val="1"/>
                <w:bCs w:val="1"/>
                <w:color w:val="auto"/>
              </w:rPr>
              <w:t>Options</w:t>
            </w:r>
          </w:p>
        </w:tc>
        <w:tc>
          <w:tcPr>
            <w:tcW w:w="760" w:type="dxa"/>
            <w:vAlign w:val="bottom"/>
          </w:tcPr>
          <w:p>
            <w:pPr>
              <w:spacing w:after="0"/>
              <w:rPr>
                <w:sz w:val="10"/>
                <w:szCs w:val="10"/>
                <w:color w:val="auto"/>
              </w:rPr>
            </w:pPr>
          </w:p>
        </w:tc>
        <w:tc>
          <w:tcPr>
            <w:tcW w:w="820" w:type="dxa"/>
            <w:vAlign w:val="bottom"/>
          </w:tcPr>
          <w:p>
            <w:pPr>
              <w:spacing w:after="0"/>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125"/>
        </w:trPr>
        <w:tc>
          <w:tcPr>
            <w:tcW w:w="38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20"/>
                <w:szCs w:val="20"/>
                <w:color w:val="auto"/>
              </w:rPr>
            </w:pPr>
            <w:r>
              <w:rPr>
                <w:rFonts w:ascii="Arial" w:cs="Arial" w:eastAsia="Arial" w:hAnsi="Arial"/>
                <w:sz w:val="10"/>
                <w:szCs w:val="10"/>
                <w:b w:val="1"/>
                <w:bCs w:val="1"/>
                <w:color w:val="auto"/>
              </w:rPr>
              <w:t>Price</w:t>
            </w: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0"/>
                <w:szCs w:val="10"/>
                <w:b w:val="1"/>
                <w:bCs w:val="1"/>
                <w:color w:val="auto"/>
              </w:rPr>
              <w:t>Granted</w:t>
            </w:r>
          </w:p>
        </w:tc>
        <w:tc>
          <w:tcPr>
            <w:tcW w:w="760" w:type="dxa"/>
            <w:vAlign w:val="bottom"/>
          </w:tcPr>
          <w:p>
            <w:pPr>
              <w:spacing w:after="0"/>
              <w:rPr>
                <w:sz w:val="10"/>
                <w:szCs w:val="10"/>
                <w:color w:val="auto"/>
              </w:rPr>
            </w:pPr>
          </w:p>
        </w:tc>
        <w:tc>
          <w:tcPr>
            <w:tcW w:w="820" w:type="dxa"/>
            <w:vAlign w:val="bottom"/>
          </w:tcPr>
          <w:p>
            <w:pPr>
              <w:spacing w:after="0"/>
              <w:rPr>
                <w:sz w:val="20"/>
                <w:szCs w:val="20"/>
                <w:color w:val="auto"/>
              </w:rPr>
            </w:pPr>
            <w:r>
              <w:rPr>
                <w:rFonts w:ascii="Arial" w:cs="Arial" w:eastAsia="Arial" w:hAnsi="Arial"/>
                <w:sz w:val="10"/>
                <w:szCs w:val="10"/>
                <w:b w:val="1"/>
                <w:bCs w:val="1"/>
                <w:color w:val="auto"/>
              </w:rPr>
              <w:t>Vested</w:t>
            </w:r>
          </w:p>
        </w:tc>
        <w:tc>
          <w:tcPr>
            <w:tcW w:w="1500" w:type="dxa"/>
            <w:vAlign w:val="bottom"/>
            <w:gridSpan w:val="2"/>
          </w:tcPr>
          <w:p>
            <w:pPr>
              <w:ind w:left="760"/>
              <w:spacing w:after="0"/>
              <w:rPr>
                <w:sz w:val="20"/>
                <w:szCs w:val="20"/>
                <w:color w:val="auto"/>
              </w:rPr>
            </w:pPr>
            <w:r>
              <w:rPr>
                <w:rFonts w:ascii="Arial" w:cs="Arial" w:eastAsia="Arial" w:hAnsi="Arial"/>
                <w:sz w:val="10"/>
                <w:szCs w:val="10"/>
                <w:b w:val="1"/>
                <w:bCs w:val="1"/>
                <w:color w:val="auto"/>
              </w:rPr>
              <w:t>Unvested</w:t>
            </w:r>
          </w:p>
        </w:tc>
        <w:tc>
          <w:tcPr>
            <w:tcW w:w="760" w:type="dxa"/>
            <w:vAlign w:val="bottom"/>
          </w:tcPr>
          <w:p>
            <w:pPr>
              <w:spacing w:after="0"/>
              <w:rPr>
                <w:sz w:val="10"/>
                <w:szCs w:val="10"/>
                <w:color w:val="auto"/>
              </w:rPr>
            </w:pPr>
          </w:p>
        </w:tc>
        <w:tc>
          <w:tcPr>
            <w:tcW w:w="820" w:type="dxa"/>
            <w:vAlign w:val="bottom"/>
          </w:tcPr>
          <w:p>
            <w:pPr>
              <w:spacing w:after="0"/>
              <w:rPr>
                <w:sz w:val="20"/>
                <w:szCs w:val="20"/>
                <w:color w:val="auto"/>
              </w:rPr>
            </w:pPr>
            <w:r>
              <w:rPr>
                <w:rFonts w:ascii="Arial" w:cs="Arial" w:eastAsia="Arial" w:hAnsi="Arial"/>
                <w:sz w:val="10"/>
                <w:szCs w:val="10"/>
                <w:b w:val="1"/>
                <w:bCs w:val="1"/>
                <w:color w:val="auto"/>
              </w:rPr>
              <w:t>Outstanding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06/16/2000</w:t>
            </w:r>
          </w:p>
        </w:tc>
        <w:tc>
          <w:tcPr>
            <w:tcW w:w="7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$51.85</w:t>
            </w:r>
          </w:p>
        </w:tc>
        <w:tc>
          <w:tcPr>
            <w:tcW w:w="76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243"/>
              <w:spacing w:after="0" w:line="148" w:lineRule="exact"/>
              <w:rPr>
                <w:sz w:val="20"/>
                <w:szCs w:val="20"/>
                <w:color w:val="auto"/>
              </w:rPr>
            </w:pPr>
            <w:r>
              <w:rPr>
                <w:rFonts w:ascii="Arial" w:cs="Arial" w:eastAsia="Arial" w:hAnsi="Arial"/>
                <w:sz w:val="13"/>
                <w:szCs w:val="13"/>
                <w:color w:val="auto"/>
              </w:rPr>
              <w:t>287,500</w:t>
            </w:r>
          </w:p>
        </w:tc>
        <w:tc>
          <w:tcPr>
            <w:tcW w:w="7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243"/>
              <w:spacing w:after="0" w:line="148" w:lineRule="exact"/>
              <w:rPr>
                <w:sz w:val="20"/>
                <w:szCs w:val="20"/>
                <w:color w:val="auto"/>
              </w:rPr>
            </w:pPr>
            <w:r>
              <w:rPr>
                <w:rFonts w:ascii="Arial" w:cs="Arial" w:eastAsia="Arial" w:hAnsi="Arial"/>
                <w:sz w:val="13"/>
                <w:szCs w:val="13"/>
                <w:color w:val="auto"/>
              </w:rPr>
              <w:t>287,500</w:t>
            </w:r>
          </w:p>
        </w:tc>
        <w:tc>
          <w:tcPr>
            <w:tcW w:w="7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0</w:t>
            </w:r>
          </w:p>
        </w:tc>
        <w:tc>
          <w:tcPr>
            <w:tcW w:w="7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223"/>
              <w:spacing w:after="0" w:line="148" w:lineRule="exact"/>
              <w:rPr>
                <w:sz w:val="20"/>
                <w:szCs w:val="20"/>
                <w:color w:val="auto"/>
              </w:rPr>
            </w:pPr>
            <w:r>
              <w:rPr>
                <w:rFonts w:ascii="Arial" w:cs="Arial" w:eastAsia="Arial" w:hAnsi="Arial"/>
                <w:sz w:val="13"/>
                <w:szCs w:val="13"/>
                <w:color w:val="auto"/>
              </w:rPr>
              <w:t>287,500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12/14/2001</w:t>
            </w:r>
          </w:p>
        </w:tc>
        <w:tc>
          <w:tcPr>
            <w:tcW w:w="1400" w:type="dxa"/>
            <w:vAlign w:val="bottom"/>
            <w:gridSpan w:val="2"/>
          </w:tcPr>
          <w:p>
            <w:pPr>
              <w:ind w:left="760"/>
              <w:spacing w:after="0"/>
              <w:rPr>
                <w:sz w:val="20"/>
                <w:szCs w:val="20"/>
                <w:color w:val="auto"/>
              </w:rPr>
            </w:pPr>
            <w:r>
              <w:rPr>
                <w:rFonts w:ascii="Arial" w:cs="Arial" w:eastAsia="Arial" w:hAnsi="Arial"/>
                <w:sz w:val="13"/>
                <w:szCs w:val="13"/>
                <w:color w:val="auto"/>
              </w:rPr>
              <w:t>$49.03</w:t>
            </w:r>
          </w:p>
        </w:tc>
        <w:tc>
          <w:tcPr>
            <w:tcW w:w="1600" w:type="dxa"/>
            <w:vAlign w:val="bottom"/>
            <w:gridSpan w:val="2"/>
          </w:tcPr>
          <w:p>
            <w:pPr>
              <w:jc w:val="right"/>
              <w:ind w:right="243"/>
              <w:spacing w:after="0"/>
              <w:rPr>
                <w:sz w:val="20"/>
                <w:szCs w:val="20"/>
                <w:color w:val="auto"/>
              </w:rPr>
            </w:pPr>
            <w:r>
              <w:rPr>
                <w:rFonts w:ascii="Arial" w:cs="Arial" w:eastAsia="Arial" w:hAnsi="Arial"/>
                <w:sz w:val="13"/>
                <w:szCs w:val="13"/>
                <w:color w:val="auto"/>
              </w:rPr>
              <w:t>402,500</w:t>
            </w:r>
          </w:p>
        </w:tc>
        <w:tc>
          <w:tcPr>
            <w:tcW w:w="1580" w:type="dxa"/>
            <w:vAlign w:val="bottom"/>
            <w:gridSpan w:val="2"/>
          </w:tcPr>
          <w:p>
            <w:pPr>
              <w:jc w:val="right"/>
              <w:ind w:right="243"/>
              <w:spacing w:after="0"/>
              <w:rPr>
                <w:sz w:val="20"/>
                <w:szCs w:val="20"/>
                <w:color w:val="auto"/>
              </w:rPr>
            </w:pPr>
            <w:r>
              <w:rPr>
                <w:rFonts w:ascii="Arial" w:cs="Arial" w:eastAsia="Arial" w:hAnsi="Arial"/>
                <w:sz w:val="13"/>
                <w:szCs w:val="13"/>
                <w:color w:val="auto"/>
              </w:rPr>
              <w:t>402,500</w:t>
            </w:r>
          </w:p>
        </w:tc>
        <w:tc>
          <w:tcPr>
            <w:tcW w:w="1500" w:type="dxa"/>
            <w:vAlign w:val="bottom"/>
            <w:gridSpan w:val="2"/>
          </w:tcPr>
          <w:p>
            <w:pPr>
              <w:jc w:val="right"/>
              <w:ind w:right="234"/>
              <w:spacing w:after="0"/>
              <w:rPr>
                <w:sz w:val="20"/>
                <w:szCs w:val="20"/>
                <w:color w:val="auto"/>
              </w:rPr>
            </w:pPr>
            <w:r>
              <w:rPr>
                <w:rFonts w:ascii="Arial" w:cs="Arial" w:eastAsia="Arial" w:hAnsi="Arial"/>
                <w:sz w:val="13"/>
                <w:szCs w:val="13"/>
                <w:color w:val="auto"/>
              </w:rPr>
              <w:t>0</w:t>
            </w:r>
          </w:p>
        </w:tc>
        <w:tc>
          <w:tcPr>
            <w:tcW w:w="1580" w:type="dxa"/>
            <w:vAlign w:val="bottom"/>
            <w:gridSpan w:val="2"/>
          </w:tcPr>
          <w:p>
            <w:pPr>
              <w:jc w:val="right"/>
              <w:ind w:right="223"/>
              <w:spacing w:after="0"/>
              <w:rPr>
                <w:sz w:val="20"/>
                <w:szCs w:val="20"/>
                <w:color w:val="auto"/>
              </w:rPr>
            </w:pPr>
            <w:r>
              <w:rPr>
                <w:rFonts w:ascii="Arial" w:cs="Arial" w:eastAsia="Arial" w:hAnsi="Arial"/>
                <w:sz w:val="13"/>
                <w:szCs w:val="13"/>
                <w:color w:val="auto"/>
              </w:rPr>
              <w:t>402,500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02/17/2005</w:t>
            </w:r>
          </w:p>
        </w:tc>
        <w:tc>
          <w:tcPr>
            <w:tcW w:w="14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$67.57</w:t>
            </w:r>
          </w:p>
        </w:tc>
        <w:tc>
          <w:tcPr>
            <w:tcW w:w="160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325,000</w:t>
            </w:r>
          </w:p>
        </w:tc>
        <w:tc>
          <w:tcPr>
            <w:tcW w:w="15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325,000</w:t>
            </w:r>
          </w:p>
        </w:tc>
        <w:tc>
          <w:tcPr>
            <w:tcW w:w="15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0</w:t>
            </w:r>
          </w:p>
        </w:tc>
        <w:tc>
          <w:tcPr>
            <w:tcW w:w="158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325,000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02/07/2006</w:t>
            </w:r>
          </w:p>
        </w:tc>
        <w:tc>
          <w:tcPr>
            <w:tcW w:w="1400" w:type="dxa"/>
            <w:vAlign w:val="bottom"/>
            <w:gridSpan w:val="2"/>
          </w:tcPr>
          <w:p>
            <w:pPr>
              <w:ind w:left="760"/>
              <w:spacing w:after="0"/>
              <w:rPr>
                <w:sz w:val="20"/>
                <w:szCs w:val="20"/>
                <w:color w:val="auto"/>
              </w:rPr>
            </w:pPr>
            <w:r>
              <w:rPr>
                <w:rFonts w:ascii="Arial" w:cs="Arial" w:eastAsia="Arial" w:hAnsi="Arial"/>
                <w:sz w:val="13"/>
                <w:szCs w:val="13"/>
                <w:color w:val="auto"/>
              </w:rPr>
              <w:t>$44.59</w:t>
            </w:r>
          </w:p>
        </w:tc>
        <w:tc>
          <w:tcPr>
            <w:tcW w:w="1600" w:type="dxa"/>
            <w:vAlign w:val="bottom"/>
            <w:gridSpan w:val="2"/>
          </w:tcPr>
          <w:p>
            <w:pPr>
              <w:jc w:val="right"/>
              <w:ind w:right="243"/>
              <w:spacing w:after="0"/>
              <w:rPr>
                <w:sz w:val="20"/>
                <w:szCs w:val="20"/>
                <w:color w:val="auto"/>
              </w:rPr>
            </w:pPr>
            <w:r>
              <w:rPr>
                <w:rFonts w:ascii="Arial" w:cs="Arial" w:eastAsia="Arial" w:hAnsi="Arial"/>
                <w:sz w:val="13"/>
                <w:szCs w:val="13"/>
                <w:color w:val="auto"/>
              </w:rPr>
              <w:t>240,000</w:t>
            </w:r>
          </w:p>
        </w:tc>
        <w:tc>
          <w:tcPr>
            <w:tcW w:w="1580" w:type="dxa"/>
            <w:vAlign w:val="bottom"/>
            <w:gridSpan w:val="2"/>
          </w:tcPr>
          <w:p>
            <w:pPr>
              <w:jc w:val="right"/>
              <w:ind w:right="243"/>
              <w:spacing w:after="0"/>
              <w:rPr>
                <w:sz w:val="20"/>
                <w:szCs w:val="20"/>
                <w:color w:val="auto"/>
              </w:rPr>
            </w:pPr>
            <w:r>
              <w:rPr>
                <w:rFonts w:ascii="Arial" w:cs="Arial" w:eastAsia="Arial" w:hAnsi="Arial"/>
                <w:sz w:val="13"/>
                <w:szCs w:val="13"/>
                <w:color w:val="auto"/>
              </w:rPr>
              <w:t>60,000</w:t>
            </w:r>
          </w:p>
        </w:tc>
        <w:tc>
          <w:tcPr>
            <w:tcW w:w="1500" w:type="dxa"/>
            <w:vAlign w:val="bottom"/>
            <w:gridSpan w:val="2"/>
          </w:tcPr>
          <w:p>
            <w:pPr>
              <w:jc w:val="right"/>
              <w:ind w:right="234"/>
              <w:spacing w:after="0"/>
              <w:rPr>
                <w:sz w:val="20"/>
                <w:szCs w:val="20"/>
                <w:color w:val="auto"/>
              </w:rPr>
            </w:pPr>
            <w:r>
              <w:rPr>
                <w:rFonts w:ascii="Arial" w:cs="Arial" w:eastAsia="Arial" w:hAnsi="Arial"/>
                <w:sz w:val="13"/>
                <w:szCs w:val="13"/>
                <w:color w:val="auto"/>
              </w:rPr>
              <w:t>60,000</w:t>
            </w:r>
          </w:p>
        </w:tc>
        <w:tc>
          <w:tcPr>
            <w:tcW w:w="1580" w:type="dxa"/>
            <w:vAlign w:val="bottom"/>
            <w:gridSpan w:val="2"/>
          </w:tcPr>
          <w:p>
            <w:pPr>
              <w:jc w:val="right"/>
              <w:ind w:right="163"/>
              <w:spacing w:after="0"/>
              <w:rPr>
                <w:sz w:val="20"/>
                <w:szCs w:val="20"/>
                <w:color w:val="auto"/>
              </w:rPr>
            </w:pPr>
            <w:r>
              <w:rPr>
                <w:rFonts w:ascii="Arial" w:cs="Arial" w:eastAsia="Arial" w:hAnsi="Arial"/>
                <w:sz w:val="13"/>
                <w:szCs w:val="13"/>
                <w:color w:val="auto"/>
              </w:rPr>
              <w:t>120,000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02/13/2007</w:t>
            </w:r>
          </w:p>
        </w:tc>
        <w:tc>
          <w:tcPr>
            <w:tcW w:w="14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$49.17</w:t>
            </w:r>
          </w:p>
        </w:tc>
        <w:tc>
          <w:tcPr>
            <w:tcW w:w="160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210,000</w:t>
            </w:r>
          </w:p>
        </w:tc>
        <w:tc>
          <w:tcPr>
            <w:tcW w:w="15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105,000</w:t>
            </w:r>
          </w:p>
        </w:tc>
        <w:tc>
          <w:tcPr>
            <w:tcW w:w="15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105,000</w:t>
            </w:r>
          </w:p>
        </w:tc>
        <w:tc>
          <w:tcPr>
            <w:tcW w:w="158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02/13/2008</w:t>
            </w:r>
          </w:p>
        </w:tc>
        <w:tc>
          <w:tcPr>
            <w:tcW w:w="1400" w:type="dxa"/>
            <w:vAlign w:val="bottom"/>
            <w:gridSpan w:val="2"/>
          </w:tcPr>
          <w:p>
            <w:pPr>
              <w:ind w:left="760"/>
              <w:spacing w:after="0"/>
              <w:rPr>
                <w:sz w:val="20"/>
                <w:szCs w:val="20"/>
                <w:color w:val="auto"/>
              </w:rPr>
            </w:pPr>
            <w:r>
              <w:rPr>
                <w:rFonts w:ascii="Arial" w:cs="Arial" w:eastAsia="Arial" w:hAnsi="Arial"/>
                <w:sz w:val="13"/>
                <w:szCs w:val="13"/>
                <w:color w:val="auto"/>
              </w:rPr>
              <w:t>$63.24</w:t>
            </w:r>
          </w:p>
        </w:tc>
        <w:tc>
          <w:tcPr>
            <w:tcW w:w="1600" w:type="dxa"/>
            <w:vAlign w:val="bottom"/>
            <w:gridSpan w:val="2"/>
          </w:tcPr>
          <w:p>
            <w:pPr>
              <w:jc w:val="right"/>
              <w:ind w:right="243"/>
              <w:spacing w:after="0"/>
              <w:rPr>
                <w:sz w:val="20"/>
                <w:szCs w:val="20"/>
                <w:color w:val="auto"/>
              </w:rPr>
            </w:pPr>
            <w:r>
              <w:rPr>
                <w:rFonts w:ascii="Arial" w:cs="Arial" w:eastAsia="Arial" w:hAnsi="Arial"/>
                <w:sz w:val="13"/>
                <w:szCs w:val="13"/>
                <w:color w:val="auto"/>
              </w:rPr>
              <w:t>166,100</w:t>
            </w:r>
          </w:p>
        </w:tc>
        <w:tc>
          <w:tcPr>
            <w:tcW w:w="1580" w:type="dxa"/>
            <w:vAlign w:val="bottom"/>
            <w:gridSpan w:val="2"/>
          </w:tcPr>
          <w:p>
            <w:pPr>
              <w:jc w:val="right"/>
              <w:ind w:right="243"/>
              <w:spacing w:after="0"/>
              <w:rPr>
                <w:sz w:val="20"/>
                <w:szCs w:val="20"/>
                <w:color w:val="auto"/>
              </w:rPr>
            </w:pPr>
            <w:r>
              <w:rPr>
                <w:rFonts w:ascii="Arial" w:cs="Arial" w:eastAsia="Arial" w:hAnsi="Arial"/>
                <w:sz w:val="13"/>
                <w:szCs w:val="13"/>
                <w:color w:val="auto"/>
              </w:rPr>
              <w:t>41,525</w:t>
            </w:r>
          </w:p>
        </w:tc>
        <w:tc>
          <w:tcPr>
            <w:tcW w:w="1500" w:type="dxa"/>
            <w:vAlign w:val="bottom"/>
            <w:gridSpan w:val="2"/>
          </w:tcPr>
          <w:p>
            <w:pPr>
              <w:jc w:val="right"/>
              <w:ind w:right="234"/>
              <w:spacing w:after="0"/>
              <w:rPr>
                <w:sz w:val="20"/>
                <w:szCs w:val="20"/>
                <w:color w:val="auto"/>
              </w:rPr>
            </w:pPr>
            <w:r>
              <w:rPr>
                <w:rFonts w:ascii="Arial" w:cs="Arial" w:eastAsia="Arial" w:hAnsi="Arial"/>
                <w:sz w:val="13"/>
                <w:szCs w:val="13"/>
                <w:color w:val="auto"/>
              </w:rPr>
              <w:t>124,575</w:t>
            </w:r>
          </w:p>
        </w:tc>
        <w:tc>
          <w:tcPr>
            <w:tcW w:w="1580" w:type="dxa"/>
            <w:vAlign w:val="bottom"/>
            <w:gridSpan w:val="2"/>
          </w:tcPr>
          <w:p>
            <w:pPr>
              <w:jc w:val="right"/>
              <w:ind w:right="223"/>
              <w:spacing w:after="0"/>
              <w:rPr>
                <w:sz w:val="20"/>
                <w:szCs w:val="20"/>
                <w:color w:val="auto"/>
              </w:rPr>
            </w:pPr>
            <w:r>
              <w:rPr>
                <w:rFonts w:ascii="Arial" w:cs="Arial" w:eastAsia="Arial" w:hAnsi="Arial"/>
                <w:sz w:val="13"/>
                <w:szCs w:val="13"/>
                <w:color w:val="auto"/>
              </w:rPr>
              <w:t>166,100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02/25/2009</w:t>
            </w:r>
          </w:p>
        </w:tc>
        <w:tc>
          <w:tcPr>
            <w:tcW w:w="14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$50.55</w:t>
            </w:r>
          </w:p>
        </w:tc>
        <w:tc>
          <w:tcPr>
            <w:tcW w:w="160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131,530</w:t>
            </w:r>
          </w:p>
        </w:tc>
        <w:tc>
          <w:tcPr>
            <w:tcW w:w="15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0</w:t>
            </w:r>
          </w:p>
        </w:tc>
        <w:tc>
          <w:tcPr>
            <w:tcW w:w="15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131,530</w:t>
            </w:r>
          </w:p>
        </w:tc>
        <w:tc>
          <w:tcPr>
            <w:tcW w:w="158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131,530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Total</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2"/>
          </w:tcPr>
          <w:p>
            <w:pPr>
              <w:jc w:val="right"/>
              <w:ind w:right="243"/>
              <w:spacing w:after="0"/>
              <w:rPr>
                <w:sz w:val="20"/>
                <w:szCs w:val="20"/>
                <w:color w:val="auto"/>
              </w:rPr>
            </w:pPr>
            <w:r>
              <w:rPr>
                <w:rFonts w:ascii="Arial" w:cs="Arial" w:eastAsia="Arial" w:hAnsi="Arial"/>
                <w:sz w:val="13"/>
                <w:szCs w:val="13"/>
                <w:color w:val="auto"/>
              </w:rPr>
              <w:t>1,762,630</w:t>
            </w:r>
          </w:p>
        </w:tc>
        <w:tc>
          <w:tcPr>
            <w:tcW w:w="1580" w:type="dxa"/>
            <w:vAlign w:val="bottom"/>
            <w:gridSpan w:val="2"/>
          </w:tcPr>
          <w:p>
            <w:pPr>
              <w:jc w:val="right"/>
              <w:ind w:right="243"/>
              <w:spacing w:after="0"/>
              <w:rPr>
                <w:sz w:val="20"/>
                <w:szCs w:val="20"/>
                <w:color w:val="auto"/>
              </w:rPr>
            </w:pPr>
            <w:r>
              <w:rPr>
                <w:rFonts w:ascii="Arial" w:cs="Arial" w:eastAsia="Arial" w:hAnsi="Arial"/>
                <w:sz w:val="13"/>
                <w:szCs w:val="13"/>
                <w:color w:val="auto"/>
              </w:rPr>
              <w:t>1,221,525</w:t>
            </w:r>
          </w:p>
        </w:tc>
        <w:tc>
          <w:tcPr>
            <w:tcW w:w="1500" w:type="dxa"/>
            <w:vAlign w:val="bottom"/>
            <w:gridSpan w:val="2"/>
          </w:tcPr>
          <w:p>
            <w:pPr>
              <w:jc w:val="right"/>
              <w:ind w:right="234"/>
              <w:spacing w:after="0"/>
              <w:rPr>
                <w:sz w:val="20"/>
                <w:szCs w:val="20"/>
                <w:color w:val="auto"/>
              </w:rPr>
            </w:pPr>
            <w:r>
              <w:rPr>
                <w:rFonts w:ascii="Arial" w:cs="Arial" w:eastAsia="Arial" w:hAnsi="Arial"/>
                <w:sz w:val="13"/>
                <w:szCs w:val="13"/>
                <w:color w:val="auto"/>
              </w:rPr>
              <w:t>421,105</w:t>
            </w:r>
          </w:p>
        </w:tc>
        <w:tc>
          <w:tcPr>
            <w:tcW w:w="1580" w:type="dxa"/>
            <w:vAlign w:val="bottom"/>
            <w:gridSpan w:val="2"/>
          </w:tcPr>
          <w:p>
            <w:pPr>
              <w:jc w:val="right"/>
              <w:ind w:right="223"/>
              <w:spacing w:after="0"/>
              <w:rPr>
                <w:sz w:val="20"/>
                <w:szCs w:val="20"/>
                <w:color w:val="auto"/>
              </w:rPr>
            </w:pPr>
            <w:r>
              <w:rPr>
                <w:rFonts w:ascii="Arial" w:cs="Arial" w:eastAsia="Arial" w:hAnsi="Arial"/>
                <w:sz w:val="13"/>
                <w:szCs w:val="13"/>
                <w:color w:val="auto"/>
              </w:rPr>
              <w:t>1,642,630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31064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9" w:lineRule="exact"/>
        <w:rPr>
          <w:sz w:val="20"/>
          <w:szCs w:val="20"/>
          <w:color w:val="auto"/>
        </w:rPr>
      </w:pPr>
    </w:p>
    <w:p>
      <w:pPr>
        <w:ind w:left="461" w:hanging="461"/>
        <w:spacing w:after="0"/>
        <w:tabs>
          <w:tab w:leader="none" w:pos="461" w:val="left"/>
        </w:tabs>
        <w:numPr>
          <w:ilvl w:val="0"/>
          <w:numId w:val="74"/>
        </w:numPr>
        <w:rPr>
          <w:rFonts w:ascii="Arial" w:cs="Arial" w:eastAsia="Arial" w:hAnsi="Arial"/>
          <w:sz w:val="11"/>
          <w:szCs w:val="11"/>
          <w:color w:val="auto"/>
        </w:rPr>
      </w:pPr>
      <w:r>
        <w:rPr>
          <w:rFonts w:ascii="Arial" w:cs="Arial" w:eastAsia="Arial" w:hAnsi="Arial"/>
          <w:sz w:val="13"/>
          <w:szCs w:val="13"/>
          <w:color w:val="auto"/>
        </w:rPr>
        <w:t>120,000 options have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3"/>
          <w:szCs w:val="13"/>
          <w:b w:val="1"/>
          <w:bCs w:val="1"/>
          <w:color w:val="auto"/>
        </w:rPr>
        <w:t>EXHIBIT 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December 28, 2009</w:t>
      </w:r>
    </w:p>
    <w:p>
      <w:pPr>
        <w:spacing w:after="0" w:line="79"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The contents of this exhibit are for informational purposes only and shall not be construed to limit or reduce the entitlements of the Executive to benefits under the terms of any benefit plan or program of the Company, as modified by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Restricted Stock Unit Grant History</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Grant Date</w:t>
            </w:r>
          </w:p>
        </w:tc>
        <w:tc>
          <w:tcPr>
            <w:tcW w:w="580" w:type="dxa"/>
            <w:vAlign w:val="bottom"/>
          </w:tcPr>
          <w:p>
            <w:pPr>
              <w:spacing w:after="0"/>
              <w:rPr>
                <w:sz w:val="10"/>
                <w:szCs w:val="10"/>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RSUs Awarded</w:t>
            </w:r>
          </w:p>
        </w:tc>
        <w:tc>
          <w:tcPr>
            <w:tcW w:w="560" w:type="dxa"/>
            <w:vAlign w:val="bottom"/>
          </w:tcPr>
          <w:p>
            <w:pPr>
              <w:spacing w:after="0"/>
              <w:rPr>
                <w:sz w:val="10"/>
                <w:szCs w:val="10"/>
                <w:color w:val="auto"/>
              </w:rPr>
            </w:pPr>
          </w:p>
        </w:tc>
        <w:tc>
          <w:tcPr>
            <w:tcW w:w="3440" w:type="dxa"/>
            <w:vAlign w:val="bottom"/>
            <w:tcBorders>
              <w:bottom w:val="single" w:sz="8" w:color="auto"/>
            </w:tcBorders>
          </w:tcPr>
          <w:p>
            <w:pPr>
              <w:ind w:left="1380"/>
              <w:spacing w:after="0"/>
              <w:rPr>
                <w:sz w:val="20"/>
                <w:szCs w:val="20"/>
                <w:color w:val="auto"/>
              </w:rPr>
            </w:pPr>
            <w:r>
              <w:rPr>
                <w:rFonts w:ascii="Arial" w:cs="Arial" w:eastAsia="Arial" w:hAnsi="Arial"/>
                <w:sz w:val="10"/>
                <w:szCs w:val="10"/>
                <w:b w:val="1"/>
                <w:bCs w:val="1"/>
                <w:color w:val="auto"/>
              </w:rPr>
              <w:t>RSUs Unvested</w:t>
            </w:r>
          </w:p>
        </w:tc>
      </w:tr>
      <w:tr>
        <w:trPr>
          <w:trHeight w:val="147"/>
        </w:trPr>
        <w:tc>
          <w:tcPr>
            <w:tcW w:w="3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02/13/2007</w:t>
            </w:r>
          </w:p>
        </w:tc>
        <w:tc>
          <w:tcPr>
            <w:tcW w:w="2580" w:type="dxa"/>
            <w:vAlign w:val="bottom"/>
            <w:gridSpan w:val="3"/>
            <w:shd w:val="clear" w:color="auto" w:fill="CCEEFF"/>
          </w:tcPr>
          <w:p>
            <w:pPr>
              <w:jc w:val="center"/>
              <w:ind w:left="1954"/>
              <w:spacing w:after="0" w:line="148" w:lineRule="exact"/>
              <w:rPr>
                <w:sz w:val="20"/>
                <w:szCs w:val="20"/>
                <w:color w:val="auto"/>
              </w:rPr>
            </w:pPr>
            <w:r>
              <w:rPr>
                <w:rFonts w:ascii="Arial" w:cs="Arial" w:eastAsia="Arial" w:hAnsi="Arial"/>
                <w:sz w:val="13"/>
                <w:szCs w:val="13"/>
                <w:color w:val="auto"/>
                <w:w w:val="90"/>
              </w:rPr>
              <w:t>70,000</w:t>
            </w:r>
          </w:p>
        </w:tc>
        <w:tc>
          <w:tcPr>
            <w:tcW w:w="1440" w:type="dxa"/>
            <w:vAlign w:val="bottom"/>
            <w:shd w:val="clear" w:color="auto" w:fill="CCEEFF"/>
          </w:tcPr>
          <w:p>
            <w:pPr>
              <w:spacing w:after="0"/>
              <w:rPr>
                <w:sz w:val="12"/>
                <w:szCs w:val="12"/>
                <w:color w:val="auto"/>
              </w:rPr>
            </w:pPr>
          </w:p>
        </w:tc>
        <w:tc>
          <w:tcPr>
            <w:tcW w:w="4000" w:type="dxa"/>
            <w:vAlign w:val="bottom"/>
            <w:gridSpan w:val="2"/>
            <w:shd w:val="clear" w:color="auto" w:fill="CCEEFF"/>
          </w:tcPr>
          <w:p>
            <w:pPr>
              <w:jc w:val="center"/>
              <w:ind w:left="494"/>
              <w:spacing w:after="0" w:line="148" w:lineRule="exact"/>
              <w:rPr>
                <w:sz w:val="20"/>
                <w:szCs w:val="20"/>
                <w:color w:val="auto"/>
              </w:rPr>
            </w:pPr>
            <w:r>
              <w:rPr>
                <w:rFonts w:ascii="Arial" w:cs="Arial" w:eastAsia="Arial" w:hAnsi="Arial"/>
                <w:sz w:val="13"/>
                <w:szCs w:val="13"/>
                <w:color w:val="auto"/>
                <w:w w:val="90"/>
              </w:rPr>
              <w:t>23,333</w:t>
            </w:r>
          </w:p>
        </w:tc>
      </w:tr>
      <w:tr>
        <w:trPr>
          <w:trHeight w:val="157"/>
        </w:trPr>
        <w:tc>
          <w:tcPr>
            <w:tcW w:w="3440" w:type="dxa"/>
            <w:vAlign w:val="bottom"/>
          </w:tcPr>
          <w:p>
            <w:pPr>
              <w:jc w:val="center"/>
              <w:spacing w:after="0"/>
              <w:rPr>
                <w:sz w:val="20"/>
                <w:szCs w:val="20"/>
                <w:color w:val="auto"/>
              </w:rPr>
            </w:pPr>
            <w:r>
              <w:rPr>
                <w:rFonts w:ascii="Arial" w:cs="Arial" w:eastAsia="Arial" w:hAnsi="Arial"/>
                <w:sz w:val="13"/>
                <w:szCs w:val="13"/>
                <w:color w:val="auto"/>
                <w:w w:val="92"/>
              </w:rPr>
              <w:t>02/13/2008</w:t>
            </w:r>
          </w:p>
        </w:tc>
        <w:tc>
          <w:tcPr>
            <w:tcW w:w="2580" w:type="dxa"/>
            <w:vAlign w:val="bottom"/>
            <w:gridSpan w:val="3"/>
          </w:tcPr>
          <w:p>
            <w:pPr>
              <w:jc w:val="center"/>
              <w:ind w:left="1954"/>
              <w:spacing w:after="0"/>
              <w:rPr>
                <w:sz w:val="20"/>
                <w:szCs w:val="20"/>
                <w:color w:val="auto"/>
              </w:rPr>
            </w:pPr>
            <w:r>
              <w:rPr>
                <w:rFonts w:ascii="Arial" w:cs="Arial" w:eastAsia="Arial" w:hAnsi="Arial"/>
                <w:sz w:val="13"/>
                <w:szCs w:val="13"/>
                <w:color w:val="auto"/>
                <w:w w:val="90"/>
              </w:rPr>
              <w:t>59,300</w:t>
            </w:r>
          </w:p>
        </w:tc>
        <w:tc>
          <w:tcPr>
            <w:tcW w:w="1440" w:type="dxa"/>
            <w:vAlign w:val="bottom"/>
          </w:tcPr>
          <w:p>
            <w:pPr>
              <w:spacing w:after="0"/>
              <w:rPr>
                <w:sz w:val="13"/>
                <w:szCs w:val="13"/>
                <w:color w:val="auto"/>
              </w:rPr>
            </w:pPr>
          </w:p>
        </w:tc>
        <w:tc>
          <w:tcPr>
            <w:tcW w:w="4000" w:type="dxa"/>
            <w:vAlign w:val="bottom"/>
            <w:gridSpan w:val="2"/>
          </w:tcPr>
          <w:p>
            <w:pPr>
              <w:jc w:val="center"/>
              <w:ind w:left="494"/>
              <w:spacing w:after="0"/>
              <w:rPr>
                <w:sz w:val="20"/>
                <w:szCs w:val="20"/>
                <w:color w:val="auto"/>
              </w:rPr>
            </w:pPr>
            <w:r>
              <w:rPr>
                <w:rFonts w:ascii="Arial" w:cs="Arial" w:eastAsia="Arial" w:hAnsi="Arial"/>
                <w:sz w:val="13"/>
                <w:szCs w:val="13"/>
                <w:color w:val="auto"/>
                <w:w w:val="90"/>
              </w:rPr>
              <w:t>39,533</w:t>
            </w:r>
          </w:p>
        </w:tc>
      </w:tr>
      <w:tr>
        <w:trPr>
          <w:trHeight w:val="157"/>
        </w:trPr>
        <w:tc>
          <w:tcPr>
            <w:tcW w:w="3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02/25/2009</w:t>
            </w:r>
          </w:p>
        </w:tc>
        <w:tc>
          <w:tcPr>
            <w:tcW w:w="2580" w:type="dxa"/>
            <w:vAlign w:val="bottom"/>
            <w:gridSpan w:val="3"/>
            <w:shd w:val="clear" w:color="auto" w:fill="CCEEFF"/>
          </w:tcPr>
          <w:p>
            <w:pPr>
              <w:jc w:val="center"/>
              <w:ind w:left="1954"/>
              <w:spacing w:after="0"/>
              <w:rPr>
                <w:sz w:val="20"/>
                <w:szCs w:val="20"/>
                <w:color w:val="auto"/>
              </w:rPr>
            </w:pPr>
            <w:r>
              <w:rPr>
                <w:rFonts w:ascii="Arial" w:cs="Arial" w:eastAsia="Arial" w:hAnsi="Arial"/>
                <w:sz w:val="13"/>
                <w:szCs w:val="13"/>
                <w:color w:val="auto"/>
                <w:w w:val="90"/>
              </w:rPr>
              <w:t>49,455</w:t>
            </w:r>
          </w:p>
        </w:tc>
        <w:tc>
          <w:tcPr>
            <w:tcW w:w="1440" w:type="dxa"/>
            <w:vAlign w:val="bottom"/>
            <w:shd w:val="clear" w:color="auto" w:fill="CCEEFF"/>
          </w:tcPr>
          <w:p>
            <w:pPr>
              <w:spacing w:after="0"/>
              <w:rPr>
                <w:sz w:val="13"/>
                <w:szCs w:val="13"/>
                <w:color w:val="auto"/>
              </w:rPr>
            </w:pPr>
          </w:p>
        </w:tc>
        <w:tc>
          <w:tcPr>
            <w:tcW w:w="400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0"/>
              </w:rPr>
              <w:t>49,455</w:t>
            </w:r>
          </w:p>
        </w:tc>
      </w:tr>
      <w:tr>
        <w:trPr>
          <w:trHeight w:val="165"/>
        </w:trPr>
        <w:tc>
          <w:tcPr>
            <w:tcW w:w="3440" w:type="dxa"/>
            <w:vAlign w:val="bottom"/>
          </w:tcPr>
          <w:p>
            <w:pPr>
              <w:jc w:val="center"/>
              <w:spacing w:after="0"/>
              <w:rPr>
                <w:sz w:val="20"/>
                <w:szCs w:val="20"/>
                <w:color w:val="auto"/>
              </w:rPr>
            </w:pPr>
            <w:r>
              <w:rPr>
                <w:rFonts w:ascii="Arial" w:cs="Arial" w:eastAsia="Arial" w:hAnsi="Arial"/>
                <w:sz w:val="13"/>
                <w:szCs w:val="13"/>
                <w:color w:val="auto"/>
                <w:w w:val="89"/>
              </w:rPr>
              <w:t>Total</w:t>
            </w:r>
          </w:p>
        </w:tc>
        <w:tc>
          <w:tcPr>
            <w:tcW w:w="2580" w:type="dxa"/>
            <w:vAlign w:val="bottom"/>
            <w:gridSpan w:val="3"/>
          </w:tcPr>
          <w:p>
            <w:pPr>
              <w:jc w:val="center"/>
              <w:ind w:left="1954"/>
              <w:spacing w:after="0"/>
              <w:rPr>
                <w:sz w:val="20"/>
                <w:szCs w:val="20"/>
                <w:color w:val="auto"/>
              </w:rPr>
            </w:pPr>
            <w:r>
              <w:rPr>
                <w:rFonts w:ascii="Arial" w:cs="Arial" w:eastAsia="Arial" w:hAnsi="Arial"/>
                <w:sz w:val="13"/>
                <w:szCs w:val="13"/>
                <w:color w:val="auto"/>
                <w:w w:val="93"/>
              </w:rPr>
              <w:t>178,755</w:t>
            </w:r>
          </w:p>
        </w:tc>
        <w:tc>
          <w:tcPr>
            <w:tcW w:w="1440" w:type="dxa"/>
            <w:vAlign w:val="bottom"/>
          </w:tcPr>
          <w:p>
            <w:pPr>
              <w:spacing w:after="0"/>
              <w:rPr>
                <w:sz w:val="14"/>
                <w:szCs w:val="14"/>
                <w:color w:val="auto"/>
              </w:rPr>
            </w:pPr>
          </w:p>
        </w:tc>
        <w:tc>
          <w:tcPr>
            <w:tcW w:w="4000" w:type="dxa"/>
            <w:vAlign w:val="bottom"/>
            <w:gridSpan w:val="2"/>
          </w:tcPr>
          <w:p>
            <w:pPr>
              <w:jc w:val="center"/>
              <w:ind w:left="514"/>
              <w:spacing w:after="0"/>
              <w:rPr>
                <w:sz w:val="20"/>
                <w:szCs w:val="20"/>
                <w:color w:val="auto"/>
              </w:rPr>
            </w:pPr>
            <w:r>
              <w:rPr>
                <w:rFonts w:ascii="Arial" w:cs="Arial" w:eastAsia="Arial" w:hAnsi="Arial"/>
                <w:sz w:val="13"/>
                <w:szCs w:val="13"/>
                <w:color w:val="auto"/>
                <w:w w:val="89"/>
              </w:rPr>
              <w:t>112,321</w:t>
            </w:r>
          </w:p>
        </w:tc>
      </w:tr>
      <w:tr>
        <w:trPr>
          <w:trHeight w:val="384"/>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Performance-Based Restricted Stock Unit Award History</w:t>
            </w: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67"/>
        </w:trPr>
        <w:tc>
          <w:tcPr>
            <w:tcW w:w="3440" w:type="dxa"/>
            <w:vAlign w:val="bottom"/>
            <w:tcBorders>
              <w:bottom w:val="single" w:sz="8" w:color="auto"/>
            </w:tcBorders>
          </w:tcPr>
          <w:p>
            <w:pPr>
              <w:jc w:val="center"/>
              <w:ind w:left="1938"/>
              <w:spacing w:after="0"/>
              <w:rPr>
                <w:sz w:val="20"/>
                <w:szCs w:val="20"/>
                <w:color w:val="auto"/>
              </w:rPr>
            </w:pPr>
            <w:r>
              <w:rPr>
                <w:rFonts w:ascii="Arial" w:cs="Arial" w:eastAsia="Arial" w:hAnsi="Arial"/>
                <w:sz w:val="10"/>
                <w:szCs w:val="10"/>
                <w:b w:val="1"/>
                <w:bCs w:val="1"/>
                <w:color w:val="auto"/>
              </w:rPr>
              <w:t>Grant Date</w:t>
            </w:r>
          </w:p>
        </w:tc>
        <w:tc>
          <w:tcPr>
            <w:tcW w:w="5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center"/>
              <w:ind w:right="1948"/>
              <w:spacing w:after="0"/>
              <w:rPr>
                <w:sz w:val="20"/>
                <w:szCs w:val="20"/>
                <w:color w:val="auto"/>
              </w:rPr>
            </w:pPr>
            <w:r>
              <w:rPr>
                <w:rFonts w:ascii="Arial" w:cs="Arial" w:eastAsia="Arial" w:hAnsi="Arial"/>
                <w:sz w:val="10"/>
                <w:szCs w:val="10"/>
                <w:b w:val="1"/>
                <w:bCs w:val="1"/>
                <w:color w:val="auto"/>
                <w:w w:val="97"/>
              </w:rPr>
              <w:t>Granted PBRSUs</w:t>
            </w:r>
            <w:r>
              <w:rPr>
                <w:rFonts w:ascii="Arial" w:cs="Arial" w:eastAsia="Arial" w:hAnsi="Arial"/>
                <w:sz w:val="8"/>
                <w:szCs w:val="8"/>
                <w:b w:val="1"/>
                <w:bCs w:val="1"/>
                <w:color w:val="auto"/>
                <w:w w:val="97"/>
              </w:rPr>
              <w:t>2</w:t>
            </w:r>
          </w:p>
        </w:tc>
      </w:tr>
      <w:tr>
        <w:trPr>
          <w:trHeight w:val="155"/>
        </w:trPr>
        <w:tc>
          <w:tcPr>
            <w:tcW w:w="3440" w:type="dxa"/>
            <w:vAlign w:val="bottom"/>
          </w:tcPr>
          <w:p>
            <w:pPr>
              <w:jc w:val="right"/>
              <w:ind w:right="358"/>
              <w:spacing w:after="0"/>
              <w:rPr>
                <w:sz w:val="20"/>
                <w:szCs w:val="20"/>
                <w:color w:val="auto"/>
              </w:rPr>
            </w:pPr>
            <w:r>
              <w:rPr>
                <w:rFonts w:ascii="Arial" w:cs="Arial" w:eastAsia="Arial" w:hAnsi="Arial"/>
                <w:sz w:val="13"/>
                <w:szCs w:val="13"/>
                <w:color w:val="auto"/>
              </w:rPr>
              <w:t>02/25/2009</w:t>
            </w: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0" w:type="dxa"/>
            <w:vAlign w:val="bottom"/>
            <w:gridSpan w:val="2"/>
          </w:tcPr>
          <w:p>
            <w:pPr>
              <w:jc w:val="right"/>
              <w:ind w:right="2488"/>
              <w:spacing w:after="0"/>
              <w:rPr>
                <w:sz w:val="20"/>
                <w:szCs w:val="20"/>
                <w:color w:val="auto"/>
              </w:rPr>
            </w:pPr>
            <w:r>
              <w:rPr>
                <w:rFonts w:ascii="Arial" w:cs="Arial" w:eastAsia="Arial" w:hAnsi="Arial"/>
                <w:sz w:val="13"/>
                <w:szCs w:val="13"/>
                <w:color w:val="auto"/>
              </w:rPr>
              <w:t>49,455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31064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9" w:lineRule="exact"/>
        <w:rPr>
          <w:sz w:val="20"/>
          <w:szCs w:val="20"/>
          <w:color w:val="auto"/>
        </w:rPr>
      </w:pPr>
    </w:p>
    <w:p>
      <w:pPr>
        <w:ind w:left="461" w:right="320" w:hanging="461"/>
        <w:spacing w:after="0" w:line="276" w:lineRule="auto"/>
        <w:tabs>
          <w:tab w:leader="none" w:pos="461" w:val="left"/>
        </w:tabs>
        <w:numPr>
          <w:ilvl w:val="0"/>
          <w:numId w:val="75"/>
        </w:numPr>
        <w:rPr>
          <w:rFonts w:ascii="Arial" w:cs="Arial" w:eastAsia="Arial" w:hAnsi="Arial"/>
          <w:sz w:val="11"/>
          <w:szCs w:val="11"/>
          <w:color w:val="auto"/>
        </w:rPr>
      </w:pPr>
      <w:r>
        <w:rPr>
          <w:rFonts w:ascii="Arial" w:cs="Arial" w:eastAsia="Arial" w:hAnsi="Arial"/>
          <w:sz w:val="13"/>
          <w:szCs w:val="13"/>
          <w:color w:val="auto"/>
        </w:rPr>
        <w:t>The final number of PBRSUs which have been granted and will vest may change depending on and subject to both (i) the extent to which the established performance goals have been achieved and (ii) the corporate multiplier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152" w:name="page153"/>
    <w:bookmarkEnd w:id="152"/>
    <w:p>
      <w:pPr>
        <w:ind w:left="5400"/>
        <w:spacing w:after="0"/>
        <w:rPr>
          <w:sz w:val="20"/>
          <w:szCs w:val="20"/>
          <w:color w:val="auto"/>
        </w:rPr>
      </w:pPr>
      <w:r>
        <w:rPr>
          <w:rFonts w:ascii="Arial" w:cs="Arial" w:eastAsia="Arial" w:hAnsi="Arial"/>
          <w:sz w:val="13"/>
          <w:szCs w:val="13"/>
          <w:b w:val="1"/>
          <w:bCs w:val="1"/>
          <w:color w:val="auto"/>
        </w:rPr>
        <w:t>EXHIBIT D</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3"/>
          <w:szCs w:val="13"/>
          <w:u w:val="single" w:color="auto"/>
          <w:color w:val="auto"/>
        </w:rPr>
        <w:t>MUTUAL RELEASE AND WAIVER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MUTUAL RELEASE AND WAIVER AGREEMENT (this “Release Agreement”), dated as of [DATE], between Biogen Idec Inc. (the “Company”) and James C. Mullen (the “Executive”), dated as of [DATE].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are parties to a Transition Agreement dated [DATE] (the “Transition Agreement”);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Executive’s service to the Company pursuant to the Transition Agreement terminated as of [DATE];</w:t>
      </w:r>
    </w:p>
    <w:p>
      <w:pPr>
        <w:spacing w:after="0" w:line="86" w:lineRule="exact"/>
        <w:rPr>
          <w:sz w:val="20"/>
          <w:szCs w:val="20"/>
          <w:color w:val="auto"/>
        </w:rPr>
      </w:pPr>
    </w:p>
    <w:p>
      <w:pPr>
        <w:ind w:right="480" w:firstLine="161"/>
        <w:spacing w:after="0" w:line="276" w:lineRule="auto"/>
        <w:rPr>
          <w:sz w:val="20"/>
          <w:szCs w:val="20"/>
          <w:color w:val="auto"/>
        </w:rPr>
      </w:pPr>
      <w:r>
        <w:rPr>
          <w:rFonts w:ascii="Arial" w:cs="Arial" w:eastAsia="Arial" w:hAnsi="Arial"/>
          <w:sz w:val="13"/>
          <w:szCs w:val="13"/>
          <w:color w:val="auto"/>
        </w:rPr>
        <w:t>WHEREAS, the parties have agreed in the Transition Agreement to execute this Release Agreement and have conditioned the receipt of certain benefits under the Transition Agreement upon the Executive’s execution of this Release Agreement on the Separation Date (as defined in the Transition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promises and of the releases, representations, and obligations contained herein, the parties hereto agree as follows:</w:t>
      </w:r>
    </w:p>
    <w:p>
      <w:pPr>
        <w:spacing w:after="0" w:line="86" w:lineRule="exact"/>
        <w:rPr>
          <w:sz w:val="20"/>
          <w:szCs w:val="20"/>
          <w:color w:val="auto"/>
        </w:rPr>
      </w:pPr>
    </w:p>
    <w:p>
      <w:pPr>
        <w:ind w:left="460" w:hanging="134"/>
        <w:spacing w:after="0"/>
        <w:tabs>
          <w:tab w:leader="none" w:pos="46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Mutual Release of Claims.</w:t>
      </w:r>
    </w:p>
    <w:p>
      <w:pPr>
        <w:spacing w:after="0" w:line="86" w:lineRule="exact"/>
        <w:rPr>
          <w:sz w:val="20"/>
          <w:szCs w:val="20"/>
          <w:color w:val="auto"/>
        </w:rPr>
      </w:pPr>
    </w:p>
    <w:p>
      <w:pPr>
        <w:ind w:firstLine="491"/>
        <w:spacing w:after="0" w:line="278" w:lineRule="auto"/>
        <w:rPr>
          <w:sz w:val="20"/>
          <w:szCs w:val="20"/>
          <w:color w:val="auto"/>
        </w:rPr>
      </w:pPr>
      <w:r>
        <w:rPr>
          <w:rFonts w:ascii="Arial" w:cs="Arial" w:eastAsia="Arial" w:hAnsi="Arial"/>
          <w:sz w:val="12"/>
          <w:szCs w:val="12"/>
          <w:color w:val="auto"/>
        </w:rPr>
        <w:t xml:space="preserve">In consideration of the Company’s promises in this Release Agreement, Executive hereby knowingly and voluntarily releases and forever discharges the Company and each of its parents, subsidiaries and affiliates, together with all of their respective current and former principals, officers, directors, agents, representatives and employees, and each of their successors and assigns (collectively, the “Company Releasees”), from any and all debts, demands, actions, causes of actions, accounts, covenants, contracts, agreements, claims, damages, omissions, promises, and any and all claims and liabilities whatsoever, of every name and nature, known or unknown, suspected or unsuspected, both in law and equity (“Claims”), which Executive ever had, now has, or may hereafter claim to have against the Releasees by reason of any matter, cause or thing whatsoever arising from the beginning of time to the time Executive signs this Release Agreement (the “General Release”). This General Release of Claims shall, except as set forth below, apply to any Claim of any type, including, without limitation and by way of example only, any and all Claims of any type that Executive may have arising under the common law, under Title VII of the Civil Rights Act of 1964, the Civil Rights Act of 1991, the Americans With Disabilities Act of 1967, the Family and Medical Leave Act of 1993, the Employee Retirement Income Security Act of 1974, the Sarbanes-Oxley Act of 2002, the Massachusetts Fair Practices Act, Mass. Gen. L. ch. 151B and Mass. Gen. L. ch. 149, §§ 24A-24J, the Massachusetts Civil Rights Act, and the Massachusetts Equal Rights Law, each as amended, and any other federal, state or local statutes, regulations, ordinances or common law, or under any policy, agreement, contract, understanding or promise, written or oral, formal or informal, between any of the Releases and Executive, and shall further apply, without limitation, to any and all Claims in connection with, related to or arising out of Executive’s employment or transition period, or the termination of Executive’s employment or transition period, with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contained in this General Release shall (i) release any claim that cannot be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53" w:name="page154"/>
    <w:bookmarkEnd w:id="153"/>
    <w:p>
      <w:pPr>
        <w:spacing w:after="0" w:line="282" w:lineRule="auto"/>
        <w:rPr>
          <w:sz w:val="20"/>
          <w:szCs w:val="20"/>
          <w:color w:val="auto"/>
        </w:rPr>
      </w:pPr>
      <w:r>
        <w:rPr>
          <w:rFonts w:ascii="Arial" w:cs="Arial" w:eastAsia="Arial" w:hAnsi="Arial"/>
          <w:sz w:val="12"/>
          <w:szCs w:val="12"/>
          <w:color w:val="auto"/>
        </w:rPr>
        <w:t>waived under applicable law. (ii) release Executive’s rights to any benefits under any employee benefit plan of the Company or an affiliate, with respect to those Stock Options or Stock Awards specifically listed in the Transition Agreement, or with respect to health care continuation under COBRA, (iii) release any entitlement to indemnification which Executive may have pursuant to Section 7 of the Employment Agreement between Executive and the Company originally dated June 20, 2003 (as amended, the “Employment Agreement”), as provided in Section 13 of the Transition Agreement, or pursuant to the Company’s bylaws, any policy of insurance maintained by the Company or otherwise in accordance with law, or (iv) be construed to release the Executive’s rights under this Release Agreement or the Transition Agreement or to prohibit or restrict in any manner the Executive from bringing appropriate proceedings to enforce his rights under the Transition Agreement or this Release Agreement. Executive acknowledges that his execution of the Transition Agreement and this Release Agreement terminates any claims he previously held to any and all equity, compensation, and employee benefits, other than those specifically identified in the Transition Agreement.</w:t>
      </w:r>
    </w:p>
    <w:p>
      <w:pPr>
        <w:spacing w:after="0" w:line="49" w:lineRule="exact"/>
        <w:rPr>
          <w:sz w:val="20"/>
          <w:szCs w:val="20"/>
          <w:color w:val="auto"/>
        </w:rPr>
      </w:pPr>
    </w:p>
    <w:p>
      <w:pPr>
        <w:ind w:right="40" w:firstLine="491"/>
        <w:spacing w:after="0" w:line="280" w:lineRule="auto"/>
        <w:rPr>
          <w:sz w:val="20"/>
          <w:szCs w:val="20"/>
          <w:color w:val="auto"/>
        </w:rPr>
      </w:pPr>
      <w:r>
        <w:rPr>
          <w:rFonts w:ascii="Arial" w:cs="Arial" w:eastAsia="Arial" w:hAnsi="Arial"/>
          <w:sz w:val="12"/>
          <w:szCs w:val="12"/>
          <w:color w:val="auto"/>
        </w:rPr>
        <w:t xml:space="preserve">In consideration of the Executive’s promises in this Release Agreement, the Company, on behalf of itself and each of its parents, subsidiaries and affiliates, and each of their successors and assigns, hereby knowingly and voluntarily releases and forever discharges Executive from any and all Claims, which it ever had, now has, or may hereafter claim to have against Executive by reason of any matter, cause or thing whatsoever arising from the beginning of time to the time the Company signs this Release Agreement (the “Company Release”), including, without limitation, all Claims of any type that the Company have against Executive under any federal, state or local statutes, regulations, ordinances or common law, or under any policy, agreement, contract, understanding or promise, written or oral, formal or informal, between Executive and any Company Releasee, including, without limitation, the Employment Agreement, and any and all Claims in connection with, related to or arising out of Executive’s employment or service to, or the termination of Executive’s employment or service with,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contained in this Company Release shall (i) release Executive from the Non-Competition provisions of Section 6 of the Employment Agreement, in accordance with Section 10 of the Transition Agreement, or from Executive’s obligations under the Proprietary Information and Inventions Agreement, or (ii) be construed to prohibit the Company from bringing appropriate proceedings to enforce this Release Agreement.</w:t>
      </w:r>
    </w:p>
    <w:p>
      <w:pPr>
        <w:spacing w:after="0" w:line="49" w:lineRule="exact"/>
        <w:rPr>
          <w:sz w:val="20"/>
          <w:szCs w:val="20"/>
          <w:color w:val="auto"/>
        </w:rPr>
      </w:pPr>
    </w:p>
    <w:p>
      <w:pPr>
        <w:ind w:right="320" w:firstLine="490"/>
        <w:spacing w:after="0" w:line="264" w:lineRule="auto"/>
        <w:tabs>
          <w:tab w:leader="none" w:pos="622"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Consultation with Attorney; Voluntary Agreement.</w:t>
      </w:r>
      <w:r>
        <w:rPr>
          <w:rFonts w:ascii="Arial" w:cs="Arial" w:eastAsia="Arial" w:hAnsi="Arial"/>
          <w:sz w:val="13"/>
          <w:szCs w:val="13"/>
          <w:color w:val="auto"/>
        </w:rPr>
        <w:t xml:space="preserve"> Executive understands and agrees that Executive has the right and has been given the opportunity to review this Release Agreement with an attorney. Executive also understands and agrees that Executive is under no obligation to consent to this Release Agreement. Executive represents that he has read this Release Agreement and understand its terms and that Executive enter into this Agreement freely, voluntarily, and without coercion.</w:t>
      </w:r>
    </w:p>
    <w:p>
      <w:pPr>
        <w:spacing w:after="0" w:line="57" w:lineRule="exact"/>
        <w:rPr>
          <w:rFonts w:ascii="Arial" w:cs="Arial" w:eastAsia="Arial" w:hAnsi="Arial"/>
          <w:sz w:val="13"/>
          <w:szCs w:val="13"/>
          <w:color w:val="auto"/>
        </w:rPr>
      </w:pPr>
    </w:p>
    <w:p>
      <w:pPr>
        <w:ind w:right="400" w:firstLine="490"/>
        <w:spacing w:after="0" w:line="320" w:lineRule="auto"/>
        <w:tabs>
          <w:tab w:leader="none" w:pos="622"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Effective Date.</w:t>
      </w:r>
      <w:r>
        <w:rPr>
          <w:rFonts w:ascii="Arial" w:cs="Arial" w:eastAsia="Arial" w:hAnsi="Arial"/>
          <w:sz w:val="12"/>
          <w:szCs w:val="12"/>
          <w:color w:val="auto"/>
        </w:rPr>
        <w:t xml:space="preserve"> Executive acknowledges and represents that he has been given reasonable time to review and consider the provisions of this Release Agreement. This Release Agreement shall become effective upon Executive’s execution below (subject to the provisions of Section 8 below), which shall occur on the Separation Date (as defined in the Transition Agreement).</w:t>
      </w:r>
    </w:p>
    <w:p>
      <w:pPr>
        <w:spacing w:after="0" w:line="25" w:lineRule="exact"/>
        <w:rPr>
          <w:rFonts w:ascii="Arial" w:cs="Arial" w:eastAsia="Arial" w:hAnsi="Arial"/>
          <w:sz w:val="12"/>
          <w:szCs w:val="12"/>
          <w:color w:val="auto"/>
        </w:rPr>
      </w:pPr>
    </w:p>
    <w:p>
      <w:pPr>
        <w:ind w:right="60" w:firstLine="490"/>
        <w:spacing w:after="0" w:line="276" w:lineRule="auto"/>
        <w:tabs>
          <w:tab w:leader="none" w:pos="622"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xml:space="preserve"> In the event that any one or more of the provisions of this Release Agreement shall be held to be invalid, illegal or unenforceable, the validity, legality and enforceability of the remainder of the Release Agreement shall not in any way be affected or impaired thereby.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4" w:name="page155"/>
    <w:bookmarkEnd w:id="154"/>
    <w:p>
      <w:pPr>
        <w:ind w:right="100" w:firstLine="490"/>
        <w:spacing w:after="0" w:line="264" w:lineRule="auto"/>
        <w:tabs>
          <w:tab w:leader="none" w:pos="622"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xml:space="preserve"> This Release Agreement shall be governed by and construed and enforced in accordance with the laws of the Commonwealth of Massachusetts, without reference to its choice of law rules. The parties hereby consent to submit to the exclusive jurisdiction of the state and federal courts of the Commonwealth of Massachusetts for any actions, suits or proceedings arising out of or relating to this Release Agreement.</w:t>
      </w:r>
    </w:p>
    <w:p>
      <w:pPr>
        <w:spacing w:after="0" w:line="57" w:lineRule="exact"/>
        <w:rPr>
          <w:rFonts w:ascii="Arial" w:cs="Arial" w:eastAsia="Arial" w:hAnsi="Arial"/>
          <w:sz w:val="13"/>
          <w:szCs w:val="13"/>
          <w:color w:val="auto"/>
        </w:rPr>
      </w:pPr>
    </w:p>
    <w:p>
      <w:pPr>
        <w:ind w:left="620" w:hanging="130"/>
        <w:spacing w:after="0"/>
        <w:tabs>
          <w:tab w:leader="none" w:pos="62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xml:space="preserve"> All descriptive headings in this Release Agreement are inserted for convenience only and shall be disregarded in construing or applying any provision of this Release Agreement.</w:t>
      </w:r>
    </w:p>
    <w:p>
      <w:pPr>
        <w:spacing w:after="0" w:line="86" w:lineRule="exact"/>
        <w:rPr>
          <w:rFonts w:ascii="Arial" w:cs="Arial" w:eastAsia="Arial" w:hAnsi="Arial"/>
          <w:sz w:val="13"/>
          <w:szCs w:val="13"/>
          <w:color w:val="auto"/>
        </w:rPr>
      </w:pPr>
    </w:p>
    <w:p>
      <w:pPr>
        <w:ind w:left="620" w:hanging="130"/>
        <w:spacing w:after="0"/>
        <w:tabs>
          <w:tab w:leader="none" w:pos="62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xml:space="preserve"> This Release Agreement may be executed in counterparts, each of which shall be deemed an original but all of which together shall constitute one and the same instrument.</w:t>
      </w:r>
    </w:p>
    <w:p>
      <w:pPr>
        <w:spacing w:after="0" w:line="86" w:lineRule="exact"/>
        <w:rPr>
          <w:rFonts w:ascii="Arial" w:cs="Arial" w:eastAsia="Arial" w:hAnsi="Arial"/>
          <w:sz w:val="13"/>
          <w:szCs w:val="13"/>
          <w:color w:val="auto"/>
        </w:rPr>
      </w:pPr>
    </w:p>
    <w:p>
      <w:pPr>
        <w:ind w:firstLine="490"/>
        <w:spacing w:after="0" w:line="276" w:lineRule="auto"/>
        <w:tabs>
          <w:tab w:leader="none" w:pos="622"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Effectiveness of Release Agreement.</w:t>
      </w:r>
      <w:r>
        <w:rPr>
          <w:rFonts w:ascii="Arial" w:cs="Arial" w:eastAsia="Arial" w:hAnsi="Arial"/>
          <w:sz w:val="13"/>
          <w:szCs w:val="13"/>
          <w:color w:val="auto"/>
        </w:rPr>
        <w:t xml:space="preserve"> It is expressly agreed by the Company and the Executive that the provisions of this Release Agreement shall be null and void and of no force or effect unless the Release Agreement is executed by both the executive and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Company and Executive have executed this Release Agreement, on the date and year set forth below.</w:t>
      </w:r>
    </w:p>
    <w:p>
      <w:pPr>
        <w:sectPr>
          <w:pgSz w:w="11900" w:h="16838" w:orient="portrait"/>
          <w:cols w:equalWidth="0" w:num="1">
            <w:col w:w="11440"/>
          </w:cols>
          <w:pgMar w:left="220" w:top="720"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 TO:</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James C.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21907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907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312420</wp:posOffset>
            </wp:positionV>
            <wp:extent cx="21907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90750"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 be signed on the Separation Date]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 TO:</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Biogen Idec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21844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8440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312420</wp:posOffset>
            </wp:positionV>
            <wp:extent cx="21844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 be signed on the Separation Date]</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D-3</w:t>
      </w:r>
    </w:p>
    <w:p>
      <w:pPr>
        <w:sectPr>
          <w:pgSz w:w="11900" w:h="16838" w:orient="portrait"/>
          <w:cols w:equalWidth="0" w:num="2">
            <w:col w:w="3860" w:space="720"/>
            <w:col w:w="6860"/>
          </w:cols>
          <w:pgMar w:left="220" w:top="720" w:right="2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3"/>
          <w:szCs w:val="13"/>
          <w:b w:val="1"/>
          <w:bCs w:val="1"/>
          <w:color w:val="auto"/>
        </w:rPr>
        <w:t>Exhibit 10.52</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(Biogen Idec Logo)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April 1, 2009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Bob: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am pleased to confirm your promotion to Chief Operating Officer. This position will report to Jim Mullen, President and CEO, and will be based at our Cambridge, Massachusetts facility.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specific terms of your promotion are as follows: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Promotion Date: </w:t>
      </w:r>
      <w:r>
        <w:rPr>
          <w:rFonts w:ascii="Arial" w:cs="Arial" w:eastAsia="Arial" w:hAnsi="Arial"/>
          <w:sz w:val="13"/>
          <w:szCs w:val="13"/>
          <w:color w:val="auto"/>
        </w:rPr>
        <w:t>The effective date of your promotion is March 30, 2009.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Your biweekly salary will be $27,692.31, which is equivalent to an annual salary of $720,000.06.</w:t>
      </w:r>
    </w:p>
    <w:p>
      <w:pPr>
        <w:spacing w:after="0" w:line="86"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color w:val="auto"/>
        </w:rPr>
        <w:t xml:space="preserve">Annual Bonus Plan: </w:t>
      </w:r>
      <w:r>
        <w:rPr>
          <w:rFonts w:ascii="Arial" w:cs="Arial" w:eastAsia="Arial" w:hAnsi="Arial"/>
          <w:sz w:val="13"/>
          <w:szCs w:val="13"/>
          <w:color w:val="auto"/>
        </w:rPr>
        <w:t>Your target bonus opportunity under the Biogen Idec Annual Bonus Plan will be 75% of your annualized base salary. Please refer to the Plan documents for further details about eligibility and</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provisions.</w:t>
      </w:r>
    </w:p>
    <w:p>
      <w:pPr>
        <w:spacing w:after="0" w:line="41"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b w:val="1"/>
          <w:bCs w:val="1"/>
          <w:color w:val="auto"/>
        </w:rPr>
        <w:t xml:space="preserve">Long-Term Incentive: </w:t>
      </w:r>
      <w:r>
        <w:rPr>
          <w:rFonts w:ascii="Arial" w:cs="Arial" w:eastAsia="Arial" w:hAnsi="Arial"/>
          <w:sz w:val="13"/>
          <w:szCs w:val="13"/>
          <w:color w:val="auto"/>
        </w:rPr>
        <w:t>You will be granted Restricted Stock Units (RSUs) in connection with your promotion. The RSU grant date will be the first trading day of the month following your effective date of promotion.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approximate grant date value of your RSU grant will be $190,000. The number of RSUs to be granted to you will be calculated by dividing $190,000 by the closing price of Biogen Idec stock on the grant date, with the resulting number of shares rounded to the nearest five shares. Assuming your continued employment, these RSUs will vest and convert into shares of Biogen Idec common stock at the rate of one-third per year over three years, beginning on the first anniversary of your grant date.</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You will also be granted an option to purchase shares of the common stock of Biogen Idec at an exercise price equal to the closing price of Biogen Idec stock on the grant date. The stock option grant date will be the first trading day of the month following your effective date of promotion. The approximate grant date value of your stock options will be $190,000. The number of stock options to be granted to you will be calculated by dividing $190,000 by the result of multiplying the closing price of Biogen Idec stock on the grant date by our Black-Scholes ratio of 37.6% with the resulting number of shares rounded to the nearest five shares. The option will have a ten-year term and, assuming your continued employment, will vest equally at the rate of one-fourth per year over a four-year period, beginning on the first anniversary of your grant date.</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You will also be granted Performance-Based Restricted Stock Units (“Granted PBRSUs”). The PBRSU grant date will be the first trading day of the month following your effective date of promotion. The approximate grant date value of your Granted PBRSUs will be $190,000. The number of Granted PBRSUs will be calculated by dividing $190,000 by the closing price of Biogen Idec stock on the grant date, with the resulting number of shares rounded to the nearest five shares. These Granted PBRSUs will be fixed in number (i.e., become “Eligible PBRSUs”) based on the Company Multiplier for 2009 PBRSUs, as determined by the Compensation and Management Development Committee (CMDC) after the conclusion of the 2009 PBRSU Performance Period. Assuming your continued employment, one-third of the Eligible PBRSUs will vest and convert into shares of Biogen Idec common stock on the later of the first anniversary of your grant date or the date on which the Company’s LTI Performance Multiplier for 2009 is approved by the CMDC; the second and final one-thirds of the Eligible PBRSUs will vest on the second and third anniversaries of your grant date.</w:t>
      </w:r>
    </w:p>
    <w:p>
      <w:pPr>
        <w:spacing w:after="0" w:line="62"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The actual terms of your RSU, stock option and PBRSU grants will be communicated to you following the grant date. Your grants will be awarded under the Biogen Idec Inc. 2008 Omnibus Equity Plan. You are considered a “designated employee,” as defined in the 2008 Omnibus Equity Plan. Our 2008 Omnibus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color w:val="auto"/>
        </w:rPr>
        <w:t>Equity Plan and Prospectus are available on iNet. Please read these documents for information about your LTI grants.</w:t>
      </w:r>
    </w:p>
    <w:p>
      <w:pPr>
        <w:spacing w:after="0" w:line="82"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b w:val="1"/>
          <w:bCs w:val="1"/>
          <w:color w:val="auto"/>
        </w:rPr>
        <w:t xml:space="preserve">Stock Trading Plan: </w:t>
      </w:r>
      <w:r>
        <w:rPr>
          <w:rFonts w:ascii="Arial" w:cs="Arial" w:eastAsia="Arial" w:hAnsi="Arial"/>
          <w:sz w:val="13"/>
          <w:szCs w:val="13"/>
          <w:color w:val="auto"/>
        </w:rPr>
        <w:t>As Chief Operating Officer, you are required to enter into a 10b5-1 stock trading plan for all open market trades in Biogen Idec stock. A 10b5-1 plan allows you to buy or sell Biogen Idec</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at pre-defined times and/or prices and provides an affirmative defense against insider trading liability. More information on 10b5-1 trading plans is available on iNet.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Executive Benefits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Vacation: </w:t>
      </w:r>
      <w:r>
        <w:rPr>
          <w:rFonts w:ascii="Arial" w:cs="Arial" w:eastAsia="Arial" w:hAnsi="Arial"/>
          <w:sz w:val="13"/>
          <w:szCs w:val="13"/>
          <w:color w:val="auto"/>
        </w:rPr>
        <w:t>You are entitled to 35 vacation days per year, accrued on a per pay period basis.</w:t>
      </w:r>
    </w:p>
    <w:p>
      <w:pPr>
        <w:spacing w:after="0" w:line="86" w:lineRule="exact"/>
        <w:rPr>
          <w:sz w:val="20"/>
          <w:szCs w:val="20"/>
          <w:color w:val="auto"/>
        </w:rPr>
      </w:pPr>
    </w:p>
    <w:p>
      <w:pPr>
        <w:ind w:left="220" w:right="120"/>
        <w:spacing w:after="0" w:line="327" w:lineRule="auto"/>
        <w:rPr>
          <w:sz w:val="20"/>
          <w:szCs w:val="20"/>
          <w:color w:val="auto"/>
        </w:rPr>
      </w:pPr>
      <w:r>
        <w:rPr>
          <w:rFonts w:ascii="Arial" w:cs="Arial" w:eastAsia="Arial" w:hAnsi="Arial"/>
          <w:sz w:val="12"/>
          <w:szCs w:val="12"/>
          <w:b w:val="1"/>
          <w:bCs w:val="1"/>
          <w:color w:val="auto"/>
        </w:rPr>
        <w:t xml:space="preserve">Supplemental Savings Plan: </w:t>
      </w:r>
      <w:r>
        <w:rPr>
          <w:rFonts w:ascii="Arial" w:cs="Arial" w:eastAsia="Arial" w:hAnsi="Arial"/>
          <w:sz w:val="12"/>
          <w:szCs w:val="12"/>
          <w:color w:val="auto"/>
        </w:rPr>
        <w:t>You are entitled to participate in Biogen Idec’s Supplemental Savings Plan (SSP). This plan allows you to make pre-tax deferrals of up to 80% of your base salary and up to 100% of</w:t>
      </w:r>
      <w:r>
        <w:rPr>
          <w:rFonts w:ascii="Arial" w:cs="Arial" w:eastAsia="Arial" w:hAnsi="Arial"/>
          <w:sz w:val="12"/>
          <w:szCs w:val="12"/>
          <w:b w:val="1"/>
          <w:bCs w:val="1"/>
          <w:color w:val="auto"/>
        </w:rPr>
        <w:t xml:space="preserve"> </w:t>
      </w:r>
      <w:r>
        <w:rPr>
          <w:rFonts w:ascii="Arial" w:cs="Arial" w:eastAsia="Arial" w:hAnsi="Arial"/>
          <w:sz w:val="12"/>
          <w:szCs w:val="12"/>
          <w:color w:val="auto"/>
        </w:rPr>
        <w:t>your Annual Bonus payment and certain other eligible incentive payments. Your contributions to this plan may be limited by your contributions towards other plans (e.g., 401(k), ESPP, medical, etc.).</w:t>
      </w:r>
    </w:p>
    <w:p>
      <w:pPr>
        <w:spacing w:after="0" w:line="17" w:lineRule="exact"/>
        <w:rPr>
          <w:sz w:val="20"/>
          <w:szCs w:val="20"/>
          <w:color w:val="auto"/>
        </w:rPr>
      </w:pPr>
    </w:p>
    <w:p>
      <w:pPr>
        <w:ind w:left="220"/>
        <w:spacing w:after="0" w:line="267" w:lineRule="auto"/>
        <w:rPr>
          <w:sz w:val="20"/>
          <w:szCs w:val="20"/>
          <w:color w:val="auto"/>
        </w:rPr>
      </w:pPr>
      <w:r>
        <w:rPr>
          <w:rFonts w:ascii="Arial" w:cs="Arial" w:eastAsia="Arial" w:hAnsi="Arial"/>
          <w:sz w:val="13"/>
          <w:szCs w:val="13"/>
          <w:b w:val="1"/>
          <w:bCs w:val="1"/>
          <w:color w:val="auto"/>
        </w:rPr>
        <w:t xml:space="preserve">Life Insurance: </w:t>
      </w:r>
      <w:r>
        <w:rPr>
          <w:rFonts w:ascii="Arial" w:cs="Arial" w:eastAsia="Arial" w:hAnsi="Arial"/>
          <w:sz w:val="13"/>
          <w:szCs w:val="13"/>
          <w:color w:val="auto"/>
        </w:rPr>
        <w:t>You will be provided life insurance coverage equal to three times your annual base salary, subject to meeting the medical standards stated in the group term life insurance policy for U.S.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Biogen Idec pays the premium for this insurance. The IRS requires employers to impute the value of company-paid life insurance for coverage over $50,000. This imputed income will be displayed on your pay stub.</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Severance: </w:t>
      </w:r>
      <w:r>
        <w:rPr>
          <w:rFonts w:ascii="Arial" w:cs="Arial" w:eastAsia="Arial" w:hAnsi="Arial"/>
          <w:sz w:val="13"/>
          <w:szCs w:val="13"/>
          <w:color w:val="auto"/>
        </w:rPr>
        <w:t>Under certain circumstances, you will be entitled to receive severance benefits. Your severance benefits are explained in detail in the attached executive severance document.</w:t>
      </w:r>
    </w:p>
    <w:p>
      <w:pPr>
        <w:spacing w:after="0" w:line="86" w:lineRule="exact"/>
        <w:rPr>
          <w:sz w:val="20"/>
          <w:szCs w:val="20"/>
          <w:color w:val="auto"/>
        </w:rPr>
      </w:pPr>
    </w:p>
    <w:p>
      <w:pPr>
        <w:ind w:left="220" w:right="40"/>
        <w:spacing w:after="0" w:line="325" w:lineRule="auto"/>
        <w:rPr>
          <w:sz w:val="20"/>
          <w:szCs w:val="20"/>
          <w:color w:val="auto"/>
        </w:rPr>
      </w:pPr>
      <w:r>
        <w:rPr>
          <w:rFonts w:ascii="Arial" w:cs="Arial" w:eastAsia="Arial" w:hAnsi="Arial"/>
          <w:sz w:val="11"/>
          <w:szCs w:val="11"/>
          <w:b w:val="1"/>
          <w:bCs w:val="1"/>
          <w:color w:val="auto"/>
        </w:rPr>
        <w:t xml:space="preserve">IRC 280G Excise Taxes: </w:t>
      </w:r>
      <w:r>
        <w:rPr>
          <w:rFonts w:ascii="Arial" w:cs="Arial" w:eastAsia="Arial" w:hAnsi="Arial"/>
          <w:sz w:val="11"/>
          <w:szCs w:val="11"/>
          <w:color w:val="auto"/>
        </w:rPr>
        <w:t>In the event of a Change in Control (as defined in Section 280G of the Internal Revenue Code), compensation paid to you may trigger an excise tax (in addition to ordinary income taxes).</w:t>
      </w:r>
      <w:r>
        <w:rPr>
          <w:rFonts w:ascii="Arial" w:cs="Arial" w:eastAsia="Arial" w:hAnsi="Arial"/>
          <w:sz w:val="11"/>
          <w:szCs w:val="11"/>
          <w:b w:val="1"/>
          <w:bCs w:val="1"/>
          <w:color w:val="auto"/>
        </w:rPr>
        <w:t xml:space="preserve"> </w:t>
      </w:r>
      <w:r>
        <w:rPr>
          <w:rFonts w:ascii="Arial" w:cs="Arial" w:eastAsia="Arial" w:hAnsi="Arial"/>
          <w:sz w:val="11"/>
          <w:szCs w:val="11"/>
          <w:color w:val="auto"/>
        </w:rPr>
        <w:t>Biogen Idec will reimburse you for any excise taxes you incur under Section 280G as a result of a Change in Control. This includes gains from the exercise of stock options and vesting of RSUs and PBRSUs, as well as the reimbursement for such penalties. In addition, Biogen Idec will reimburse you for income taxes imposed on Biogen Idec’s reimbursement of the excise taxes. This reimbursement will be paid to you as soon as administratively practicable and, in any event, no later than December 31 of the year following the year in which payment of any taxes for which Biogen Idec is providing reimbursement is made.</w:t>
      </w:r>
    </w:p>
    <w:p>
      <w:pPr>
        <w:spacing w:after="0" w:line="23" w:lineRule="exact"/>
        <w:rPr>
          <w:sz w:val="20"/>
          <w:szCs w:val="20"/>
          <w:color w:val="auto"/>
        </w:rPr>
      </w:pPr>
    </w:p>
    <w:p>
      <w:pPr>
        <w:ind w:left="220" w:right="160"/>
        <w:spacing w:after="0" w:line="267" w:lineRule="auto"/>
        <w:rPr>
          <w:sz w:val="20"/>
          <w:szCs w:val="20"/>
          <w:color w:val="auto"/>
        </w:rPr>
      </w:pPr>
      <w:r>
        <w:rPr>
          <w:rFonts w:ascii="Arial" w:cs="Arial" w:eastAsia="Arial" w:hAnsi="Arial"/>
          <w:sz w:val="13"/>
          <w:szCs w:val="13"/>
          <w:b w:val="1"/>
          <w:bCs w:val="1"/>
          <w:color w:val="auto"/>
        </w:rPr>
        <w:t xml:space="preserve">Tax Preparation, Financial and Estate Planning: </w:t>
      </w:r>
      <w:r>
        <w:rPr>
          <w:rFonts w:ascii="Arial" w:cs="Arial" w:eastAsia="Arial" w:hAnsi="Arial"/>
          <w:sz w:val="13"/>
          <w:szCs w:val="13"/>
          <w:color w:val="auto"/>
        </w:rPr>
        <w:t>You are entitled to reimbursement of up to $7,500 per calendar year (January 1 — December 31) for expenses incurred due to tax preparation, financial and/or</w:t>
      </w:r>
      <w:r>
        <w:rPr>
          <w:rFonts w:ascii="Arial" w:cs="Arial" w:eastAsia="Arial" w:hAnsi="Arial"/>
          <w:sz w:val="13"/>
          <w:szCs w:val="13"/>
          <w:b w:val="1"/>
          <w:bCs w:val="1"/>
          <w:color w:val="auto"/>
        </w:rPr>
        <w:t xml:space="preserve"> </w:t>
      </w:r>
      <w:r>
        <w:rPr>
          <w:rFonts w:ascii="Arial" w:cs="Arial" w:eastAsia="Arial" w:hAnsi="Arial"/>
          <w:sz w:val="13"/>
          <w:szCs w:val="13"/>
          <w:color w:val="auto"/>
        </w:rPr>
        <w:t>estate planning services, as well as the purchase of tax preparation and/or financial planning software. Reimbursement must be made no later than the end of the calendar year following the year in which the expense is incurred, and must be requested within the deadlines and processes established in the policy.</w:t>
      </w:r>
    </w:p>
    <w:p>
      <w:pPr>
        <w:spacing w:after="0" w:line="52" w:lineRule="exact"/>
        <w:rPr>
          <w:sz w:val="20"/>
          <w:szCs w:val="20"/>
          <w:color w:val="auto"/>
        </w:rPr>
      </w:pPr>
    </w:p>
    <w:p>
      <w:pPr>
        <w:ind w:left="220" w:right="560"/>
        <w:spacing w:after="0" w:line="283" w:lineRule="auto"/>
        <w:rPr>
          <w:sz w:val="20"/>
          <w:szCs w:val="20"/>
          <w:color w:val="auto"/>
        </w:rPr>
      </w:pPr>
      <w:r>
        <w:rPr>
          <w:rFonts w:ascii="Arial" w:cs="Arial" w:eastAsia="Arial" w:hAnsi="Arial"/>
          <w:sz w:val="13"/>
          <w:szCs w:val="13"/>
          <w:b w:val="1"/>
          <w:bCs w:val="1"/>
          <w:color w:val="auto"/>
        </w:rPr>
        <w:t xml:space="preserve">Air Travel Upgrade: </w:t>
      </w:r>
      <w:r>
        <w:rPr>
          <w:rFonts w:ascii="Arial" w:cs="Arial" w:eastAsia="Arial" w:hAnsi="Arial"/>
          <w:sz w:val="13"/>
          <w:szCs w:val="13"/>
          <w:color w:val="auto"/>
        </w:rPr>
        <w:t>You are entitled to fly first class on all U.S. transcontinental flights (e.g., Boston to San Diego). Overseas flights and other domestic flights are subject to the same policy as all other</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w:t>
      </w:r>
    </w:p>
    <w:p>
      <w:pPr>
        <w:spacing w:after="0" w:line="119"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b w:val="1"/>
          <w:bCs w:val="1"/>
          <w:color w:val="auto"/>
        </w:rPr>
        <w:t>Your employment at Biogen Idec continues to be employment at-will. This means that just as you are free to leave your employment at any time, with or without cause or notice, Biogen ldec also has the same right to terminate your employment at any time, with or without cause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7" w:name="page158"/>
    <w:bookmarkEnd w:id="157"/>
    <w:p>
      <w:pPr>
        <w:ind w:left="1"/>
        <w:spacing w:after="0"/>
        <w:rPr>
          <w:sz w:val="20"/>
          <w:szCs w:val="20"/>
          <w:color w:val="auto"/>
        </w:rPr>
      </w:pPr>
      <w:r>
        <w:rPr>
          <w:rFonts w:ascii="Arial" w:cs="Arial" w:eastAsia="Arial" w:hAnsi="Arial"/>
          <w:sz w:val="12"/>
          <w:szCs w:val="12"/>
          <w:color w:val="auto"/>
        </w:rPr>
        <w:t>I am confident you will continue to contribute to Biogen Idec’s success and wish you the best of luck in your new position.</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/s/ Craig Eric Schneier</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Craig Eric Schneier, Ph.D.,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EVP, Human Resources, Public Affairs &amp; Corporate Communications</w:t>
      </w:r>
    </w:p>
    <w:p>
      <w:pPr>
        <w:spacing w:after="0" w:line="158" w:lineRule="exact"/>
        <w:rPr>
          <w:sz w:val="20"/>
          <w:szCs w:val="20"/>
          <w:color w:val="auto"/>
        </w:rPr>
      </w:pPr>
    </w:p>
    <w:p>
      <w:pPr>
        <w:ind w:left="461" w:hanging="461"/>
        <w:spacing w:after="0"/>
        <w:tabs>
          <w:tab w:leader="none" w:pos="461" w:val="left"/>
        </w:tabs>
        <w:numPr>
          <w:ilvl w:val="0"/>
          <w:numId w:val="79"/>
        </w:numPr>
        <w:rPr>
          <w:rFonts w:ascii="Arial" w:cs="Arial" w:eastAsia="Arial" w:hAnsi="Arial"/>
          <w:sz w:val="13"/>
          <w:szCs w:val="13"/>
          <w:color w:val="auto"/>
        </w:rPr>
      </w:pPr>
      <w:r>
        <w:rPr>
          <w:rFonts w:ascii="Arial" w:cs="Arial" w:eastAsia="Arial" w:hAnsi="Arial"/>
          <w:sz w:val="13"/>
          <w:szCs w:val="13"/>
          <w:color w:val="auto"/>
        </w:rPr>
        <w:t>Jim Mullen</w:t>
      </w:r>
    </w:p>
    <w:p>
      <w:pPr>
        <w:sectPr>
          <w:pgSz w:w="11900" w:h="16838" w:orient="portrait"/>
          <w:cols w:equalWidth="0" w:num="1">
            <w:col w:w="10241"/>
          </w:cols>
          <w:pgMar w:left="219" w:top="721"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3"/>
          <w:szCs w:val="13"/>
          <w:b w:val="1"/>
          <w:bCs w:val="1"/>
          <w:color w:val="auto"/>
        </w:rPr>
        <w:t>Exhibit 10.58</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(Biogen Idec Logo)</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December 13, 2005</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Susan:</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This is an Offer of Employment. I invite you to join our company as Executive Vice President and General Counsel, at a biweekly wage of $16,153.85 (which is equivalent to an annual wage of $420,000). This position will report directly to Jim Mullen, Chief Executive Officer and be located in Cambridge, Massachusetts. Consistent with Biogen Idec’s compensation policy, you will be eligible for a merit salary review and equity grants early in 2007. You will participate in Biogen Idec’s lncentive Plan, targeted at 50% of your eligible base annual salary. Your participation in the lncentive Plan will commence on January 1, 2006. Additionally. you will participate (on a prorated basis) in our February 2006 Long Term lncentive grant.</w:t>
      </w:r>
    </w:p>
    <w:p>
      <w:pPr>
        <w:spacing w:after="0" w:line="60" w:lineRule="exact"/>
        <w:rPr>
          <w:sz w:val="20"/>
          <w:szCs w:val="20"/>
          <w:color w:val="auto"/>
        </w:rPr>
      </w:pPr>
    </w:p>
    <w:p>
      <w:pPr>
        <w:ind w:right="400"/>
        <w:spacing w:after="0" w:line="264" w:lineRule="auto"/>
        <w:rPr>
          <w:sz w:val="20"/>
          <w:szCs w:val="20"/>
          <w:color w:val="auto"/>
        </w:rPr>
      </w:pPr>
      <w:r>
        <w:rPr>
          <w:rFonts w:ascii="Arial" w:cs="Arial" w:eastAsia="Arial" w:hAnsi="Arial"/>
          <w:sz w:val="13"/>
          <w:szCs w:val="13"/>
          <w:color w:val="auto"/>
        </w:rPr>
        <w:t>Upon employment, you will be granted an option to purchase up to 40,000 shares of the common stock of Biogen ldec Inc., at an exercise price per share equal to the closing sales price as reported on the Nasdaq National Market on the effective date of your employment. The option will have a ten-year term and vest over a four-year period, at the rate of 25% per year, starting on the anniversary of your effective date of employment. The actual terms of the stock option will be communicated to you in a separate stock option agreement or notice of grant.</w:t>
      </w:r>
    </w:p>
    <w:p>
      <w:pPr>
        <w:spacing w:after="0" w:line="57" w:lineRule="exact"/>
        <w:rPr>
          <w:sz w:val="20"/>
          <w:szCs w:val="20"/>
          <w:color w:val="auto"/>
        </w:rPr>
      </w:pPr>
    </w:p>
    <w:p>
      <w:pPr>
        <w:ind w:right="40"/>
        <w:spacing w:after="0" w:line="320" w:lineRule="auto"/>
        <w:rPr>
          <w:sz w:val="20"/>
          <w:szCs w:val="20"/>
          <w:color w:val="auto"/>
        </w:rPr>
      </w:pPr>
      <w:r>
        <w:rPr>
          <w:rFonts w:ascii="Arial" w:cs="Arial" w:eastAsia="Arial" w:hAnsi="Arial"/>
          <w:sz w:val="12"/>
          <w:szCs w:val="12"/>
          <w:color w:val="auto"/>
        </w:rPr>
        <w:t>Upon employment, you will be granted 10,000 restricted stock units, which will convert to shares of common stock of Biogen ldec Inc. Management will recommend that one third of these restricted stock units convert to shares of common stock on each of the first, second, and third anniversary of your initial date of employment. The actual terms of the restricted stock units will be communicated to you in a separate notice of grant.</w:t>
      </w:r>
    </w:p>
    <w:p>
      <w:pPr>
        <w:spacing w:after="0" w:line="25"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You will be able to choose from a menu of benefit options through our flexible benefits program. These benefits include group health care, life, dependent life, 407(k) savings plan, and disability insurance, as well as two flexible spending accounts for eligible medical or dependent care expenses. You are also entitled to 20 vacation days per year, accrued on a monthly pro-rated basis. Please visit Biogen Idec’s benefits website (</w:t>
      </w:r>
      <w:r>
        <w:rPr>
          <w:rFonts w:ascii="Arial" w:cs="Arial" w:eastAsia="Arial" w:hAnsi="Arial"/>
          <w:sz w:val="13"/>
          <w:szCs w:val="13"/>
          <w:u w:val="single" w:color="auto"/>
          <w:color w:val="auto"/>
        </w:rPr>
        <w:t>www.mybenerqy.com</w:t>
      </w:r>
      <w:r>
        <w:rPr>
          <w:rFonts w:ascii="Arial" w:cs="Arial" w:eastAsia="Arial" w:hAnsi="Arial"/>
          <w:sz w:val="13"/>
          <w:szCs w:val="13"/>
          <w:color w:val="auto"/>
        </w:rPr>
        <w:t>) to familiarize yourself with all Biogen Idec’s benefits and HR guidelines.</w:t>
      </w:r>
    </w:p>
    <w:p>
      <w:pPr>
        <w:spacing w:after="0" w:line="53"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b w:val="1"/>
          <w:bCs w:val="1"/>
          <w:color w:val="auto"/>
        </w:rPr>
        <w:t xml:space="preserve">Equity-based Awards: </w:t>
      </w:r>
      <w:r>
        <w:rPr>
          <w:rFonts w:ascii="Arial" w:cs="Arial" w:eastAsia="Arial" w:hAnsi="Arial"/>
          <w:sz w:val="13"/>
          <w:szCs w:val="13"/>
          <w:color w:val="auto"/>
        </w:rPr>
        <w:t>You are a “designated employee” for purposes of Biogen Idec’s 2005 Omnibus Equity Plan. Please read the Plan for more details about the rights of a designated employee in the event of a</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corporate transaction or change in control, including any applicable limitations.</w:t>
      </w:r>
    </w:p>
    <w:p>
      <w:pPr>
        <w:spacing w:after="0" w:line="45"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You are encouraged to enter into a 10b5-1 trading plan, if you plan to buy or sell Biogen ldec securities or exercise options. These types of plans, when executed according to applicable provisions, enable you to sell Biogen ldec securities on pre-specified conditions (e.g., when the price of a share of Biogen ldec common stock reaches a certain amount) and, therefore, allow you to sell outside quarterly “trading windows”, whether or not you then possess material, nonpublic information. (Please note that Smith Barney, our stock plan administrator, charges fees for sales of Biogen ldec securities pursuant to a 10b5-1 trading plan the same as for ordinary sales, $0.06/share.)</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Supplemental Savings Plan: </w:t>
      </w:r>
      <w:r>
        <w:rPr>
          <w:rFonts w:ascii="Arial" w:cs="Arial" w:eastAsia="Arial" w:hAnsi="Arial"/>
          <w:sz w:val="13"/>
          <w:szCs w:val="13"/>
          <w:color w:val="auto"/>
        </w:rPr>
        <w:t>You are entitled to participate in Biogen Idec’s Supplemental Savings Plan (SSP). This plan allows you to defer receipt, on a pretax basis, up to 80%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color w:val="auto"/>
        </w:rPr>
        <w:t>December 13, 2005</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Susan Alexander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your base salary and up to 100% of your cash bonuses. Your contributions to this plan may be limited by your contributions towards other plans (e.g., 401k, ESPP, medical, etc.).</w:t>
      </w:r>
    </w:p>
    <w:p>
      <w:pPr>
        <w:spacing w:after="0" w:line="82" w:lineRule="exact"/>
        <w:rPr>
          <w:sz w:val="20"/>
          <w:szCs w:val="20"/>
          <w:color w:val="auto"/>
        </w:rPr>
      </w:pPr>
    </w:p>
    <w:p>
      <w:pPr>
        <w:jc w:val="both"/>
        <w:ind w:right="20"/>
        <w:spacing w:after="0" w:line="267" w:lineRule="auto"/>
        <w:rPr>
          <w:sz w:val="20"/>
          <w:szCs w:val="20"/>
          <w:color w:val="auto"/>
        </w:rPr>
      </w:pPr>
      <w:r>
        <w:rPr>
          <w:rFonts w:ascii="Arial" w:cs="Arial" w:eastAsia="Arial" w:hAnsi="Arial"/>
          <w:sz w:val="13"/>
          <w:szCs w:val="13"/>
          <w:b w:val="1"/>
          <w:bCs w:val="1"/>
          <w:color w:val="auto"/>
        </w:rPr>
        <w:t xml:space="preserve">Life Insurance: </w:t>
      </w:r>
      <w:r>
        <w:rPr>
          <w:rFonts w:ascii="Arial" w:cs="Arial" w:eastAsia="Arial" w:hAnsi="Arial"/>
          <w:sz w:val="13"/>
          <w:szCs w:val="13"/>
          <w:color w:val="auto"/>
        </w:rPr>
        <w:t>Biogen ldec will provide you with life insurance coverage equal to three times your base salary (maximum coverage up to $1 million), subject to your successfully meeting the medical standards stated</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executive group term life insurance policy for US employees. Biogen ldec will pay the premiums for this insurance. As required by law, income will be imputed for insurance over IRS limitations annually for this coverage.</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auto"/>
        </w:rPr>
        <w:t xml:space="preserve">Severance: </w:t>
      </w:r>
      <w:r>
        <w:rPr>
          <w:rFonts w:ascii="Arial" w:cs="Arial" w:eastAsia="Arial" w:hAnsi="Arial"/>
          <w:sz w:val="13"/>
          <w:szCs w:val="13"/>
          <w:color w:val="auto"/>
        </w:rPr>
        <w:t>You will receive a severance benefit of at least 12 months compensation ( as per the attached Executive Severance document; all other conditions of the document remain applicable). Coverage under Biogen</w:t>
      </w:r>
      <w:r>
        <w:rPr>
          <w:rFonts w:ascii="Arial" w:cs="Arial" w:eastAsia="Arial" w:hAnsi="Arial"/>
          <w:sz w:val="13"/>
          <w:szCs w:val="13"/>
          <w:b w:val="1"/>
          <w:bCs w:val="1"/>
          <w:color w:val="auto"/>
        </w:rPr>
        <w:t xml:space="preserve"> </w:t>
      </w:r>
      <w:r>
        <w:rPr>
          <w:rFonts w:ascii="Arial" w:cs="Arial" w:eastAsia="Arial" w:hAnsi="Arial"/>
          <w:sz w:val="13"/>
          <w:szCs w:val="13"/>
          <w:color w:val="auto"/>
        </w:rPr>
        <w:t>Idec’s group medical and dental insurance plans will be provided in the event your employment is terminated by Biogen ldec for reasons other than cause (as defined in the attached severance document). Your severance benefits are also explained in greater detail in the attached severance document.</w:t>
      </w:r>
    </w:p>
    <w:p>
      <w:pPr>
        <w:spacing w:after="0" w:line="52" w:lineRule="exact"/>
        <w:rPr>
          <w:sz w:val="20"/>
          <w:szCs w:val="20"/>
          <w:color w:val="auto"/>
        </w:rPr>
      </w:pPr>
    </w:p>
    <w:p>
      <w:pPr>
        <w:spacing w:after="0" w:line="300" w:lineRule="auto"/>
        <w:rPr>
          <w:sz w:val="20"/>
          <w:szCs w:val="20"/>
          <w:color w:val="auto"/>
        </w:rPr>
      </w:pPr>
      <w:r>
        <w:rPr>
          <w:rFonts w:ascii="Arial" w:cs="Arial" w:eastAsia="Arial" w:hAnsi="Arial"/>
          <w:sz w:val="12"/>
          <w:szCs w:val="12"/>
          <w:b w:val="1"/>
          <w:bCs w:val="1"/>
          <w:color w:val="auto"/>
        </w:rPr>
        <w:t xml:space="preserve">IRC 280g Excise Taxes: </w:t>
      </w:r>
      <w:r>
        <w:rPr>
          <w:rFonts w:ascii="Arial" w:cs="Arial" w:eastAsia="Arial" w:hAnsi="Arial"/>
          <w:sz w:val="12"/>
          <w:szCs w:val="12"/>
          <w:color w:val="auto"/>
        </w:rPr>
        <w:t>In the event of a change in control (as defined in Section 280g of the Internal Revenue Code), compensation paid to you may trigger an excise tax, in addition to ordinary income taxes on that</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depending on that amount of the compensation. Biogen ldec will reimburse you for excise tax penalties incurred by you pursuant to IRC Section 280g on compensation paid by Biogen ldec as a result of a change in control, including gains from the exercise of stock options and vesting of restricted shares, as well as the reimbursement for such penalties.</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auto"/>
        </w:rPr>
        <w:t xml:space="preserve">Tax preparation and/or financial planning: </w:t>
      </w:r>
      <w:r>
        <w:rPr>
          <w:rFonts w:ascii="Arial" w:cs="Arial" w:eastAsia="Arial" w:hAnsi="Arial"/>
          <w:sz w:val="13"/>
          <w:szCs w:val="13"/>
          <w:color w:val="auto"/>
        </w:rPr>
        <w:t>Biogen ldec will provide you with an allowance of up to $7,500 (beginning in calendar year 2006, and each year thereafter) for use in the preparation of your Federal and/or</w:t>
      </w:r>
      <w:r>
        <w:rPr>
          <w:rFonts w:ascii="Arial" w:cs="Arial" w:eastAsia="Arial" w:hAnsi="Arial"/>
          <w:sz w:val="13"/>
          <w:szCs w:val="13"/>
          <w:b w:val="1"/>
          <w:bCs w:val="1"/>
          <w:color w:val="auto"/>
        </w:rPr>
        <w:t xml:space="preserve"> </w:t>
      </w:r>
      <w:r>
        <w:rPr>
          <w:rFonts w:ascii="Arial" w:cs="Arial" w:eastAsia="Arial" w:hAnsi="Arial"/>
          <w:sz w:val="13"/>
          <w:szCs w:val="13"/>
          <w:color w:val="auto"/>
        </w:rPr>
        <w:t>state income taxes, for tax or financial planning, for estate planning (including preparation of personal wills), and/or for the purchase of tax preparation software. Invoices received from recognized professionals will be reimbursed.</w:t>
      </w:r>
    </w:p>
    <w:p>
      <w:pPr>
        <w:spacing w:after="0" w:line="56"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Employment with Biogen ldec is contingent on the satisfactory completion of a drug test. Please see the attached documents for full information about our post-employment offer drug-testing program. You may also be required to complete a medical history review with our Occupational Health Department. It will be scheduled after your first day of employment.</w:t>
      </w:r>
    </w:p>
    <w:p>
      <w:pPr>
        <w:spacing w:after="0" w:line="49" w:lineRule="exact"/>
        <w:rPr>
          <w:sz w:val="20"/>
          <w:szCs w:val="20"/>
          <w:color w:val="auto"/>
        </w:rPr>
      </w:pPr>
    </w:p>
    <w:p>
      <w:pPr>
        <w:ind w:right="340"/>
        <w:spacing w:after="0" w:line="260" w:lineRule="auto"/>
        <w:rPr>
          <w:sz w:val="20"/>
          <w:szCs w:val="20"/>
          <w:color w:val="auto"/>
        </w:rPr>
      </w:pPr>
      <w:r>
        <w:rPr>
          <w:rFonts w:ascii="Arial" w:cs="Arial" w:eastAsia="Arial" w:hAnsi="Arial"/>
          <w:sz w:val="13"/>
          <w:szCs w:val="13"/>
          <w:color w:val="auto"/>
        </w:rPr>
        <w:t>Biogen ldec requires that all new employees be subject to a background check. This verification includes confirmation of employment history, educational and professional licensing credentials, a criminal records check, and Social Security number search, as well as any additional procedures that your job responsibilities at Biogen ldec may warrant. When you complete your online Application for Employment, you will be authorizing Biogen ldec to conduct this background check. If you have questions about the background check, please speak to your Biogen ldec Recruiter for details. Additionally, Biogen ldec requires all new employees to sign a Proprietary Information and Inventions Agreement on the first day of employment.</w:t>
      </w:r>
    </w:p>
    <w:p>
      <w:pPr>
        <w:spacing w:after="0" w:line="60"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In order to protect the Company’s substantial investment of time and money in the creation and maintaining of its Confidential lnformation and good-will with its customers, vendors and other business partners, as a condition of employment you will be required to sign the Company’s Employee Proprietary lnformation and lnventions and Dispute Resolution Agreement on your first day of employment. A copy of the agreement is attached to this letter. Also, as we have explained to you, just as Biogen ldec regards the protection of our trade secrets, and other confidential information as a matter of great importance, we also respect that you may have an obligation to your present and/or prior employers to safeguard the confidential information of those companies. Biogen ldec respects these obligations, and expects you to honor them as well. To that end, we expect that you will not take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ind w:left="1"/>
        <w:spacing w:after="0"/>
        <w:rPr>
          <w:sz w:val="20"/>
          <w:szCs w:val="20"/>
          <w:color w:val="auto"/>
        </w:rPr>
      </w:pPr>
      <w:r>
        <w:rPr>
          <w:rFonts w:ascii="Arial" w:cs="Arial" w:eastAsia="Arial" w:hAnsi="Arial"/>
          <w:sz w:val="13"/>
          <w:szCs w:val="13"/>
          <w:color w:val="auto"/>
        </w:rPr>
        <w:t>December 13, 2005</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Susan Alexander</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documents or other confidential information from your employer if and when you depart.</w:t>
      </w:r>
    </w:p>
    <w:p>
      <w:pPr>
        <w:spacing w:after="0" w:line="86"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Further, we want to make perfectly clear you should not bring with you to Biogen Idec, or use in the performance of your responsibilities for our Company, any proprietary business or technical information, materials or documents of a former employee.</w:t>
      </w:r>
    </w:p>
    <w:p>
      <w:pPr>
        <w:spacing w:after="0" w:line="49" w:lineRule="exact"/>
        <w:rPr>
          <w:sz w:val="20"/>
          <w:szCs w:val="20"/>
          <w:color w:val="auto"/>
        </w:rPr>
      </w:pPr>
    </w:p>
    <w:p>
      <w:pPr>
        <w:ind w:left="1" w:right="100"/>
        <w:spacing w:after="0" w:line="276" w:lineRule="auto"/>
        <w:rPr>
          <w:sz w:val="20"/>
          <w:szCs w:val="20"/>
          <w:color w:val="auto"/>
        </w:rPr>
      </w:pPr>
      <w:r>
        <w:rPr>
          <w:rFonts w:ascii="Arial" w:cs="Arial" w:eastAsia="Arial" w:hAnsi="Arial"/>
          <w:sz w:val="13"/>
          <w:szCs w:val="13"/>
          <w:color w:val="auto"/>
        </w:rPr>
        <w:t>The Federal Government requires you to provide proper identification verifying your eligibility to work in the United States. Please bring the appropriate identification, including your Social Security card (for number verification purposes), with you on your first day of employment.</w:t>
      </w:r>
    </w:p>
    <w:p>
      <w:pPr>
        <w:spacing w:after="0" w:line="49" w:lineRule="exact"/>
        <w:rPr>
          <w:sz w:val="20"/>
          <w:szCs w:val="20"/>
          <w:color w:val="auto"/>
        </w:rPr>
      </w:pPr>
    </w:p>
    <w:p>
      <w:pPr>
        <w:ind w:left="1" w:right="220"/>
        <w:spacing w:after="0" w:line="276" w:lineRule="auto"/>
        <w:rPr>
          <w:sz w:val="20"/>
          <w:szCs w:val="20"/>
          <w:color w:val="auto"/>
        </w:rPr>
      </w:pPr>
      <w:r>
        <w:rPr>
          <w:rFonts w:ascii="Arial" w:cs="Arial" w:eastAsia="Arial" w:hAnsi="Arial"/>
          <w:sz w:val="13"/>
          <w:szCs w:val="13"/>
          <w:color w:val="auto"/>
        </w:rPr>
        <w:t>Please confirm your acceptance of this Offer of Employment by signing this letter. Please also sign the enclosed drug screen authorization form and return both signed documents to Biogen Idec in the enclosed self-addressed, stamped envelope. The other copy of this letter is for your records.</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On behalf of Jim Mullen, we are very excited about the prospect of you joining Biogen Idec. Your first date of employment will be set by mutual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Best regards,</w:t>
      </w:r>
    </w:p>
    <w:p>
      <w:pPr>
        <w:spacing w:after="0" w:line="322" w:lineRule="exact"/>
        <w:rPr>
          <w:sz w:val="20"/>
          <w:szCs w:val="20"/>
          <w:color w:val="auto"/>
        </w:rPr>
      </w:pPr>
    </w:p>
    <w:p>
      <w:pPr>
        <w:ind w:left="1"/>
        <w:spacing w:after="0"/>
        <w:rPr>
          <w:sz w:val="20"/>
          <w:szCs w:val="20"/>
          <w:color w:val="auto"/>
        </w:rPr>
      </w:pPr>
      <w:r>
        <w:rPr>
          <w:rFonts w:ascii="Arial" w:cs="Arial" w:eastAsia="Arial" w:hAnsi="Arial"/>
          <w:sz w:val="13"/>
          <w:szCs w:val="13"/>
          <w:color w:val="auto"/>
        </w:rPr>
        <w:t>/s/ Craig Schneier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2763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27630" cy="635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Craig Schneier, PhD.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Executive Vice President, Human Resources</w:t>
      </w:r>
    </w:p>
    <w:p>
      <w:pPr>
        <w:spacing w:after="0" w:line="236" w:lineRule="exact"/>
        <w:rPr>
          <w:sz w:val="20"/>
          <w:szCs w:val="20"/>
          <w:color w:val="auto"/>
        </w:rPr>
      </w:pPr>
    </w:p>
    <w:p>
      <w:pPr>
        <w:jc w:val="both"/>
        <w:ind w:left="261" w:right="10560" w:hanging="261"/>
        <w:spacing w:after="0" w:line="320" w:lineRule="auto"/>
        <w:tabs>
          <w:tab w:leader="none" w:pos="261" w:val="left"/>
        </w:tabs>
        <w:numPr>
          <w:ilvl w:val="0"/>
          <w:numId w:val="80"/>
        </w:numPr>
        <w:rPr>
          <w:rFonts w:ascii="Arial" w:cs="Arial" w:eastAsia="Arial" w:hAnsi="Arial"/>
          <w:sz w:val="12"/>
          <w:szCs w:val="12"/>
          <w:color w:val="auto"/>
        </w:rPr>
      </w:pPr>
      <w:r>
        <w:rPr>
          <w:rFonts w:ascii="Arial" w:cs="Arial" w:eastAsia="Arial" w:hAnsi="Arial"/>
          <w:sz w:val="12"/>
          <w:szCs w:val="12"/>
          <w:color w:val="auto"/>
        </w:rPr>
        <w:t>Jim Mullen Rick Fisher</w:t>
      </w:r>
    </w:p>
    <w:p>
      <w:pPr>
        <w:spacing w:after="0" w:line="25" w:lineRule="exact"/>
        <w:rPr>
          <w:sz w:val="20"/>
          <w:szCs w:val="20"/>
          <w:color w:val="auto"/>
        </w:rPr>
      </w:pPr>
    </w:p>
    <w:p>
      <w:pPr>
        <w:ind w:left="1" w:right="360"/>
        <w:spacing w:after="0" w:line="276" w:lineRule="auto"/>
        <w:rPr>
          <w:sz w:val="20"/>
          <w:szCs w:val="20"/>
          <w:color w:val="auto"/>
        </w:rPr>
      </w:pPr>
      <w:r>
        <w:rPr>
          <w:rFonts w:ascii="Arial" w:cs="Arial" w:eastAsia="Arial" w:hAnsi="Arial"/>
          <w:sz w:val="13"/>
          <w:szCs w:val="13"/>
          <w:color w:val="auto"/>
        </w:rPr>
        <w:t>Biogen ldec is an at-will employer. This means that just as you may resign your employment at any time for any reason, Biogen ldec may terminate your employment at any time, with or without cause, in its sole discretion.</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am pleased to accept the offer of employment and acknowledge the contingencies of employment described above.</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5060" w:type="dxa"/>
            <w:vAlign w:val="bottom"/>
          </w:tcPr>
          <w:p>
            <w:pPr>
              <w:spacing w:after="0"/>
              <w:rPr>
                <w:sz w:val="20"/>
                <w:szCs w:val="20"/>
                <w:color w:val="auto"/>
              </w:rPr>
            </w:pPr>
            <w:r>
              <w:rPr>
                <w:rFonts w:ascii="Arial" w:cs="Arial" w:eastAsia="Arial" w:hAnsi="Arial"/>
                <w:sz w:val="13"/>
                <w:szCs w:val="13"/>
                <w:b w:val="1"/>
                <w:bCs w:val="1"/>
                <w:color w:val="auto"/>
              </w:rPr>
              <w:t>ACCEPTED:</w:t>
            </w:r>
          </w:p>
        </w:tc>
        <w:tc>
          <w:tcPr>
            <w:tcW w:w="1960" w:type="dxa"/>
            <w:vAlign w:val="bottom"/>
          </w:tcPr>
          <w:p>
            <w:pPr>
              <w:spacing w:after="0"/>
              <w:rPr>
                <w:sz w:val="14"/>
                <w:szCs w:val="14"/>
                <w:color w:val="auto"/>
              </w:rPr>
            </w:pPr>
          </w:p>
        </w:tc>
      </w:tr>
      <w:tr>
        <w:trPr>
          <w:trHeight w:val="315"/>
        </w:trPr>
        <w:tc>
          <w:tcPr>
            <w:tcW w:w="5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Susan Alexander</w:t>
            </w:r>
          </w:p>
        </w:tc>
        <w:tc>
          <w:tcPr>
            <w:tcW w:w="1960" w:type="dxa"/>
            <w:vAlign w:val="bottom"/>
          </w:tcPr>
          <w:p>
            <w:pPr>
              <w:ind w:left="1360"/>
              <w:spacing w:after="0"/>
              <w:rPr>
                <w:sz w:val="20"/>
                <w:szCs w:val="20"/>
                <w:color w:val="auto"/>
              </w:rPr>
            </w:pPr>
            <w:r>
              <w:rPr>
                <w:rFonts w:ascii="Arial" w:cs="Arial" w:eastAsia="Arial" w:hAnsi="Arial"/>
                <w:sz w:val="13"/>
                <w:szCs w:val="13"/>
                <w:color w:val="auto"/>
              </w:rPr>
              <w:t>1/30/06</w:t>
            </w:r>
          </w:p>
        </w:tc>
      </w:tr>
      <w:tr>
        <w:trPr>
          <w:trHeight w:val="156"/>
        </w:trPr>
        <w:tc>
          <w:tcPr>
            <w:tcW w:w="5060" w:type="dxa"/>
            <w:vAlign w:val="bottom"/>
          </w:tcPr>
          <w:p>
            <w:pPr>
              <w:spacing w:after="0"/>
              <w:rPr>
                <w:sz w:val="20"/>
                <w:szCs w:val="20"/>
                <w:color w:val="auto"/>
              </w:rPr>
            </w:pPr>
            <w:r>
              <w:rPr>
                <w:rFonts w:ascii="Arial" w:cs="Arial" w:eastAsia="Arial" w:hAnsi="Arial"/>
                <w:sz w:val="13"/>
                <w:szCs w:val="13"/>
                <w:color w:val="auto"/>
              </w:rPr>
              <w:t>Susan Alexander</w:t>
            </w:r>
          </w:p>
        </w:tc>
        <w:tc>
          <w:tcPr>
            <w:tcW w:w="1960" w:type="dxa"/>
            <w:vAlign w:val="bottom"/>
          </w:tcPr>
          <w:p>
            <w:pPr>
              <w:ind w:left="1360"/>
              <w:spacing w:after="0" w:line="145" w:lineRule="exact"/>
              <w:rPr>
                <w:sz w:val="20"/>
                <w:szCs w:val="20"/>
                <w:color w:val="auto"/>
              </w:rPr>
            </w:pPr>
            <w:r>
              <w:rPr>
                <w:rFonts w:ascii="Arial" w:cs="Arial" w:eastAsia="Arial" w:hAnsi="Arial"/>
                <w:sz w:val="13"/>
                <w:szCs w:val="13"/>
                <w:color w:val="auto"/>
                <w:w w:val="91"/>
              </w:rPr>
              <w:t>Start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31064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9" w:lineRule="exact"/>
        <w:rPr>
          <w:sz w:val="20"/>
          <w:szCs w:val="20"/>
          <w:color w:val="auto"/>
        </w:rPr>
      </w:pPr>
    </w:p>
    <w:p>
      <w:pPr>
        <w:ind w:left="461" w:hanging="461"/>
        <w:spacing w:after="0" w:line="264" w:lineRule="auto"/>
        <w:tabs>
          <w:tab w:leader="none" w:pos="461"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Your effective date of employment is subject to Biogen ldec HR’s receipt of negative results (i.e., no drugs found) from your drug test. If you have not received negative test result confirmation from Human Resources, please contact your Biogen ldec recruiter to confirm results prior to starting. Your effective date of employment must be a Monday. Please notify Human Resources as soon as possible of the Monday you can begin your employment, and indicate this date on the signed offer letter you return.</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ATTENTION: </w:t>
      </w:r>
      <w:r>
        <w:rPr>
          <w:rFonts w:ascii="Arial" w:cs="Arial" w:eastAsia="Arial" w:hAnsi="Arial"/>
          <w:sz w:val="13"/>
          <w:szCs w:val="13"/>
          <w:color w:val="auto"/>
        </w:rPr>
        <w:t>Please see the attached Important Information for New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3"/>
          <w:szCs w:val="13"/>
          <w:b w:val="1"/>
          <w:bCs w:val="1"/>
          <w:color w:val="auto"/>
        </w:rPr>
        <w:t xml:space="preserve">Executive Severance </w:t>
      </w:r>
      <w:r>
        <w:rPr>
          <w:rFonts w:ascii="Arial" w:cs="Arial" w:eastAsia="Arial" w:hAnsi="Arial"/>
          <w:sz w:val="13"/>
          <w:szCs w:val="13"/>
          <w:color w:val="auto"/>
        </w:rPr>
        <w:t>-</w:t>
      </w:r>
      <w:r>
        <w:rPr>
          <w:rFonts w:ascii="Arial" w:cs="Arial" w:eastAsia="Arial" w:hAnsi="Arial"/>
          <w:sz w:val="13"/>
          <w:szCs w:val="13"/>
          <w:b w:val="1"/>
          <w:bCs w:val="1"/>
          <w:color w:val="auto"/>
        </w:rPr>
        <w:t xml:space="preserve"> Executive Vice President</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As an Executive Vice President</w:t>
      </w:r>
      <w:r>
        <w:rPr>
          <w:rFonts w:ascii="Arial" w:cs="Arial" w:eastAsia="Arial" w:hAnsi="Arial"/>
          <w:sz w:val="9"/>
          <w:szCs w:val="9"/>
          <w:color w:val="auto"/>
        </w:rPr>
        <w:t>1</w:t>
      </w:r>
      <w:r>
        <w:rPr>
          <w:rFonts w:ascii="Arial" w:cs="Arial" w:eastAsia="Arial" w:hAnsi="Arial"/>
          <w:sz w:val="11"/>
          <w:szCs w:val="11"/>
          <w:color w:val="auto"/>
        </w:rPr>
        <w:t>, you are entitled to severance benefits in the event your employment with Biogen Idec is terminated by Biogen Idec other than for cause. The severance benefits will be comprised of</w:t>
      </w:r>
    </w:p>
    <w:p>
      <w:pPr>
        <w:spacing w:after="0" w:line="40" w:lineRule="exact"/>
        <w:rPr>
          <w:sz w:val="20"/>
          <w:szCs w:val="20"/>
          <w:color w:val="auto"/>
        </w:rPr>
      </w:pPr>
    </w:p>
    <w:p>
      <w:pPr>
        <w:ind w:left="1" w:right="200" w:hanging="1"/>
        <w:spacing w:after="0" w:line="290" w:lineRule="auto"/>
        <w:tabs>
          <w:tab w:leader="none" w:pos="158" w:val="left"/>
        </w:tabs>
        <w:numPr>
          <w:ilvl w:val="0"/>
          <w:numId w:val="82"/>
        </w:numPr>
        <w:rPr>
          <w:rFonts w:ascii="Arial" w:cs="Arial" w:eastAsia="Arial" w:hAnsi="Arial"/>
          <w:sz w:val="12"/>
          <w:szCs w:val="12"/>
          <w:color w:val="auto"/>
        </w:rPr>
      </w:pPr>
      <w:r>
        <w:rPr>
          <w:rFonts w:ascii="Arial" w:cs="Arial" w:eastAsia="Arial" w:hAnsi="Arial"/>
          <w:sz w:val="12"/>
          <w:szCs w:val="12"/>
          <w:color w:val="auto"/>
        </w:rPr>
        <w:t>a lump sum payment and (ii) upon completion of the appropriate forms, continuation of your participation in Biogen Idec’s group medical and dental insurance plans pursuant to the provisions of the Consolidated Omnibus Budget Reconciliation Act of 1985 (COBRA) and to the same extent that such insurance is provided to regular U.S. employees of Biogen Idec (including payment by you of a portion of the insurance premiums). The lump sum payment, equivalent to at least twelve months of annual base salary and a prorated portion of your target annual performance bonus, will be calculated as follows:</w:t>
      </w:r>
    </w:p>
    <w:p>
      <w:pPr>
        <w:spacing w:after="0" w:line="196" w:lineRule="exact"/>
        <w:rPr>
          <w:sz w:val="20"/>
          <w:szCs w:val="20"/>
          <w:color w:val="auto"/>
        </w:rPr>
      </w:pPr>
    </w:p>
    <w:p>
      <w:pPr>
        <w:ind w:left="4601"/>
        <w:spacing w:after="0"/>
        <w:rPr>
          <w:sz w:val="20"/>
          <w:szCs w:val="20"/>
          <w:color w:val="auto"/>
        </w:rPr>
      </w:pPr>
      <w:r>
        <w:rPr>
          <w:rFonts w:ascii="Arial" w:cs="Arial" w:eastAsia="Arial" w:hAnsi="Arial"/>
          <w:sz w:val="13"/>
          <w:szCs w:val="13"/>
          <w:b w:val="1"/>
          <w:bCs w:val="1"/>
          <w:color w:val="auto"/>
        </w:rPr>
        <w:t>[12 + (A x 2.5)] x B = lump sum payment</w:t>
      </w:r>
    </w:p>
    <w:p>
      <w:pPr>
        <w:spacing w:after="0" w:line="169" w:lineRule="exact"/>
        <w:rPr>
          <w:sz w:val="20"/>
          <w:szCs w:val="20"/>
          <w:color w:val="auto"/>
        </w:rPr>
      </w:pPr>
    </w:p>
    <w:p>
      <w:pPr>
        <w:ind w:left="1"/>
        <w:spacing w:after="0"/>
        <w:tabs>
          <w:tab w:leader="none" w:pos="561" w:val="left"/>
          <w:tab w:leader="none" w:pos="1021" w:val="left"/>
        </w:tabs>
        <w:rPr>
          <w:sz w:val="20"/>
          <w:szCs w:val="20"/>
          <w:color w:val="auto"/>
        </w:rPr>
      </w:pPr>
      <w:r>
        <w:rPr>
          <w:rFonts w:ascii="Arial" w:cs="Arial" w:eastAsia="Arial" w:hAnsi="Arial"/>
          <w:sz w:val="13"/>
          <w:szCs w:val="13"/>
          <w:color w:val="auto"/>
        </w:rPr>
        <w:t>where:</w:t>
      </w:r>
      <w:r>
        <w:rPr>
          <w:sz w:val="20"/>
          <w:szCs w:val="20"/>
          <w:color w:val="auto"/>
        </w:rPr>
        <w:tab/>
      </w: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is number of full years of service with Biogen Idec, but (A x 2.5) not more than 9</w:t>
      </w:r>
    </w:p>
    <w:p>
      <w:pPr>
        <w:spacing w:after="0" w:line="15" w:lineRule="exact"/>
        <w:rPr>
          <w:sz w:val="20"/>
          <w:szCs w:val="20"/>
          <w:color w:val="auto"/>
        </w:rPr>
      </w:pPr>
    </w:p>
    <w:p>
      <w:pPr>
        <w:ind w:left="1041" w:hanging="452"/>
        <w:spacing w:after="0"/>
        <w:tabs>
          <w:tab w:leader="none" w:pos="1041" w:val="left"/>
        </w:tabs>
        <w:numPr>
          <w:ilvl w:val="0"/>
          <w:numId w:val="83"/>
        </w:numPr>
        <w:rPr>
          <w:rFonts w:ascii="Arial" w:cs="Arial" w:eastAsia="Arial" w:hAnsi="Arial"/>
          <w:sz w:val="13"/>
          <w:szCs w:val="13"/>
          <w:color w:val="auto"/>
        </w:rPr>
      </w:pPr>
      <w:r>
        <w:rPr>
          <w:rFonts w:ascii="Arial" w:cs="Arial" w:eastAsia="Arial" w:hAnsi="Arial"/>
          <w:sz w:val="13"/>
          <w:szCs w:val="13"/>
          <w:color w:val="auto"/>
        </w:rPr>
        <w:t>is monthly annual compensation (i.e., one-twelfth of sum of annual base salary plus target annual performance bonus).</w:t>
      </w:r>
    </w:p>
    <w:p>
      <w:pPr>
        <w:spacing w:after="0" w:line="79" w:lineRule="exact"/>
        <w:rPr>
          <w:sz w:val="20"/>
          <w:szCs w:val="20"/>
          <w:color w:val="auto"/>
        </w:rPr>
      </w:pPr>
    </w:p>
    <w:p>
      <w:pPr>
        <w:ind w:left="1"/>
        <w:spacing w:after="0" w:line="260" w:lineRule="auto"/>
        <w:rPr>
          <w:sz w:val="20"/>
          <w:szCs w:val="20"/>
          <w:color w:val="auto"/>
        </w:rPr>
      </w:pPr>
      <w:r>
        <w:rPr>
          <w:rFonts w:ascii="Arial" w:cs="Arial" w:eastAsia="Arial" w:hAnsi="Arial"/>
          <w:sz w:val="13"/>
          <w:szCs w:val="13"/>
          <w:color w:val="auto"/>
        </w:rPr>
        <w:t>The lump sum payment (less state and federal income and welfare taxes and other mandatory deductions under applicable laws) will be paid to you promptly following the later of (i) the termination of your employment with Biogen Idec and (ii) the effective date of a general release in favor of Biogen Idec (see below). Your participation in Biogen Idec’s group medical and dental insurance plans will continue until the earlier of (x) the date you become eligible to participate in the medical and dental insurance plans of a third party employer or (y) the date that is [12 + (A x 2.5), but not more than 21] months following the termination of your employment with Biogen Idec, but in either case only to the extent permitted by the provisions of COBRA. For example:</w:t>
      </w:r>
    </w:p>
    <w:p>
      <w:pPr>
        <w:spacing w:after="0" w:line="60" w:lineRule="exact"/>
        <w:rPr>
          <w:sz w:val="20"/>
          <w:szCs w:val="20"/>
          <w:color w:val="auto"/>
        </w:rPr>
      </w:pPr>
    </w:p>
    <w:p>
      <w:pPr>
        <w:ind w:left="681" w:right="36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two months, you will receive a lump sum payment equal to twelve months of your monthly annual compensation and continue to participate in Biogen Idec’s group medical and dental plans for twelve months, unless you become eligible to participate in a third party employer’s medical and dental plans before that date.</w:t>
      </w:r>
    </w:p>
    <w:p>
      <w:pPr>
        <w:spacing w:after="0" w:line="25" w:lineRule="exact"/>
        <w:rPr>
          <w:sz w:val="20"/>
          <w:szCs w:val="20"/>
          <w:color w:val="auto"/>
        </w:rPr>
      </w:pPr>
    </w:p>
    <w:p>
      <w:pPr>
        <w:ind w:left="681" w:right="26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five years, you will receive a lump sum payment equal to 21 months of your monthly annual compensation and continue to participate in Biogen Idec’s group medical and dental plans for 21 months, unless you become eligible to participate in a third party employer’s medical and dental plans before that date.</w:t>
      </w:r>
    </w:p>
    <w:p>
      <w:pPr>
        <w:spacing w:after="0" w:line="25" w:lineRule="exact"/>
        <w:rPr>
          <w:sz w:val="20"/>
          <w:szCs w:val="20"/>
          <w:color w:val="auto"/>
        </w:rPr>
      </w:pPr>
    </w:p>
    <w:p>
      <w:pPr>
        <w:jc w:val="both"/>
        <w:ind w:left="1" w:right="200"/>
        <w:spacing w:after="0" w:line="260" w:lineRule="auto"/>
        <w:rPr>
          <w:sz w:val="20"/>
          <w:szCs w:val="20"/>
          <w:color w:val="auto"/>
        </w:rPr>
      </w:pPr>
      <w:r>
        <w:rPr>
          <w:rFonts w:ascii="Arial" w:cs="Arial" w:eastAsia="Arial" w:hAnsi="Arial"/>
          <w:sz w:val="13"/>
          <w:szCs w:val="13"/>
          <w:color w:val="auto"/>
        </w:rPr>
        <w:t>If at any time within two years following a corporate transaction (as such term is defined in Biogen Idec’s 2005 Omnibus Equity Plan) your employment with Biogen Idec is terminated by Biogen Idec other than for cause, then, regardless of the length of your service with Biogen Idec and in lieu of the formula set forth above, you will receive a lump sum payment equivalent to 24 months of your prorated annual base salary and prorated target annual performance bonus. In addition, you will be entitled to participate in Biogen Idec’s group medical and dental insurance plans for up to 24 months following the termination of your employment with Biogen Idec, subject to the conditions (including earlier termination) set forth above.</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3"/>
          <w:szCs w:val="13"/>
          <w:color w:val="auto"/>
        </w:rPr>
        <w:t>For purposes of the severance arrangement, the definition of “for cause” is outlined in the Biogen Idec 2005 Omnibus Equity Plan.</w:t>
      </w:r>
    </w:p>
    <w:p>
      <w:pPr>
        <w:spacing w:after="0" w:line="86" w:lineRule="exact"/>
        <w:rPr>
          <w:sz w:val="20"/>
          <w:szCs w:val="20"/>
          <w:color w:val="auto"/>
        </w:rPr>
      </w:pPr>
    </w:p>
    <w:p>
      <w:pPr>
        <w:jc w:val="both"/>
        <w:ind w:left="1"/>
        <w:spacing w:after="0" w:line="264" w:lineRule="auto"/>
        <w:rPr>
          <w:sz w:val="20"/>
          <w:szCs w:val="20"/>
          <w:color w:val="auto"/>
        </w:rPr>
      </w:pPr>
      <w:r>
        <w:rPr>
          <w:rFonts w:ascii="Arial" w:cs="Arial" w:eastAsia="Arial" w:hAnsi="Arial"/>
          <w:sz w:val="13"/>
          <w:szCs w:val="13"/>
          <w:color w:val="auto"/>
        </w:rPr>
        <w:t>Payment and provision of the severance benefits described above are conditioned on your execution of a general release in favor of Biogen Idec, in form and substance reasonably acceptable to Biogen Idec, in respect of any and all claims relating to your employment and the termination of your employment with Biogen Idec. If you retire or terminate your employment your employment with Biogen Idec or Biogen Idec terminates your employment for cause or you do not provide the requisite general release, then you not receive the severance benefits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131064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4" w:lineRule="exact"/>
        <w:rPr>
          <w:sz w:val="20"/>
          <w:szCs w:val="20"/>
          <w:color w:val="auto"/>
        </w:rPr>
      </w:pPr>
    </w:p>
    <w:p>
      <w:pPr>
        <w:ind w:left="461" w:hanging="461"/>
        <w:spacing w:after="0"/>
        <w:tabs>
          <w:tab w:leader="none" w:pos="461"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These severance benefits are applicable only to U.S. executives of Biogen Idec.</w:t>
      </w:r>
    </w:p>
    <w:p>
      <w:pPr>
        <w:sectPr>
          <w:pgSz w:w="11900" w:h="16838" w:orient="portrait"/>
          <w:cols w:equalWidth="0" w:num="1">
            <w:col w:w="11461"/>
          </w:cols>
          <w:pgMar w:left="219" w:top="736"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BIOGEN IDEC INC</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list of subsidiaries of Biogen Idec Inc. as of December 31, 2009, omitting some subsidiaries which, considered in the aggregate, would not constitute a significant subsidiary.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4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1140" w:type="dxa"/>
            <w:vAlign w:val="bottom"/>
          </w:tcPr>
          <w:p>
            <w:pPr>
              <w:spacing w:after="0"/>
              <w:rPr>
                <w:sz w:val="10"/>
                <w:szCs w:val="10"/>
                <w:color w:val="auto"/>
              </w:rPr>
            </w:pPr>
          </w:p>
        </w:tc>
        <w:tc>
          <w:tcPr>
            <w:tcW w:w="4580" w:type="dxa"/>
            <w:vAlign w:val="bottom"/>
          </w:tcPr>
          <w:p>
            <w:pPr>
              <w:spacing w:after="0"/>
              <w:rPr>
                <w:sz w:val="20"/>
                <w:szCs w:val="20"/>
                <w:color w:val="auto"/>
              </w:rPr>
            </w:pPr>
            <w:r>
              <w:rPr>
                <w:rFonts w:ascii="Arial" w:cs="Arial" w:eastAsia="Arial" w:hAnsi="Arial"/>
                <w:sz w:val="10"/>
                <w:szCs w:val="10"/>
                <w:b w:val="1"/>
                <w:bCs w:val="1"/>
                <w:color w:val="auto"/>
              </w:rPr>
              <w:t>State Or Other Jurisdiction Of</w:t>
            </w:r>
          </w:p>
        </w:tc>
        <w:tc>
          <w:tcPr>
            <w:tcW w:w="0" w:type="dxa"/>
            <w:vAlign w:val="bottom"/>
          </w:tcPr>
          <w:p>
            <w:pPr>
              <w:spacing w:after="0"/>
              <w:rPr>
                <w:sz w:val="1"/>
                <w:szCs w:val="1"/>
                <w:color w:val="auto"/>
              </w:rPr>
            </w:pPr>
          </w:p>
        </w:tc>
      </w:tr>
      <w:tr>
        <w:trPr>
          <w:trHeight w:val="125"/>
        </w:trPr>
        <w:tc>
          <w:tcPr>
            <w:tcW w:w="5740" w:type="dxa"/>
            <w:vAlign w:val="bottom"/>
            <w:tcBorders>
              <w:bottom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Incorporation Or Organization</w:t>
            </w:r>
          </w:p>
        </w:tc>
        <w:tc>
          <w:tcPr>
            <w:tcW w:w="0" w:type="dxa"/>
            <w:vAlign w:val="bottom"/>
          </w:tcPr>
          <w:p>
            <w:pPr>
              <w:spacing w:after="0"/>
              <w:rPr>
                <w:sz w:val="1"/>
                <w:szCs w:val="1"/>
                <w:color w:val="auto"/>
              </w:rPr>
            </w:pPr>
          </w:p>
        </w:tc>
      </w:tr>
      <w:tr>
        <w:trPr>
          <w:trHeight w:val="138"/>
        </w:trPr>
        <w:tc>
          <w:tcPr>
            <w:tcW w:w="5740" w:type="dxa"/>
            <w:vAlign w:val="bottom"/>
          </w:tcPr>
          <w:p>
            <w:pPr>
              <w:spacing w:after="0" w:line="139" w:lineRule="exact"/>
              <w:rPr>
                <w:sz w:val="20"/>
                <w:szCs w:val="20"/>
                <w:color w:val="auto"/>
              </w:rPr>
            </w:pPr>
            <w:r>
              <w:rPr>
                <w:rFonts w:ascii="Arial" w:cs="Arial" w:eastAsia="Arial" w:hAnsi="Arial"/>
                <w:sz w:val="13"/>
                <w:szCs w:val="13"/>
                <w:color w:val="auto"/>
              </w:rPr>
              <w:t>Arrowpark Interseas Ltd</w:t>
            </w:r>
          </w:p>
        </w:tc>
        <w:tc>
          <w:tcPr>
            <w:tcW w:w="1140" w:type="dxa"/>
            <w:vAlign w:val="bottom"/>
          </w:tcPr>
          <w:p>
            <w:pPr>
              <w:spacing w:after="0"/>
              <w:rPr>
                <w:sz w:val="12"/>
                <w:szCs w:val="12"/>
                <w:color w:val="auto"/>
              </w:rPr>
            </w:pPr>
          </w:p>
        </w:tc>
        <w:tc>
          <w:tcPr>
            <w:tcW w:w="4580" w:type="dxa"/>
            <w:vAlign w:val="bottom"/>
          </w:tcPr>
          <w:p>
            <w:pPr>
              <w:spacing w:after="0" w:line="139" w:lineRule="exact"/>
              <w:rPr>
                <w:sz w:val="20"/>
                <w:szCs w:val="20"/>
                <w:color w:val="auto"/>
              </w:rPr>
            </w:pPr>
            <w:r>
              <w:rPr>
                <w:rFonts w:ascii="Arial" w:cs="Arial" w:eastAsia="Arial" w:hAnsi="Arial"/>
                <w:sz w:val="13"/>
                <w:szCs w:val="13"/>
                <w:color w:val="auto"/>
              </w:rPr>
              <w:t>Isle of Man</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(Argentina) SRL</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Argentina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(Czech Republic) s.r.o.</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Czech Republic</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(Denmark) A/S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(Denmark) Manufacturing ApS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(Denmark) New Manufacturing ApS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(Hong Kong) Limited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(Ireland)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(RTP) Realty LLC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(Singapore) Pte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Singapore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(Slovak Republic) s.r.o.</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Slovak Republic</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Australia PTY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Austria GmbH</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B.V.</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Belgium N.V./S.A.</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Belgium</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Biotech India Pvt.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Brazil Produtos Farmaceuticos LTDA</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Brazil</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Canada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Finland OY</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France S.A.S.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GmbH</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Holding APS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Holding I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Holding II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Hungary KFT</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Hungary</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Iberia, S.L.</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International B.V.</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International GmbH</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International Holding Limited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Bermuda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Japan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UK</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Luxembourg Holding SARL</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Luxembourg</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MA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Management Services GmbH</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Manufacturing Holding LLC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Mexico S. DE R.L. DE C.V.</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New Ventures,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Nobel Research Center, LLC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Norway AS</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Norway</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NZ Ltd.</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New Zealand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Portugal Sociedade Farmaceutica, Unipessoal, Lda.</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Portugal</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promet s farmacevtskimi in biotehnoloskimi proizvodi d.o.o</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Slovenia</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Realty Corporation</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Realty Limited Partnership</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SRO,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Sweden AB</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Therapeutics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U.S. Corporation</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U.S. Limited Partnership</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U.S. Pacific LLC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 Idec U.S. West Corporation</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Biogen-Dompe AG</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65"/>
        </w:trPr>
        <w:tc>
          <w:tcPr>
            <w:tcW w:w="5740" w:type="dxa"/>
            <w:vAlign w:val="bottom"/>
          </w:tcPr>
          <w:p>
            <w:pPr>
              <w:spacing w:after="0"/>
              <w:rPr>
                <w:sz w:val="20"/>
                <w:szCs w:val="20"/>
                <w:color w:val="auto"/>
              </w:rPr>
            </w:pPr>
            <w:r>
              <w:rPr>
                <w:rFonts w:ascii="Arial" w:cs="Arial" w:eastAsia="Arial" w:hAnsi="Arial"/>
                <w:sz w:val="13"/>
                <w:szCs w:val="13"/>
                <w:color w:val="auto"/>
              </w:rPr>
              <w:t>Biogen-Dompe SRL</w:t>
            </w:r>
          </w:p>
        </w:tc>
        <w:tc>
          <w:tcPr>
            <w:tcW w:w="114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448"/>
        </w:trPr>
        <w:tc>
          <w:tcPr>
            <w:tcW w:w="5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15"/>
        </w:trPr>
        <w:tc>
          <w:tcPr>
            <w:tcW w:w="574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1140" w:type="dxa"/>
            <w:vAlign w:val="bottom"/>
          </w:tcPr>
          <w:p>
            <w:pPr>
              <w:spacing w:after="0"/>
              <w:rPr>
                <w:sz w:val="10"/>
                <w:szCs w:val="10"/>
                <w:color w:val="auto"/>
              </w:rPr>
            </w:pPr>
          </w:p>
        </w:tc>
        <w:tc>
          <w:tcPr>
            <w:tcW w:w="4580" w:type="dxa"/>
            <w:vAlign w:val="bottom"/>
          </w:tcPr>
          <w:p>
            <w:pPr>
              <w:spacing w:after="0"/>
              <w:rPr>
                <w:sz w:val="20"/>
                <w:szCs w:val="20"/>
                <w:color w:val="auto"/>
              </w:rPr>
            </w:pPr>
            <w:r>
              <w:rPr>
                <w:rFonts w:ascii="Arial" w:cs="Arial" w:eastAsia="Arial" w:hAnsi="Arial"/>
                <w:sz w:val="10"/>
                <w:szCs w:val="10"/>
                <w:b w:val="1"/>
                <w:bCs w:val="1"/>
                <w:color w:val="auto"/>
              </w:rPr>
              <w:t>State Or Other Jurisdiction Of</w:t>
            </w:r>
          </w:p>
        </w:tc>
        <w:tc>
          <w:tcPr>
            <w:tcW w:w="0" w:type="dxa"/>
            <w:vAlign w:val="bottom"/>
          </w:tcPr>
          <w:p>
            <w:pPr>
              <w:spacing w:after="0"/>
              <w:rPr>
                <w:sz w:val="1"/>
                <w:szCs w:val="1"/>
                <w:color w:val="auto"/>
              </w:rPr>
            </w:pPr>
          </w:p>
        </w:tc>
      </w:tr>
      <w:tr>
        <w:trPr>
          <w:trHeight w:val="125"/>
        </w:trPr>
        <w:tc>
          <w:tcPr>
            <w:tcW w:w="5740" w:type="dxa"/>
            <w:vAlign w:val="bottom"/>
            <w:tcBorders>
              <w:bottom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Incorporation Or Organization</w:t>
            </w:r>
          </w:p>
        </w:tc>
        <w:tc>
          <w:tcPr>
            <w:tcW w:w="0" w:type="dxa"/>
            <w:vAlign w:val="bottom"/>
          </w:tcPr>
          <w:p>
            <w:pPr>
              <w:spacing w:after="0"/>
              <w:rPr>
                <w:sz w:val="1"/>
                <w:szCs w:val="1"/>
                <w:color w:val="auto"/>
              </w:rPr>
            </w:pPr>
          </w:p>
        </w:tc>
      </w:tr>
      <w:tr>
        <w:trPr>
          <w:trHeight w:val="138"/>
        </w:trPr>
        <w:tc>
          <w:tcPr>
            <w:tcW w:w="5740" w:type="dxa"/>
            <w:vAlign w:val="bottom"/>
          </w:tcPr>
          <w:p>
            <w:pPr>
              <w:spacing w:after="0" w:line="139" w:lineRule="exact"/>
              <w:rPr>
                <w:sz w:val="20"/>
                <w:szCs w:val="20"/>
                <w:color w:val="auto"/>
              </w:rPr>
            </w:pPr>
            <w:r>
              <w:rPr>
                <w:rFonts w:ascii="Arial" w:cs="Arial" w:eastAsia="Arial" w:hAnsi="Arial"/>
                <w:sz w:val="13"/>
                <w:szCs w:val="13"/>
                <w:color w:val="auto"/>
              </w:rPr>
              <w:t>Conforma Therapeutics Corporation</w:t>
            </w:r>
          </w:p>
        </w:tc>
        <w:tc>
          <w:tcPr>
            <w:tcW w:w="1140" w:type="dxa"/>
            <w:vAlign w:val="bottom"/>
          </w:tcPr>
          <w:p>
            <w:pPr>
              <w:spacing w:after="0"/>
              <w:rPr>
                <w:sz w:val="12"/>
                <w:szCs w:val="12"/>
                <w:color w:val="auto"/>
              </w:rPr>
            </w:pPr>
          </w:p>
        </w:tc>
        <w:tc>
          <w:tcPr>
            <w:tcW w:w="4580" w:type="dxa"/>
            <w:vAlign w:val="bottom"/>
          </w:tcPr>
          <w:p>
            <w:pPr>
              <w:spacing w:after="0" w:line="139" w:lineRule="exact"/>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Eidetica Biopharma GmbH</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Fundacion Biogen Idec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Syntonix Pharmaceuticals,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The Biogen Idec Foundation Inc.</w:t>
            </w:r>
          </w:p>
        </w:tc>
        <w:tc>
          <w:tcPr>
            <w:tcW w:w="1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65"/>
        </w:trPr>
        <w:tc>
          <w:tcPr>
            <w:tcW w:w="5740" w:type="dxa"/>
            <w:vAlign w:val="bottom"/>
          </w:tcPr>
          <w:p>
            <w:pPr>
              <w:spacing w:after="0"/>
              <w:rPr>
                <w:sz w:val="20"/>
                <w:szCs w:val="20"/>
                <w:color w:val="auto"/>
              </w:rPr>
            </w:pPr>
            <w:r>
              <w:rPr>
                <w:rFonts w:ascii="Arial" w:cs="Arial" w:eastAsia="Arial" w:hAnsi="Arial"/>
                <w:sz w:val="13"/>
                <w:szCs w:val="13"/>
                <w:color w:val="auto"/>
              </w:rPr>
              <w:t>Wolter Interseas Ltd</w:t>
            </w:r>
          </w:p>
        </w:tc>
        <w:tc>
          <w:tcPr>
            <w:tcW w:w="114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Isle of Man</w:t>
            </w:r>
          </w:p>
        </w:tc>
        <w:tc>
          <w:tcPr>
            <w:tcW w:w="0" w:type="dxa"/>
            <w:vAlign w:val="bottom"/>
          </w:tcPr>
          <w:p>
            <w:pPr>
              <w:spacing w:after="0"/>
              <w:rPr>
                <w:sz w:val="1"/>
                <w:szCs w:val="1"/>
                <w:color w:val="auto"/>
              </w:rPr>
            </w:pPr>
          </w:p>
        </w:tc>
      </w:tr>
    </w:tbl>
    <w:p>
      <w:pPr>
        <w:sectPr>
          <w:pgSz w:w="11900" w:h="16838" w:orient="portrait"/>
          <w:cols w:equalWidth="0" w:num="1">
            <w:col w:w="11460"/>
          </w:cols>
          <w:pgMar w:left="220" w:top="863"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 on Form S-4 (No. 333-107098) and Registration Statements on Form S-8 (Nos. 333-97211, 333-106794, 333-47904, 333-65494, 333-110432, 333-110433, 333-128339, 333-152456, 333-128339 and 333-140817) of Biogen Idec Inc. of our report dated February 9, 2010 relating to the financial statements and the effectiveness of internal control over financial reporting, which appears in this Form 10-K</w:t>
      </w:r>
      <w:r>
        <w:rPr>
          <w:rFonts w:ascii="Arial" w:cs="Arial" w:eastAsia="Arial" w:hAnsi="Arial"/>
          <w:sz w:val="13"/>
          <w:szCs w:val="13"/>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9, 2010</w:t>
      </w:r>
    </w:p>
    <w:p>
      <w:pPr>
        <w:sectPr>
          <w:pgSz w:w="11900" w:h="16838" w:orient="portrait"/>
          <w:cols w:equalWidth="0" w:num="1">
            <w:col w:w="11460"/>
          </w:cols>
          <w:pgMar w:left="220" w:top="127" w:right="2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James C. Mullen, certify that:</w:t>
      </w:r>
    </w:p>
    <w:p>
      <w:pPr>
        <w:spacing w:after="0" w:line="86" w:lineRule="exact"/>
        <w:rPr>
          <w:sz w:val="20"/>
          <w:szCs w:val="20"/>
          <w:color w:val="auto"/>
        </w:rPr>
      </w:pPr>
    </w:p>
    <w:p>
      <w:pPr>
        <w:ind w:left="320" w:hanging="213"/>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left="320" w:right="100" w:hanging="213"/>
        <w:spacing w:after="0" w:line="276"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320" w:right="200" w:hanging="213"/>
        <w:spacing w:after="0" w:line="276"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320" w:hanging="213"/>
        <w:spacing w:after="0" w:line="276"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800" w:right="200" w:hanging="457"/>
        <w:spacing w:after="0" w:line="320" w:lineRule="auto"/>
        <w:tabs>
          <w:tab w:leader="none" w:pos="80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800" w:right="420" w:hanging="457"/>
        <w:spacing w:after="0" w:line="320" w:lineRule="auto"/>
        <w:tabs>
          <w:tab w:leader="none" w:pos="80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800" w:right="200" w:hanging="457"/>
        <w:spacing w:after="0" w:line="276" w:lineRule="auto"/>
        <w:tabs>
          <w:tab w:leader="none" w:pos="8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800" w:hanging="457"/>
        <w:spacing w:after="0" w:line="276" w:lineRule="auto"/>
        <w:tabs>
          <w:tab w:leader="none" w:pos="8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320" w:right="600" w:hanging="213"/>
        <w:spacing w:after="0" w:line="276"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800" w:right="120" w:hanging="457"/>
        <w:spacing w:after="0" w:line="276" w:lineRule="auto"/>
        <w:tabs>
          <w:tab w:leader="none" w:pos="8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800" w:hanging="457"/>
        <w:spacing w:after="0"/>
        <w:tabs>
          <w:tab w:leader="none" w:pos="8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460" w:type="dxa"/>
            <w:vAlign w:val="bottom"/>
          </w:tcPr>
          <w:p>
            <w:pPr>
              <w:spacing w:after="0"/>
              <w:rPr>
                <w:sz w:val="20"/>
                <w:szCs w:val="20"/>
                <w:color w:val="auto"/>
              </w:rPr>
            </w:pPr>
            <w:r>
              <w:rPr>
                <w:rFonts w:ascii="Arial" w:cs="Arial" w:eastAsia="Arial" w:hAnsi="Arial"/>
                <w:sz w:val="13"/>
                <w:szCs w:val="13"/>
                <w:color w:val="auto"/>
              </w:rPr>
              <w:t>Date: February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C. Mullen</w:t>
            </w:r>
          </w:p>
        </w:tc>
      </w:tr>
      <w:tr>
        <w:trPr>
          <w:trHeight w:val="139"/>
        </w:trPr>
        <w:tc>
          <w:tcPr>
            <w:tcW w:w="546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James C. Mullen</w:t>
            </w:r>
          </w:p>
        </w:tc>
      </w:tr>
      <w:tr>
        <w:trPr>
          <w:trHeight w:val="165"/>
        </w:trPr>
        <w:tc>
          <w:tcPr>
            <w:tcW w:w="546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bl>
    <w:p>
      <w:pPr>
        <w:sectPr>
          <w:pgSz w:w="11900" w:h="16838" w:orient="portrait"/>
          <w:cols w:equalWidth="0" w:num="1">
            <w:col w:w="11460"/>
          </w:cols>
          <w:pgMar w:left="220" w:top="127" w:right="2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Paul J. Clancy, certify that:</w:t>
      </w:r>
    </w:p>
    <w:p>
      <w:pPr>
        <w:spacing w:after="0" w:line="86" w:lineRule="exact"/>
        <w:rPr>
          <w:sz w:val="20"/>
          <w:szCs w:val="20"/>
          <w:color w:val="auto"/>
        </w:rPr>
      </w:pPr>
    </w:p>
    <w:p>
      <w:pPr>
        <w:ind w:left="320" w:hanging="213"/>
        <w:spacing w:after="0"/>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left="320" w:right="140" w:hanging="213"/>
        <w:spacing w:after="0" w:line="27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320" w:right="200" w:hanging="213"/>
        <w:spacing w:after="0" w:line="27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320" w:hanging="213"/>
        <w:spacing w:after="0" w:line="27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800" w:right="200" w:hanging="457"/>
        <w:spacing w:after="0" w:line="320" w:lineRule="auto"/>
        <w:tabs>
          <w:tab w:leader="none" w:pos="800"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800" w:right="420" w:hanging="457"/>
        <w:spacing w:after="0" w:line="320" w:lineRule="auto"/>
        <w:tabs>
          <w:tab w:leader="none" w:pos="800"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800" w:right="200" w:hanging="457"/>
        <w:spacing w:after="0" w:line="276" w:lineRule="auto"/>
        <w:tabs>
          <w:tab w:leader="none" w:pos="80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800" w:hanging="457"/>
        <w:spacing w:after="0" w:line="276" w:lineRule="auto"/>
        <w:tabs>
          <w:tab w:leader="none" w:pos="80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320" w:right="600" w:hanging="213"/>
        <w:spacing w:after="0" w:line="27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800" w:right="120" w:hanging="457"/>
        <w:spacing w:after="0" w:line="276" w:lineRule="auto"/>
        <w:tabs>
          <w:tab w:leader="none" w:pos="80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800" w:hanging="457"/>
        <w:spacing w:after="0"/>
        <w:tabs>
          <w:tab w:leader="none" w:pos="80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460" w:type="dxa"/>
            <w:vAlign w:val="bottom"/>
          </w:tcPr>
          <w:p>
            <w:pPr>
              <w:spacing w:after="0"/>
              <w:rPr>
                <w:sz w:val="20"/>
                <w:szCs w:val="20"/>
                <w:color w:val="auto"/>
              </w:rPr>
            </w:pPr>
            <w:r>
              <w:rPr>
                <w:rFonts w:ascii="Arial" w:cs="Arial" w:eastAsia="Arial" w:hAnsi="Arial"/>
                <w:sz w:val="13"/>
                <w:szCs w:val="13"/>
                <w:color w:val="auto"/>
              </w:rPr>
              <w:t>Date: February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39"/>
        </w:trPr>
        <w:tc>
          <w:tcPr>
            <w:tcW w:w="546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Paul J. Clancy</w:t>
            </w:r>
          </w:p>
        </w:tc>
      </w:tr>
      <w:tr>
        <w:trPr>
          <w:trHeight w:val="165"/>
        </w:trPr>
        <w:tc>
          <w:tcPr>
            <w:tcW w:w="546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bl>
    <w:p>
      <w:pPr>
        <w:sectPr>
          <w:pgSz w:w="11900" w:h="16838" w:orient="portrait"/>
          <w:cols w:equalWidth="0" w:num="1">
            <w:col w:w="11460"/>
          </w:cols>
          <w:pgMar w:left="220" w:top="441"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9"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49"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The Annual Report on Form 10-K for the year ended December 31, 2009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Dated: February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C. Mullen</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James C. Mullen</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executive officer]</w:t>
            </w:r>
          </w:p>
        </w:tc>
      </w:tr>
      <w:tr>
        <w:trPr>
          <w:trHeight w:val="472"/>
        </w:trPr>
        <w:tc>
          <w:tcPr>
            <w:tcW w:w="5520" w:type="dxa"/>
            <w:vAlign w:val="bottom"/>
          </w:tcPr>
          <w:p>
            <w:pPr>
              <w:spacing w:after="0"/>
              <w:rPr>
                <w:sz w:val="20"/>
                <w:szCs w:val="20"/>
                <w:color w:val="auto"/>
              </w:rPr>
            </w:pPr>
            <w:r>
              <w:rPr>
                <w:rFonts w:ascii="Arial" w:cs="Arial" w:eastAsia="Arial" w:hAnsi="Arial"/>
                <w:sz w:val="13"/>
                <w:szCs w:val="13"/>
                <w:color w:val="auto"/>
              </w:rPr>
              <w:t>Dated: February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Paul J. Clancy</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pacing w:after="0" w:line="228" w:lineRule="exact"/>
        <w:rPr>
          <w:sz w:val="20"/>
          <w:szCs w:val="20"/>
          <w:color w:val="auto"/>
        </w:rPr>
      </w:pPr>
    </w:p>
    <w:p>
      <w:pPr>
        <w:ind w:right="40" w:firstLine="157"/>
        <w:spacing w:after="0" w:line="276"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2"/>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3"/>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3"/>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3"/>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decimal"/>
      <w:start w:val="3"/>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decimal"/>
      <w:start w:val="2"/>
    </w:lvl>
  </w:abstractNum>
  <w:abstractNum w:abstractNumId="44">
    <w:nsid w:val="25A70BF7"/>
    <w:multiLevelType w:val="hybridMultilevel"/>
    <w:lvl w:ilvl="0">
      <w:lvlJc w:val="left"/>
      <w:lvlText w:val="%1."/>
      <w:numFmt w:val="decimal"/>
      <w:start w:val="3"/>
    </w:lvl>
  </w:abstractNum>
  <w:abstractNum w:abstractNumId="45">
    <w:nsid w:val="1DBABF00"/>
    <w:multiLevelType w:val="hybridMultilevel"/>
    <w:lvl w:ilvl="0">
      <w:lvlJc w:val="left"/>
      <w:lvlText w:val="%1."/>
      <w:numFmt w:val="decimal"/>
      <w:start w:val="5"/>
    </w:lvl>
  </w:abstractNum>
  <w:abstractNum w:abstractNumId="46">
    <w:nsid w:val="4AD084E9"/>
    <w:multiLevelType w:val="hybridMultilevel"/>
    <w:lvl w:ilvl="0">
      <w:lvlJc w:val="left"/>
      <w:lvlText w:val="%1."/>
      <w:numFmt w:val="decimal"/>
      <w:start w:val="7"/>
    </w:lvl>
  </w:abstractNum>
  <w:abstractNum w:abstractNumId="47">
    <w:nsid w:val="1F48EAA1"/>
    <w:multiLevelType w:val="hybridMultilevel"/>
    <w:lvl w:ilvl="0">
      <w:lvlJc w:val="left"/>
      <w:lvlText w:val="%1."/>
      <w:numFmt w:val="decimal"/>
      <w:start w:val="8"/>
    </w:lvl>
  </w:abstractNum>
  <w:abstractNum w:abstractNumId="48">
    <w:nsid w:val="1381823A"/>
    <w:multiLevelType w:val="hybridMultilevel"/>
    <w:lvl w:ilvl="0">
      <w:lvlJc w:val="left"/>
      <w:lvlText w:val="%1."/>
      <w:numFmt w:val="decimal"/>
      <w:start w:val="10"/>
    </w:lvl>
  </w:abstractNum>
  <w:abstractNum w:abstractNumId="49">
    <w:nsid w:val="5DB70AE5"/>
    <w:multiLevelType w:val="hybridMultilevel"/>
    <w:lvl w:ilvl="0">
      <w:lvlJc w:val="left"/>
      <w:lvlText w:val="%1."/>
      <w:numFmt w:val="decimal"/>
      <w:start w:val="15"/>
    </w:lvl>
  </w:abstractNum>
  <w:abstractNum w:abstractNumId="50">
    <w:nsid w:val="100F8FCA"/>
    <w:multiLevelType w:val="hybridMultilevel"/>
    <w:lvl w:ilvl="0">
      <w:lvlJc w:val="left"/>
      <w:lvlText w:val="%1."/>
      <w:numFmt w:val="decimal"/>
      <w:start w:val="16"/>
    </w:lvl>
  </w:abstractNum>
  <w:abstractNum w:abstractNumId="51">
    <w:nsid w:val="6590700B"/>
    <w:multiLevelType w:val="hybridMultilevel"/>
    <w:lvl w:ilvl="0">
      <w:lvlJc w:val="left"/>
      <w:lvlText w:val="%1."/>
      <w:numFmt w:val="decimal"/>
      <w:start w:val="17"/>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8"/>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9"/>
    </w:lvl>
  </w:abstractNum>
  <w:abstractNum w:abstractNumId="57">
    <w:nsid w:val="42C296BD"/>
    <w:multiLevelType w:val="hybridMultilevel"/>
    <w:lvl w:ilvl="0">
      <w:lvlJc w:val="left"/>
      <w:lvlText w:val="%1."/>
      <w:numFmt w:val="decimal"/>
      <w:start w:val="2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decimal"/>
      <w:start w:val="23"/>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ˆ"/>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lvl w:ilvl="1">
      <w:lvlJc w:val="left"/>
      <w:lvlText w:val="(%2)"/>
      <w:numFmt w:val="lowerLetter"/>
      <w:start w:val="1"/>
    </w:lvl>
  </w:abstractNum>
  <w:abstractNum w:abstractNumId="64">
    <w:nsid w:val="51D9C564"/>
    <w:multiLevelType w:val="hybridMultilevel"/>
    <w:lvl w:ilvl="0">
      <w:lvlJc w:val="left"/>
      <w:lvlText w:val="%1."/>
      <w:numFmt w:val="decimal"/>
      <w:start w:val="4"/>
    </w:lvl>
    <w:lvl w:ilvl="1">
      <w:lvlJc w:val="left"/>
      <w:lvlText w:val="(%2)"/>
      <w:numFmt w:val="lowerLetter"/>
      <w:start w:val="1"/>
    </w:lvl>
  </w:abstractNum>
  <w:abstractNum w:abstractNumId="65">
    <w:nsid w:val="613EFDC5"/>
    <w:multiLevelType w:val="hybridMultilevel"/>
    <w:lvl w:ilvl="0">
      <w:lvlJc w:val="left"/>
      <w:lvlText w:val="%1"/>
      <w:numFmt w:val="decimal"/>
      <w:start w:val="1"/>
    </w:lvl>
    <w:lvl w:ilvl="1">
      <w:lvlJc w:val="left"/>
      <w:lvlText w:val="(%2)"/>
      <w:numFmt w:val="lowerLetter"/>
      <w:start w:val="5"/>
    </w:lvl>
  </w:abstractNum>
  <w:abstractNum w:abstractNumId="66">
    <w:nsid w:val="BF72B14"/>
    <w:multiLevelType w:val="hybridMultilevel"/>
    <w:lvl w:ilvl="0">
      <w:lvlJc w:val="left"/>
      <w:lvlText w:val="%1."/>
      <w:numFmt w:val="decimal"/>
      <w:start w:val="6"/>
    </w:lvl>
    <w:lvl w:ilvl="1">
      <w:lvlJc w:val="left"/>
      <w:lvlText w:val="(%2)"/>
      <w:numFmt w:val="lowerLetter"/>
      <w:start w:val="1"/>
    </w:lvl>
  </w:abstractNum>
  <w:abstractNum w:abstractNumId="67">
    <w:nsid w:val="11447B73"/>
    <w:multiLevelType w:val="hybridMultilevel"/>
    <w:lvl w:ilvl="0">
      <w:lvlJc w:val="left"/>
      <w:lvlText w:val="%1."/>
      <w:numFmt w:val="decimal"/>
      <w:start w:val="8"/>
    </w:lvl>
    <w:lvl w:ilvl="1">
      <w:lvlJc w:val="left"/>
      <w:lvlText w:val="(%2)"/>
      <w:numFmt w:val="lowerLetter"/>
      <w:start w:val="1"/>
    </w:lvl>
  </w:abstractNum>
  <w:abstractNum w:abstractNumId="68">
    <w:nsid w:val="42963E5A"/>
    <w:multiLevelType w:val="hybridMultilevel"/>
    <w:lvl w:ilvl="0">
      <w:lvlJc w:val="left"/>
      <w:lvlText w:val="(%1)"/>
      <w:numFmt w:val="lowerLetter"/>
      <w:start w:val="2"/>
    </w:lvl>
  </w:abstractNum>
  <w:abstractNum w:abstractNumId="69">
    <w:nsid w:val="A0382C5"/>
    <w:multiLevelType w:val="hybridMultilevel"/>
    <w:lvl w:ilvl="0">
      <w:lvlJc w:val="left"/>
      <w:lvlText w:val="%1."/>
      <w:numFmt w:val="decimal"/>
      <w:start w:val="12"/>
    </w:lvl>
  </w:abstractNum>
  <w:abstractNum w:abstractNumId="70">
    <w:nsid w:val="8F2B15E"/>
    <w:multiLevelType w:val="hybridMultilevel"/>
    <w:lvl w:ilvl="0">
      <w:lvlJc w:val="left"/>
      <w:lvlText w:val="%1."/>
      <w:numFmt w:val="decimal"/>
      <w:start w:val="17"/>
    </w:lvl>
    <w:lvl w:ilvl="1">
      <w:lvlJc w:val="left"/>
      <w:lvlText w:val="(%2)"/>
      <w:numFmt w:val="lowerLetter"/>
      <w:start w:val="1"/>
    </w:lvl>
  </w:abstractNum>
  <w:abstractNum w:abstractNumId="71">
    <w:nsid w:val="1A32234B"/>
    <w:multiLevelType w:val="hybridMultilevel"/>
    <w:lvl w:ilvl="0">
      <w:lvlJc w:val="left"/>
      <w:lvlText w:val="%1"/>
      <w:numFmt w:val="decimal"/>
      <w:start w:val="1"/>
    </w:lvl>
    <w:lvl w:ilvl="1">
      <w:lvlJc w:val="left"/>
      <w:lvlText w:val="(%2)"/>
      <w:numFmt w:val="lowerLetter"/>
      <w:start w:val="6"/>
    </w:lvl>
  </w:abstractNum>
  <w:abstractNum w:abstractNumId="72">
    <w:nsid w:val="3B0FD379"/>
    <w:multiLevelType w:val="hybridMultilevel"/>
    <w:lvl w:ilvl="0">
      <w:lvlJc w:val="left"/>
      <w:lvlText w:val="%1."/>
      <w:numFmt w:val="decimal"/>
      <w:start w:val="18"/>
    </w:lvl>
    <w:lvl w:ilvl="1">
      <w:lvlJc w:val="left"/>
      <w:lvlText w:val="%2"/>
      <w:numFmt w:val="lowerLetter"/>
      <w:start w:val="1"/>
    </w:lvl>
  </w:abstractNum>
  <w:abstractNum w:abstractNumId="73">
    <w:nsid w:val="68EB2F63"/>
    <w:multiLevelType w:val="hybridMultilevel"/>
    <w:lvl w:ilvl="0">
      <w:lvlJc w:val="left"/>
      <w:lvlText w:val="1"/>
      <w:numFmt w:val="bullet"/>
      <w:start w:val="1"/>
    </w:lvl>
  </w:abstractNum>
  <w:abstractNum w:abstractNumId="74">
    <w:nsid w:val="4962813B"/>
    <w:multiLevelType w:val="hybridMultilevel"/>
    <w:lvl w:ilvl="0">
      <w:lvlJc w:val="left"/>
      <w:lvlText w:val="2"/>
      <w:numFmt w:val="bullet"/>
      <w:start w:val="1"/>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1."/>
      <w:numFmt w:val="decimal"/>
      <w:start w:val="2"/>
    </w:lvl>
  </w:abstractNum>
  <w:abstractNum w:abstractNumId="77">
    <w:nsid w:val="14330624"/>
    <w:multiLevelType w:val="hybridMultilevel"/>
    <w:lvl w:ilvl="0">
      <w:lvlJc w:val="left"/>
      <w:lvlText w:val="%1."/>
      <w:numFmt w:val="decimal"/>
      <w:start w:val="5"/>
    </w:lvl>
  </w:abstractNum>
  <w:abstractNum w:abstractNumId="78">
    <w:nsid w:val="7FFFCA11"/>
    <w:multiLevelType w:val="hybridMultilevel"/>
    <w:lvl w:ilvl="0">
      <w:lvlJc w:val="left"/>
      <w:lvlText w:val="%1:"/>
      <w:numFmt w:val="lowerLetter"/>
      <w:start w:val="29"/>
    </w:lvl>
  </w:abstractNum>
  <w:abstractNum w:abstractNumId="79">
    <w:nsid w:val="1A27709E"/>
    <w:multiLevelType w:val="hybridMultilevel"/>
    <w:lvl w:ilvl="0">
      <w:lvlJc w:val="left"/>
      <w:lvlText w:val="%1:"/>
      <w:numFmt w:val="lowerLetter"/>
      <w:start w:val="29"/>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lowerRoman"/>
      <w:start w:val="1"/>
    </w:lvl>
  </w:abstractNum>
  <w:abstractNum w:abstractNumId="82">
    <w:nsid w:val="7FB7E0AA"/>
    <w:multiLevelType w:val="hybridMultilevel"/>
    <w:lvl w:ilvl="0">
      <w:lvlJc w:val="left"/>
      <w:lvlText w:val="B"/>
      <w:numFmt w:val="bullet"/>
      <w:start w:val="1"/>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2019-12-10T09:25:29Z</dcterms:created>
  <dcterms:modified xsi:type="dcterms:W3CDTF">2019-12-10T09:25:29Z</dcterms:modified>
</cp:coreProperties>
</file>