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xml:space="preserve">Date of Report (Date of earliest event reported): </w:t>
      </w:r>
      <w:r>
        <w:rPr>
          <w:rFonts w:ascii="Arial" w:cs="Arial" w:eastAsia="Arial" w:hAnsi="Arial"/>
          <w:sz w:val="21"/>
          <w:szCs w:val="21"/>
          <w:b w:val="1"/>
          <w:bCs w:val="1"/>
          <w:color w:val="auto"/>
        </w:rPr>
        <w:t>February 12, 2025</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BIOGEN INC.</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958" w:right="339" w:bottom="1440" w:gutter="0" w:footer="0" w:header="0"/>
        </w:sectPr>
      </w:pPr>
    </w:p>
    <w:p>
      <w:pPr>
        <w:spacing w:after="0" w:line="112" w:lineRule="exact"/>
        <w:rPr>
          <w:sz w:val="24"/>
          <w:szCs w:val="24"/>
          <w:color w:val="auto"/>
        </w:rPr>
      </w:pPr>
    </w:p>
    <w:p>
      <w:pPr>
        <w:ind w:left="19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0-19311</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33-0112644</w:t>
      </w:r>
    </w:p>
    <w:p>
      <w:pPr>
        <w:spacing w:after="0" w:line="54" w:lineRule="exact"/>
        <w:rPr>
          <w:sz w:val="24"/>
          <w:szCs w:val="24"/>
          <w:color w:val="auto"/>
        </w:rPr>
      </w:pPr>
    </w:p>
    <w:p>
      <w:pPr>
        <w:sectPr>
          <w:pgSz w:w="11900" w:h="16838" w:orient="portrait"/>
          <w:cols w:equalWidth="0" w:num="3">
            <w:col w:w="4980" w:space="720"/>
            <w:col w:w="2420" w:space="720"/>
            <w:col w:w="2400"/>
          </w:cols>
          <w:pgMar w:left="320" w:top="958" w:right="339" w:bottom="1440" w:gutter="0" w:footer="0" w:header="0"/>
          <w:type w:val="continuous"/>
        </w:sectPr>
      </w:pPr>
    </w:p>
    <w:p>
      <w:pPr>
        <w:ind w:left="1040"/>
        <w:spacing w:after="0"/>
        <w:rPr>
          <w:sz w:val="20"/>
          <w:szCs w:val="20"/>
          <w:color w:val="auto"/>
        </w:rPr>
      </w:pPr>
      <w:r>
        <w:rPr>
          <w:rFonts w:ascii="Arial" w:cs="Arial" w:eastAsia="Arial" w:hAnsi="Arial"/>
          <w:sz w:val="13"/>
          <w:szCs w:val="13"/>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3"/>
          <w:szCs w:val="13"/>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200" w:lineRule="exact"/>
        <w:rPr>
          <w:sz w:val="24"/>
          <w:szCs w:val="24"/>
          <w:color w:val="auto"/>
        </w:rPr>
      </w:pPr>
    </w:p>
    <w:p>
      <w:pPr>
        <w:sectPr>
          <w:pgSz w:w="11900" w:h="16838" w:orient="portrait"/>
          <w:cols w:equalWidth="0" w:num="3">
            <w:col w:w="4460" w:space="720"/>
            <w:col w:w="2380" w:space="720"/>
            <w:col w:w="2960"/>
          </w:cols>
          <w:pgMar w:left="320" w:top="958" w:right="339" w:bottom="1440" w:gutter="0" w:footer="0" w:header="0"/>
          <w:type w:val="continuous"/>
        </w:sectPr>
      </w:pP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225 Binney Street, Cambridge, Massachusetts 02142</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679-2000</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5" w:lineRule="exact"/>
        <w:rPr>
          <w:sz w:val="24"/>
          <w:szCs w:val="24"/>
          <w:color w:val="auto"/>
        </w:rPr>
      </w:pPr>
    </w:p>
    <w:p>
      <w:pPr>
        <w:ind w:right="320"/>
        <w:spacing w:after="0" w:line="29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Written communications pursuant to Rule 425 under the Securities Act (17 CFR 230.425)</w:t>
      </w:r>
    </w:p>
    <w:p>
      <w:pPr>
        <w:spacing w:after="0" w:line="45" w:lineRule="exact"/>
        <w:rPr>
          <w:rFonts w:ascii="MS PGothic" w:cs="MS PGothic" w:eastAsia="MS PGothic" w:hAnsi="MS PGothic"/>
          <w:sz w:val="21"/>
          <w:szCs w:val="21"/>
          <w:color w:val="auto"/>
        </w:rPr>
      </w:pPr>
    </w:p>
    <w:p>
      <w:pPr>
        <w:ind w:left="360" w:hanging="357"/>
        <w:spacing w:after="0" w:line="232" w:lineRule="auto"/>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Soliciting material pursuant to Rule 14a-12 under the Exchange Act (17 CFR 240.14a-12)</w:t>
      </w:r>
    </w:p>
    <w:p>
      <w:pPr>
        <w:spacing w:after="0" w:line="36" w:lineRule="exact"/>
        <w:rPr>
          <w:rFonts w:ascii="MS PGothic" w:cs="MS PGothic" w:eastAsia="MS PGothic" w:hAnsi="MS PGothic"/>
          <w:sz w:val="21"/>
          <w:szCs w:val="21"/>
          <w:color w:val="auto"/>
        </w:rPr>
      </w:pPr>
    </w:p>
    <w:p>
      <w:pPr>
        <w:ind w:left="360" w:hanging="357"/>
        <w:spacing w:after="0" w:line="232" w:lineRule="auto"/>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Pre-commencement communications pursuant to Rule 14d-2(b) under the Exchange Act (17 CFR 240.14d-2(b))</w:t>
      </w:r>
    </w:p>
    <w:p>
      <w:pPr>
        <w:spacing w:after="0" w:line="40" w:lineRule="exact"/>
        <w:rPr>
          <w:rFonts w:ascii="MS PGothic" w:cs="MS PGothic" w:eastAsia="MS PGothic" w:hAnsi="MS PGothic"/>
          <w:sz w:val="21"/>
          <w:szCs w:val="21"/>
          <w:color w:val="auto"/>
        </w:rPr>
      </w:pPr>
    </w:p>
    <w:p>
      <w:pPr>
        <w:ind w:left="360" w:hanging="357"/>
        <w:spacing w:after="0"/>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Pre-commencement communications pursuant to Rule 13e-4(c) under the Exchange Act (17 CFR 240.13e-4(c))</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7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Title of each class</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Trading Symbol(s)</w:t>
            </w:r>
          </w:p>
        </w:tc>
        <w:tc>
          <w:tcPr>
            <w:tcW w:w="3680" w:type="dxa"/>
            <w:vAlign w:val="bottom"/>
          </w:tcPr>
          <w:p>
            <w:pPr>
              <w:ind w:left="460"/>
              <w:spacing w:after="0"/>
              <w:rPr>
                <w:sz w:val="20"/>
                <w:szCs w:val="20"/>
                <w:color w:val="auto"/>
              </w:rPr>
            </w:pPr>
            <w:r>
              <w:rPr>
                <w:rFonts w:ascii="Arial" w:cs="Arial" w:eastAsia="Arial" w:hAnsi="Arial"/>
                <w:sz w:val="14"/>
                <w:szCs w:val="14"/>
                <w:color w:val="auto"/>
              </w:rPr>
              <w:t>Name of each exchange on which registered</w:t>
            </w:r>
          </w:p>
        </w:tc>
      </w:tr>
      <w:tr>
        <w:trPr>
          <w:trHeight w:val="235"/>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Common Stock, $0.0005 par value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BIIB</w:t>
            </w:r>
          </w:p>
        </w:tc>
        <w:tc>
          <w:tcPr>
            <w:tcW w:w="100" w:type="dxa"/>
            <w:vAlign w:val="bottom"/>
          </w:tcPr>
          <w:p>
            <w:pPr>
              <w:spacing w:after="0"/>
              <w:rPr>
                <w:sz w:val="20"/>
                <w:szCs w:val="20"/>
                <w:color w:val="auto"/>
              </w:rPr>
            </w:pPr>
          </w:p>
        </w:tc>
        <w:tc>
          <w:tcPr>
            <w:tcW w:w="3680" w:type="dxa"/>
            <w:vAlign w:val="bottom"/>
            <w:tcBorders>
              <w:top w:val="single" w:sz="8" w:color="auto"/>
            </w:tcBorders>
          </w:tcPr>
          <w:p>
            <w:pPr>
              <w:ind w:left="460"/>
              <w:spacing w:after="0"/>
              <w:rPr>
                <w:sz w:val="20"/>
                <w:szCs w:val="20"/>
                <w:color w:val="auto"/>
              </w:rPr>
            </w:pPr>
            <w:r>
              <w:rPr>
                <w:rFonts w:ascii="Arial" w:cs="Arial" w:eastAsia="Arial" w:hAnsi="Arial"/>
                <w:sz w:val="17"/>
                <w:szCs w:val="17"/>
                <w:b w:val="1"/>
                <w:bCs w:val="1"/>
                <w:color w:val="auto"/>
              </w:rPr>
              <w:t>The Nasdaq Global Select Market</w:t>
            </w:r>
          </w:p>
        </w:tc>
      </w:tr>
    </w:tbl>
    <w:p>
      <w:pPr>
        <w:spacing w:after="0" w:line="288" w:lineRule="exact"/>
        <w:rPr>
          <w:sz w:val="24"/>
          <w:szCs w:val="24"/>
          <w:color w:val="auto"/>
        </w:rPr>
      </w:pPr>
    </w:p>
    <w:p>
      <w:pPr>
        <w:ind w:right="280"/>
        <w:spacing w:after="0" w:line="291"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2" w:lineRule="exact"/>
        <w:rPr>
          <w:sz w:val="24"/>
          <w:szCs w:val="24"/>
          <w:color w:val="auto"/>
        </w:rPr>
      </w:pPr>
    </w:p>
    <w:p>
      <w:pPr>
        <w:ind w:left="360" w:hanging="357"/>
        <w:spacing w:after="0"/>
        <w:tabs>
          <w:tab w:leader="none" w:pos="360" w:val="left"/>
        </w:tabs>
        <w:numPr>
          <w:ilvl w:val="0"/>
          <w:numId w:val="2"/>
        </w:numPr>
        <w:rPr>
          <w:rFonts w:ascii="MS PGothic" w:cs="MS PGothic" w:eastAsia="MS PGothic" w:hAnsi="MS PGothic"/>
          <w:sz w:val="21"/>
          <w:szCs w:val="21"/>
          <w:color w:val="auto"/>
        </w:rPr>
      </w:pPr>
      <w:r>
        <w:rPr>
          <w:rFonts w:ascii="Arial" w:cs="Arial" w:eastAsia="Arial" w:hAnsi="Arial"/>
          <w:sz w:val="17"/>
          <w:szCs w:val="17"/>
          <w:color w:val="auto"/>
        </w:rPr>
        <w:t>Emerging growth company</w:t>
      </w:r>
    </w:p>
    <w:p>
      <w:pPr>
        <w:spacing w:after="0" w:line="223" w:lineRule="exact"/>
        <w:rPr>
          <w:sz w:val="24"/>
          <w:szCs w:val="24"/>
          <w:color w:val="auto"/>
        </w:rPr>
      </w:pPr>
    </w:p>
    <w:p>
      <w:pPr>
        <w:ind w:right="320"/>
        <w:spacing w:after="0" w:line="25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643255</wp:posOffset>
            </wp:positionV>
            <wp:extent cx="71634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21"/>
          <w:szCs w:val="21"/>
          <w:b w:val="1"/>
          <w:bCs w:val="1"/>
          <w:color w:val="1C5A7D"/>
        </w:rPr>
        <w:t>Item 2.02</w:t>
      </w:r>
      <w:r>
        <w:rPr>
          <w:sz w:val="20"/>
          <w:szCs w:val="20"/>
          <w:color w:val="auto"/>
        </w:rPr>
        <w:tab/>
      </w:r>
      <w:r>
        <w:rPr>
          <w:rFonts w:ascii="Arial" w:cs="Arial" w:eastAsia="Arial" w:hAnsi="Arial"/>
          <w:sz w:val="20"/>
          <w:szCs w:val="20"/>
          <w:b w:val="1"/>
          <w:bCs w:val="1"/>
          <w:color w:val="1C5A7D"/>
        </w:rPr>
        <w:t>Results of Operations and Financial Condition.</w:t>
      </w:r>
    </w:p>
    <w:p>
      <w:pPr>
        <w:spacing w:after="0" w:line="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12, 2025, Biogen Inc. issued a press release announcing its results of operations and financial condition for the fourth quarter and year ended December 31, 2024. A copy of the press release is furnished as Exhibit 99.1 and is incorporated herein by reference.</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press release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w:t>
      </w:r>
    </w:p>
    <w:p>
      <w:pPr>
        <w:spacing w:after="0" w:line="206"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1C5A7D"/>
        </w:rPr>
        <w:t>Item 9.01</w:t>
      </w:r>
      <w:r>
        <w:rPr>
          <w:sz w:val="20"/>
          <w:szCs w:val="20"/>
          <w:color w:val="auto"/>
        </w:rPr>
        <w:tab/>
      </w:r>
      <w:r>
        <w:rPr>
          <w:rFonts w:ascii="Arial" w:cs="Arial" w:eastAsia="Arial" w:hAnsi="Arial"/>
          <w:sz w:val="20"/>
          <w:szCs w:val="20"/>
          <w:b w:val="1"/>
          <w:bCs w:val="1"/>
          <w:color w:val="1C5A7D"/>
        </w:rPr>
        <w:t>Financial Statements and Exhibits.</w:t>
      </w:r>
    </w:p>
    <w:p>
      <w:pPr>
        <w:spacing w:after="0" w:line="232" w:lineRule="exact"/>
        <w:rPr>
          <w:sz w:val="20"/>
          <w:szCs w:val="20"/>
          <w:color w:val="auto"/>
        </w:rPr>
      </w:pPr>
    </w:p>
    <w:p>
      <w:pPr>
        <w:ind w:left="420" w:hanging="417"/>
        <w:spacing w:after="0"/>
        <w:tabs>
          <w:tab w:leader="none" w:pos="4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exhibits listed below are furnished as part of this Current Report on Form 8-K.</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7"/>
                <w:szCs w:val="17"/>
                <w:color w:val="auto"/>
                <w:w w:val="99"/>
              </w:rPr>
              <w:t>Exhibit No.</w:t>
            </w:r>
          </w:p>
        </w:tc>
        <w:tc>
          <w:tcPr>
            <w:tcW w:w="1340" w:type="dxa"/>
            <w:vAlign w:val="bottom"/>
          </w:tcPr>
          <w:p>
            <w:pPr>
              <w:spacing w:after="0"/>
              <w:rPr>
                <w:sz w:val="16"/>
                <w:szCs w:val="16"/>
                <w:color w:val="auto"/>
              </w:rPr>
            </w:pPr>
          </w:p>
        </w:tc>
        <w:tc>
          <w:tcPr>
            <w:tcW w:w="8420" w:type="dxa"/>
            <w:vAlign w:val="bottom"/>
            <w:gridSpan w:val="3"/>
          </w:tcPr>
          <w:p>
            <w:pPr>
              <w:spacing w:after="0"/>
              <w:rPr>
                <w:sz w:val="20"/>
                <w:szCs w:val="20"/>
                <w:color w:val="auto"/>
              </w:rPr>
            </w:pPr>
            <w:r>
              <w:rPr>
                <w:rFonts w:ascii="Arial" w:cs="Arial" w:eastAsia="Arial" w:hAnsi="Arial"/>
                <w:sz w:val="17"/>
                <w:szCs w:val="17"/>
                <w:color w:val="auto"/>
              </w:rPr>
              <w:t>Description</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00"/>
        </w:trPr>
        <w:tc>
          <w:tcPr>
            <w:tcW w:w="6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99.1</w:t>
            </w:r>
          </w:p>
        </w:tc>
        <w:tc>
          <w:tcPr>
            <w:tcW w:w="1340" w:type="dxa"/>
            <w:vAlign w:val="bottom"/>
          </w:tcPr>
          <w:p>
            <w:pPr>
              <w:spacing w:after="0"/>
              <w:rPr>
                <w:sz w:val="17"/>
                <w:szCs w:val="17"/>
                <w:color w:val="auto"/>
              </w:rPr>
            </w:pPr>
          </w:p>
        </w:tc>
        <w:tc>
          <w:tcPr>
            <w:tcW w:w="8420" w:type="dxa"/>
            <w:vAlign w:val="bottom"/>
            <w:gridSpan w:val="3"/>
          </w:tcPr>
          <w:p>
            <w:pPr>
              <w:spacing w:after="0"/>
              <w:rPr>
                <w:sz w:val="20"/>
                <w:szCs w:val="20"/>
                <w:color w:val="auto"/>
              </w:rPr>
            </w:pPr>
            <w:r>
              <w:rPr>
                <w:rFonts w:ascii="Arial" w:cs="Arial" w:eastAsia="Arial" w:hAnsi="Arial"/>
                <w:sz w:val="17"/>
                <w:szCs w:val="17"/>
                <w:color w:val="0000FF"/>
              </w:rPr>
              <w:t>Biogen's press release dated February 12, 2025</w:t>
            </w:r>
          </w:p>
        </w:tc>
      </w:tr>
      <w:tr>
        <w:trPr>
          <w:trHeight w:val="20"/>
        </w:trPr>
        <w:tc>
          <w:tcPr>
            <w:tcW w:w="14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41"/>
        </w:trPr>
        <w:tc>
          <w:tcPr>
            <w:tcW w:w="1480" w:type="dxa"/>
            <w:vAlign w:val="bottom"/>
            <w:gridSpan w:val="2"/>
          </w:tcPr>
          <w:p>
            <w:pPr>
              <w:ind w:left="640"/>
              <w:spacing w:after="0"/>
              <w:rPr>
                <w:sz w:val="20"/>
                <w:szCs w:val="20"/>
                <w:color w:val="auto"/>
              </w:rPr>
            </w:pPr>
            <w:r>
              <w:rPr>
                <w:rFonts w:ascii="Arial" w:cs="Arial" w:eastAsia="Arial" w:hAnsi="Arial"/>
                <w:sz w:val="17"/>
                <w:szCs w:val="17"/>
                <w:color w:val="auto"/>
              </w:rPr>
              <w:t>104</w:t>
            </w:r>
          </w:p>
        </w:tc>
        <w:tc>
          <w:tcPr>
            <w:tcW w:w="134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155"/>
        </w:trPr>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1C5A7D"/>
        </w:rPr>
        <w:t>SIGNATURES</w:t>
      </w:r>
    </w:p>
    <w:p>
      <w:pPr>
        <w:spacing w:after="0" w:line="234"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BIOGEN INC.</w:t>
      </w:r>
    </w:p>
    <w:p>
      <w:pPr>
        <w:spacing w:after="0" w:line="200" w:lineRule="exact"/>
        <w:rPr>
          <w:sz w:val="20"/>
          <w:szCs w:val="20"/>
          <w:color w:val="auto"/>
        </w:rPr>
      </w:pPr>
    </w:p>
    <w:p>
      <w:pPr>
        <w:spacing w:after="0" w:line="344" w:lineRule="exact"/>
        <w:rPr>
          <w:sz w:val="20"/>
          <w:szCs w:val="20"/>
          <w:color w:val="auto"/>
        </w:rPr>
      </w:pPr>
    </w:p>
    <w:tbl>
      <w:tblPr>
        <w:tblLayout w:type="fixed"/>
        <w:tblInd w:w="5900" w:type="dxa"/>
        <w:tblCellMar>
          <w:top w:w="0" w:type="dxa"/>
          <w:left w:w="0" w:type="dxa"/>
          <w:bottom w:w="0" w:type="dxa"/>
          <w:right w:w="0" w:type="dxa"/>
        </w:tblCellMar>
      </w:tblPr>
      <w:tr>
        <w:trPr>
          <w:trHeight w:val="224"/>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/s/ Wendell Taylor</w:t>
            </w:r>
          </w:p>
        </w:tc>
      </w:tr>
      <w:tr>
        <w:trPr>
          <w:trHeight w:val="209"/>
        </w:trPr>
        <w:tc>
          <w:tcPr>
            <w:tcW w:w="4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Wendell Taylor</w:t>
            </w:r>
          </w:p>
        </w:tc>
      </w:tr>
      <w:tr>
        <w:trPr>
          <w:trHeight w:val="226"/>
        </w:trPr>
        <w:tc>
          <w:tcPr>
            <w:tcW w:w="4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Secretary</w:t>
            </w:r>
          </w:p>
        </w:tc>
      </w:tr>
    </w:tbl>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12, 2025</w:t>
      </w:r>
    </w:p>
    <w:p>
      <w:pPr>
        <w:sectPr>
          <w:pgSz w:w="11900" w:h="16838" w:orient="portrait"/>
          <w:cols w:equalWidth="0" w:num="1">
            <w:col w:w="11240"/>
          </w:cols>
          <w:pgMar w:left="320" w:top="8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4213860</wp:posOffset>
            </wp:positionH>
            <wp:positionV relativeFrom="page">
              <wp:posOffset>556895</wp:posOffset>
            </wp:positionV>
            <wp:extent cx="119126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86080"/>
                    </a:xfrm>
                    <a:prstGeom prst="rect">
                      <a:avLst/>
                    </a:prstGeom>
                    <a:noFill/>
                  </pic:spPr>
                </pic:pic>
              </a:graphicData>
            </a:graphic>
          </wp:anchor>
        </w:drawing>
        <w:t>Press Release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Cambridge, Mass. – Feb. 12, 2025</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Biogen reports fourth quarter and full year 2024 results and provides full year 2025 financial guidance</w:t>
      </w:r>
    </w:p>
    <w:p>
      <w:pPr>
        <w:spacing w:after="0" w:line="234" w:lineRule="exact"/>
        <w:rPr>
          <w:sz w:val="20"/>
          <w:szCs w:val="20"/>
          <w:color w:val="auto"/>
        </w:rPr>
      </w:pPr>
    </w:p>
    <w:p>
      <w:pPr>
        <w:ind w:right="220"/>
        <w:spacing w:after="0" w:line="286" w:lineRule="auto"/>
        <w:rPr>
          <w:sz w:val="20"/>
          <w:szCs w:val="20"/>
          <w:color w:val="auto"/>
        </w:rPr>
      </w:pPr>
      <w:r>
        <w:rPr>
          <w:rFonts w:ascii="Arial" w:cs="Arial" w:eastAsia="Arial" w:hAnsi="Arial"/>
          <w:sz w:val="19"/>
          <w:szCs w:val="19"/>
          <w:b w:val="1"/>
          <w:bCs w:val="1"/>
          <w:color w:val="0070C0"/>
        </w:rPr>
        <w:t>Fourth quarter 2024 total revenue $2.5 billion, 3% growth YoY; GAAP diluted EPS $1.83, 7% growth YoY; Non-GAAP diluted EPS $3.44, 17% growth YoY</w:t>
      </w:r>
    </w:p>
    <w:p>
      <w:pPr>
        <w:spacing w:after="0" w:line="152" w:lineRule="exact"/>
        <w:rPr>
          <w:sz w:val="20"/>
          <w:szCs w:val="20"/>
          <w:color w:val="auto"/>
        </w:rPr>
      </w:pPr>
    </w:p>
    <w:p>
      <w:pPr>
        <w:ind w:right="80"/>
        <w:spacing w:after="0" w:line="286" w:lineRule="auto"/>
        <w:rPr>
          <w:sz w:val="20"/>
          <w:szCs w:val="20"/>
          <w:color w:val="auto"/>
        </w:rPr>
      </w:pPr>
      <w:r>
        <w:rPr>
          <w:rFonts w:ascii="Arial" w:cs="Arial" w:eastAsia="Arial" w:hAnsi="Arial"/>
          <w:sz w:val="19"/>
          <w:szCs w:val="19"/>
          <w:b w:val="1"/>
          <w:bCs w:val="1"/>
          <w:color w:val="0070C0"/>
        </w:rPr>
        <w:t>Full year 2024 total revenue $9.7 billion, 2% decline YoY; GAAP diluted EPS $11.18, 40% growth YoY; Non-GAAP diluted EPS $16.47, 12% growth YoY</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0070C0"/>
        </w:rPr>
        <w:t>Continued progress in commercial portfolio, building on a new foundation with the goal of long-term sustainable growth</w:t>
      </w:r>
    </w:p>
    <w:p>
      <w:pPr>
        <w:spacing w:after="0" w:line="79" w:lineRule="exact"/>
        <w:rPr>
          <w:sz w:val="20"/>
          <w:szCs w:val="20"/>
          <w:color w:val="auto"/>
        </w:rPr>
      </w:pPr>
    </w:p>
    <w:p>
      <w:pPr>
        <w:ind w:left="460" w:right="440" w:hanging="301"/>
        <w:spacing w:after="0" w:line="275" w:lineRule="auto"/>
        <w:tabs>
          <w:tab w:leader="none" w:pos="410" w:val="left"/>
        </w:tabs>
        <w:numPr>
          <w:ilvl w:val="0"/>
          <w:numId w:val="4"/>
        </w:numPr>
        <w:rPr>
          <w:rFonts w:ascii="Arial" w:cs="Arial" w:eastAsia="Arial" w:hAnsi="Arial"/>
          <w:sz w:val="19"/>
          <w:szCs w:val="19"/>
          <w:color w:val="0070C0"/>
        </w:rPr>
      </w:pPr>
      <w:r>
        <w:rPr>
          <w:rFonts w:ascii="Arial" w:cs="Arial" w:eastAsia="Arial" w:hAnsi="Arial"/>
          <w:sz w:val="19"/>
          <w:szCs w:val="19"/>
          <w:color w:val="0070C0"/>
        </w:rPr>
        <w:t>LEQEMBI fourth quarter global in-market sales of approximately $87 million, including U.S. in-market sales of approximately $50 million, representing good continued sequential growth</w:t>
      </w:r>
    </w:p>
    <w:p>
      <w:pPr>
        <w:spacing w:after="0" w:line="16" w:lineRule="exact"/>
        <w:rPr>
          <w:rFonts w:ascii="Arial" w:cs="Arial" w:eastAsia="Arial" w:hAnsi="Arial"/>
          <w:sz w:val="19"/>
          <w:szCs w:val="19"/>
          <w:color w:val="0070C0"/>
        </w:rPr>
      </w:pPr>
    </w:p>
    <w:p>
      <w:pPr>
        <w:ind w:left="420" w:hanging="261"/>
        <w:spacing w:after="0"/>
        <w:tabs>
          <w:tab w:leader="none" w:pos="420" w:val="left"/>
        </w:tabs>
        <w:numPr>
          <w:ilvl w:val="0"/>
          <w:numId w:val="4"/>
        </w:numPr>
        <w:rPr>
          <w:rFonts w:ascii="Arial" w:cs="Arial" w:eastAsia="Arial" w:hAnsi="Arial"/>
          <w:sz w:val="19"/>
          <w:szCs w:val="19"/>
          <w:color w:val="0070C0"/>
        </w:rPr>
      </w:pPr>
      <w:r>
        <w:rPr>
          <w:rFonts w:ascii="Arial" w:cs="Arial" w:eastAsia="Arial" w:hAnsi="Arial"/>
          <w:sz w:val="19"/>
          <w:szCs w:val="19"/>
          <w:color w:val="0070C0"/>
        </w:rPr>
        <w:t>Fourth quarter revenue from product launches continued to offset year-over-year decline in multiple sclerosis product revenue</w:t>
      </w:r>
    </w:p>
    <w:p>
      <w:pPr>
        <w:spacing w:after="0" w:line="91" w:lineRule="exact"/>
        <w:rPr>
          <w:rFonts w:ascii="Arial" w:cs="Arial" w:eastAsia="Arial" w:hAnsi="Arial"/>
          <w:sz w:val="19"/>
          <w:szCs w:val="19"/>
          <w:color w:val="0070C0"/>
        </w:rPr>
      </w:pPr>
    </w:p>
    <w:p>
      <w:pPr>
        <w:ind w:left="460" w:right="120" w:hanging="301"/>
        <w:spacing w:after="0" w:line="251" w:lineRule="auto"/>
        <w:tabs>
          <w:tab w:leader="none" w:pos="410" w:val="left"/>
        </w:tabs>
        <w:numPr>
          <w:ilvl w:val="0"/>
          <w:numId w:val="4"/>
        </w:numPr>
        <w:rPr>
          <w:rFonts w:ascii="Arial" w:cs="Arial" w:eastAsia="Arial" w:hAnsi="Arial"/>
          <w:sz w:val="19"/>
          <w:szCs w:val="19"/>
          <w:color w:val="0070C0"/>
        </w:rPr>
      </w:pPr>
      <w:r>
        <w:rPr>
          <w:rFonts w:ascii="Arial" w:cs="Arial" w:eastAsia="Arial" w:hAnsi="Arial"/>
          <w:sz w:val="19"/>
          <w:szCs w:val="19"/>
          <w:color w:val="0070C0"/>
        </w:rPr>
        <w:t>Global SKYCLARYS revenue of approximately $102 million in the fourth quarter showed continued strong patient growth; SKYCLARYS has nearly doubled the number of patients on therapy globally as compared to year end 2023; U.S. SKYCLARYS revenue of approximately $71 million was impacted by channel inventory and Medicare discount dynamics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0070C0"/>
        </w:rPr>
        <w:t>Advanced key development programs, supporting a late-stage pipeline with multi-billion dollar potential</w:t>
      </w:r>
    </w:p>
    <w:p>
      <w:pPr>
        <w:spacing w:after="0" w:line="79" w:lineRule="exact"/>
        <w:rPr>
          <w:sz w:val="20"/>
          <w:szCs w:val="20"/>
          <w:color w:val="auto"/>
        </w:rPr>
      </w:pPr>
    </w:p>
    <w:p>
      <w:pPr>
        <w:ind w:left="460" w:right="220" w:hanging="301"/>
        <w:spacing w:after="0" w:line="275" w:lineRule="auto"/>
        <w:tabs>
          <w:tab w:leader="none" w:pos="410" w:val="left"/>
        </w:tabs>
        <w:numPr>
          <w:ilvl w:val="0"/>
          <w:numId w:val="5"/>
        </w:numPr>
        <w:rPr>
          <w:rFonts w:ascii="Arial" w:cs="Arial" w:eastAsia="Arial" w:hAnsi="Arial"/>
          <w:sz w:val="19"/>
          <w:szCs w:val="19"/>
          <w:color w:val="0070C0"/>
        </w:rPr>
      </w:pPr>
      <w:r>
        <w:rPr>
          <w:rFonts w:ascii="Arial" w:cs="Arial" w:eastAsia="Arial" w:hAnsi="Arial"/>
          <w:sz w:val="19"/>
          <w:szCs w:val="19"/>
          <w:color w:val="0070C0"/>
        </w:rPr>
        <w:t>LEQEMBI intravenous maintenance dosing approved by FDA; subcutaneous maintenance dosing BLA filing accepted by FDA, PDUFA of August 31, 2025</w:t>
      </w:r>
    </w:p>
    <w:p>
      <w:pPr>
        <w:spacing w:after="0" w:line="16" w:lineRule="exact"/>
        <w:rPr>
          <w:rFonts w:ascii="Arial" w:cs="Arial" w:eastAsia="Arial" w:hAnsi="Arial"/>
          <w:sz w:val="19"/>
          <w:szCs w:val="19"/>
          <w:color w:val="0070C0"/>
        </w:rPr>
      </w:pPr>
    </w:p>
    <w:p>
      <w:pPr>
        <w:ind w:left="460" w:right="460" w:hanging="301"/>
        <w:spacing w:after="0" w:line="275" w:lineRule="auto"/>
        <w:tabs>
          <w:tab w:leader="none" w:pos="410" w:val="left"/>
        </w:tabs>
        <w:numPr>
          <w:ilvl w:val="0"/>
          <w:numId w:val="5"/>
        </w:numPr>
        <w:rPr>
          <w:rFonts w:ascii="Arial" w:cs="Arial" w:eastAsia="Arial" w:hAnsi="Arial"/>
          <w:sz w:val="19"/>
          <w:szCs w:val="19"/>
          <w:color w:val="0070C0"/>
        </w:rPr>
      </w:pPr>
      <w:r>
        <w:rPr>
          <w:rFonts w:ascii="Arial" w:cs="Arial" w:eastAsia="Arial" w:hAnsi="Arial"/>
          <w:sz w:val="19"/>
          <w:szCs w:val="19"/>
          <w:color w:val="0070C0"/>
        </w:rPr>
        <w:t>Dapirolizumab pegol second Phase 3 study initiated in systemic lupus erythematosus; Detailed results from the positive first Phase 3 study presented at the American College of Rheumatology annual meeting</w:t>
      </w:r>
    </w:p>
    <w:p>
      <w:pPr>
        <w:spacing w:after="0" w:line="29" w:lineRule="exact"/>
        <w:rPr>
          <w:rFonts w:ascii="Arial" w:cs="Arial" w:eastAsia="Arial" w:hAnsi="Arial"/>
          <w:sz w:val="19"/>
          <w:szCs w:val="19"/>
          <w:color w:val="0070C0"/>
        </w:rPr>
      </w:pPr>
    </w:p>
    <w:p>
      <w:pPr>
        <w:ind w:left="420" w:hanging="261"/>
        <w:spacing w:after="0"/>
        <w:tabs>
          <w:tab w:leader="none" w:pos="420" w:val="left"/>
        </w:tabs>
        <w:numPr>
          <w:ilvl w:val="0"/>
          <w:numId w:val="5"/>
        </w:numPr>
        <w:rPr>
          <w:rFonts w:ascii="Arial" w:cs="Arial" w:eastAsia="Arial" w:hAnsi="Arial"/>
          <w:sz w:val="19"/>
          <w:szCs w:val="19"/>
          <w:color w:val="0070C0"/>
        </w:rPr>
      </w:pPr>
      <w:r>
        <w:rPr>
          <w:rFonts w:ascii="Arial" w:cs="Arial" w:eastAsia="Arial" w:hAnsi="Arial"/>
          <w:sz w:val="19"/>
          <w:szCs w:val="19"/>
          <w:color w:val="0070C0"/>
        </w:rPr>
        <w:t>Nusinersen (SPINRAZA) higher dose regimen for SMA filings accepted by FDA and EMA; FDA PDUFA of September 22, 2025</w:t>
      </w:r>
    </w:p>
    <w:p>
      <w:pPr>
        <w:spacing w:after="0" w:line="79" w:lineRule="exact"/>
        <w:rPr>
          <w:rFonts w:ascii="Arial" w:cs="Arial" w:eastAsia="Arial" w:hAnsi="Arial"/>
          <w:sz w:val="19"/>
          <w:szCs w:val="19"/>
          <w:color w:val="0070C0"/>
        </w:rPr>
      </w:pPr>
    </w:p>
    <w:p>
      <w:pPr>
        <w:ind w:left="420" w:hanging="261"/>
        <w:spacing w:after="0"/>
        <w:tabs>
          <w:tab w:leader="none" w:pos="420" w:val="left"/>
        </w:tabs>
        <w:numPr>
          <w:ilvl w:val="0"/>
          <w:numId w:val="5"/>
        </w:numPr>
        <w:rPr>
          <w:rFonts w:ascii="Arial" w:cs="Arial" w:eastAsia="Arial" w:hAnsi="Arial"/>
          <w:sz w:val="19"/>
          <w:szCs w:val="19"/>
          <w:color w:val="0070C0"/>
        </w:rPr>
      </w:pPr>
      <w:r>
        <w:rPr>
          <w:rFonts w:ascii="Arial" w:cs="Arial" w:eastAsia="Arial" w:hAnsi="Arial"/>
          <w:sz w:val="19"/>
          <w:szCs w:val="19"/>
          <w:color w:val="0070C0"/>
        </w:rPr>
        <w:t>Felzartamab granted orphan drug designation in E.U. in solid organ transplantation and IgA nephropathy</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0070C0"/>
        </w:rPr>
        <w:t>Full year 2025 financial guidance: Non-GAAP diluted EPS expected between $15.25 and $16.25</w:t>
      </w:r>
    </w:p>
    <w:p>
      <w:pPr>
        <w:spacing w:after="0" w:line="79" w:lineRule="exact"/>
        <w:rPr>
          <w:sz w:val="20"/>
          <w:szCs w:val="20"/>
          <w:color w:val="auto"/>
        </w:rPr>
      </w:pPr>
    </w:p>
    <w:p>
      <w:pPr>
        <w:ind w:left="420" w:hanging="261"/>
        <w:spacing w:after="0"/>
        <w:tabs>
          <w:tab w:leader="none" w:pos="420" w:val="left"/>
        </w:tabs>
        <w:numPr>
          <w:ilvl w:val="0"/>
          <w:numId w:val="6"/>
        </w:numPr>
        <w:rPr>
          <w:rFonts w:ascii="Arial" w:cs="Arial" w:eastAsia="Arial" w:hAnsi="Arial"/>
          <w:sz w:val="19"/>
          <w:szCs w:val="19"/>
          <w:color w:val="0070C0"/>
        </w:rPr>
      </w:pPr>
      <w:r>
        <w:rPr>
          <w:rFonts w:ascii="Arial" w:cs="Arial" w:eastAsia="Arial" w:hAnsi="Arial"/>
          <w:sz w:val="19"/>
          <w:szCs w:val="19"/>
          <w:color w:val="0070C0"/>
        </w:rPr>
        <w:t>Expect full year 2025 total revenue to decline by a mid-single digit percentage at constant currency versus full year 2024</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Biogen Inc. (NASDAQ: BIIB) today reported fourth quarter and full year 2024 financial results. </w:t>
      </w:r>
      <w:r>
        <w:rPr>
          <w:rFonts w:ascii="Arial" w:cs="Arial" w:eastAsia="Arial" w:hAnsi="Arial"/>
          <w:sz w:val="19"/>
          <w:szCs w:val="19"/>
          <w:color w:val="auto"/>
        </w:rPr>
        <w:t>Commenting on the results,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President and Chief Executive Officer Christopher A. Viehbacher said:</w:t>
      </w:r>
    </w:p>
    <w:p>
      <w:pPr>
        <w:spacing w:after="0" w:line="216" w:lineRule="exact"/>
        <w:rPr>
          <w:sz w:val="20"/>
          <w:szCs w:val="20"/>
          <w:color w:val="auto"/>
        </w:rPr>
      </w:pPr>
    </w:p>
    <w:p>
      <w:pPr>
        <w:ind w:right="180"/>
        <w:spacing w:after="0"/>
        <w:rPr>
          <w:sz w:val="20"/>
          <w:szCs w:val="20"/>
          <w:color w:val="auto"/>
        </w:rPr>
      </w:pPr>
      <w:r>
        <w:rPr>
          <w:rFonts w:ascii="Arial" w:cs="Arial" w:eastAsia="Arial" w:hAnsi="Arial"/>
          <w:sz w:val="19"/>
          <w:szCs w:val="19"/>
          <w:color w:val="auto"/>
        </w:rPr>
        <w:t>“We believe 2024 was an important year on our journey to deliver long-term sustainable growth. We delivered continued revenue growth from our ongoing product launches including LEQEMBI, where we believe there remains a significant long-term opportunity. We also achieved key development milestones across our late-stage pipeline, where we continue to prioritize high-conviction assets with the potential to drive growth well into the next decade. Our financial discipline has enabled a restructuring of our operating expenses with a reallocation of resources toward potential future growth drivers. We believe that continued execution against these key strategic elements, as well as a disciplined approach to business development, will allow us to generate long-term value for our shareholders by bringing innovative medicines to patients.”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w:t>
      </w:r>
    </w:p>
    <w:p>
      <w:pPr>
        <w:sectPr>
          <w:pgSz w:w="11900" w:h="16838" w:orient="portrait"/>
          <w:cols w:equalWidth="0" w:num="1">
            <w:col w:w="11240"/>
          </w:cols>
          <w:pgMar w:left="320" w:top="1347" w:right="33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Financial Highlights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026DCE"/>
                <w:w w:val="96"/>
              </w:rPr>
              <w:t>Q4 '24</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Q4 '23</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r (CC*)</w:t>
            </w:r>
          </w:p>
        </w:tc>
        <w:tc>
          <w:tcPr>
            <w:tcW w:w="100" w:type="dxa"/>
            <w:vAlign w:val="bottom"/>
          </w:tcPr>
          <w:p>
            <w:pPr>
              <w:spacing w:after="0"/>
              <w:rPr>
                <w:sz w:val="17"/>
                <w:szCs w:val="17"/>
                <w:color w:val="auto"/>
              </w:rPr>
            </w:pPr>
          </w:p>
        </w:tc>
        <w:tc>
          <w:tcPr>
            <w:tcW w:w="960" w:type="dxa"/>
            <w:vAlign w:val="bottom"/>
            <w:tcBorders>
              <w:bottom w:val="single" w:sz="8" w:color="auto"/>
            </w:tcBorders>
            <w:shd w:val="clear" w:color="auto" w:fill="DDDDDD"/>
          </w:tcPr>
          <w:p>
            <w:pPr>
              <w:ind w:left="240"/>
              <w:spacing w:after="0"/>
              <w:rPr>
                <w:sz w:val="20"/>
                <w:szCs w:val="20"/>
                <w:color w:val="auto"/>
              </w:rPr>
            </w:pPr>
            <w:r>
              <w:rPr>
                <w:rFonts w:ascii="Arial" w:cs="Arial" w:eastAsia="Arial" w:hAnsi="Arial"/>
                <w:sz w:val="16"/>
                <w:szCs w:val="16"/>
                <w:b w:val="1"/>
                <w:bCs w:val="1"/>
                <w:color w:val="2573BA"/>
              </w:rPr>
              <w:t>FY '24</w:t>
            </w:r>
          </w:p>
        </w:tc>
        <w:tc>
          <w:tcPr>
            <w:tcW w:w="100" w:type="dxa"/>
            <w:vAlign w:val="bottom"/>
          </w:tcPr>
          <w:p>
            <w:pPr>
              <w:spacing w:after="0"/>
              <w:rPr>
                <w:sz w:val="17"/>
                <w:szCs w:val="17"/>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FY '23</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r (CC*)</w:t>
            </w:r>
          </w:p>
        </w:tc>
      </w:tr>
      <w:tr>
        <w:trPr>
          <w:trHeight w:val="198"/>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Total Revenue (in millions)</w:t>
            </w:r>
          </w:p>
        </w:tc>
        <w:tc>
          <w:tcPr>
            <w:tcW w:w="96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$2,455</w:t>
            </w:r>
          </w:p>
        </w:tc>
        <w:tc>
          <w:tcPr>
            <w:tcW w:w="1060" w:type="dxa"/>
            <w:vAlign w:val="bottom"/>
            <w:gridSpan w:val="2"/>
          </w:tcPr>
          <w:p>
            <w:pPr>
              <w:jc w:val="center"/>
              <w:ind w:left="22"/>
              <w:spacing w:after="0"/>
              <w:rPr>
                <w:sz w:val="20"/>
                <w:szCs w:val="20"/>
                <w:color w:val="auto"/>
              </w:rPr>
            </w:pPr>
            <w:r>
              <w:rPr>
                <w:rFonts w:ascii="Arial" w:cs="Arial" w:eastAsia="Arial" w:hAnsi="Arial"/>
                <w:sz w:val="16"/>
                <w:szCs w:val="16"/>
                <w:color w:val="auto"/>
                <w:w w:val="98"/>
              </w:rPr>
              <w:t>$2,386</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960" w:type="dxa"/>
            <w:vAlign w:val="bottom"/>
            <w:shd w:val="clear" w:color="auto" w:fill="DBDBDB"/>
          </w:tcPr>
          <w:p>
            <w:pPr>
              <w:ind w:left="240"/>
              <w:spacing w:after="0"/>
              <w:rPr>
                <w:sz w:val="20"/>
                <w:szCs w:val="20"/>
                <w:color w:val="auto"/>
              </w:rPr>
            </w:pPr>
            <w:r>
              <w:rPr>
                <w:rFonts w:ascii="Arial" w:cs="Arial" w:eastAsia="Arial" w:hAnsi="Arial"/>
                <w:sz w:val="16"/>
                <w:szCs w:val="16"/>
                <w:color w:val="026DCE"/>
              </w:rPr>
              <w:t>$9,676</w:t>
            </w:r>
          </w:p>
        </w:tc>
        <w:tc>
          <w:tcPr>
            <w:tcW w:w="1060" w:type="dxa"/>
            <w:vAlign w:val="bottom"/>
            <w:gridSpan w:val="2"/>
          </w:tcPr>
          <w:p>
            <w:pPr>
              <w:jc w:val="center"/>
              <w:ind w:left="22"/>
              <w:spacing w:after="0"/>
              <w:rPr>
                <w:sz w:val="20"/>
                <w:szCs w:val="20"/>
                <w:color w:val="auto"/>
              </w:rPr>
            </w:pPr>
            <w:r>
              <w:rPr>
                <w:rFonts w:ascii="Arial" w:cs="Arial" w:eastAsia="Arial" w:hAnsi="Arial"/>
                <w:sz w:val="16"/>
                <w:szCs w:val="16"/>
                <w:color w:val="auto"/>
                <w:w w:val="98"/>
              </w:rPr>
              <w:t>$9,836</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207"/>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GAAP diluted EPS</w:t>
            </w:r>
          </w:p>
        </w:tc>
        <w:tc>
          <w:tcPr>
            <w:tcW w:w="96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9"/>
              </w:rPr>
              <w:t>$1.83</w:t>
            </w:r>
          </w:p>
        </w:tc>
        <w:tc>
          <w:tcPr>
            <w:tcW w:w="1060" w:type="dxa"/>
            <w:vAlign w:val="bottom"/>
            <w:gridSpan w:val="2"/>
          </w:tcPr>
          <w:p>
            <w:pPr>
              <w:jc w:val="center"/>
              <w:ind w:left="22"/>
              <w:spacing w:after="0"/>
              <w:rPr>
                <w:sz w:val="20"/>
                <w:szCs w:val="20"/>
                <w:color w:val="auto"/>
              </w:rPr>
            </w:pPr>
            <w:r>
              <w:rPr>
                <w:rFonts w:ascii="Arial" w:cs="Arial" w:eastAsia="Arial" w:hAnsi="Arial"/>
                <w:sz w:val="16"/>
                <w:szCs w:val="16"/>
                <w:color w:val="auto"/>
                <w:w w:val="99"/>
              </w:rPr>
              <w:t>$1.71</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N/A</w:t>
            </w:r>
          </w:p>
        </w:tc>
        <w:tc>
          <w:tcPr>
            <w:tcW w:w="960" w:type="dxa"/>
            <w:vAlign w:val="bottom"/>
            <w:shd w:val="clear" w:color="auto" w:fill="DBDBDB"/>
          </w:tcPr>
          <w:p>
            <w:pPr>
              <w:ind w:left="240"/>
              <w:spacing w:after="0"/>
              <w:rPr>
                <w:sz w:val="20"/>
                <w:szCs w:val="20"/>
                <w:color w:val="auto"/>
              </w:rPr>
            </w:pPr>
            <w:r>
              <w:rPr>
                <w:rFonts w:ascii="Arial" w:cs="Arial" w:eastAsia="Arial" w:hAnsi="Arial"/>
                <w:sz w:val="16"/>
                <w:szCs w:val="16"/>
                <w:color w:val="026DCE"/>
              </w:rPr>
              <w:t>$11.18</w:t>
            </w:r>
          </w:p>
        </w:tc>
        <w:tc>
          <w:tcPr>
            <w:tcW w:w="1060" w:type="dxa"/>
            <w:vAlign w:val="bottom"/>
            <w:gridSpan w:val="2"/>
          </w:tcPr>
          <w:p>
            <w:pPr>
              <w:jc w:val="center"/>
              <w:ind w:left="2"/>
              <w:spacing w:after="0"/>
              <w:rPr>
                <w:sz w:val="20"/>
                <w:szCs w:val="20"/>
                <w:color w:val="auto"/>
              </w:rPr>
            </w:pPr>
            <w:r>
              <w:rPr>
                <w:rFonts w:ascii="Arial" w:cs="Arial" w:eastAsia="Arial" w:hAnsi="Arial"/>
                <w:sz w:val="16"/>
                <w:szCs w:val="16"/>
                <w:color w:val="auto"/>
                <w:w w:val="94"/>
              </w:rPr>
              <w:t>$7.97</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40%</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09"/>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Non-GAAP diluted EPS</w:t>
            </w:r>
          </w:p>
        </w:tc>
        <w:tc>
          <w:tcPr>
            <w:tcW w:w="96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9"/>
              </w:rPr>
              <w:t>$3.44</w:t>
            </w:r>
          </w:p>
        </w:tc>
        <w:tc>
          <w:tcPr>
            <w:tcW w:w="1060" w:type="dxa"/>
            <w:vAlign w:val="bottom"/>
            <w:gridSpan w:val="2"/>
          </w:tcPr>
          <w:p>
            <w:pPr>
              <w:jc w:val="center"/>
              <w:ind w:left="22"/>
              <w:spacing w:after="0"/>
              <w:rPr>
                <w:sz w:val="20"/>
                <w:szCs w:val="20"/>
                <w:color w:val="auto"/>
              </w:rPr>
            </w:pPr>
            <w:r>
              <w:rPr>
                <w:rFonts w:ascii="Arial" w:cs="Arial" w:eastAsia="Arial" w:hAnsi="Arial"/>
                <w:sz w:val="16"/>
                <w:szCs w:val="16"/>
                <w:color w:val="auto"/>
                <w:w w:val="99"/>
              </w:rPr>
              <w:t>$2.95</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17%</w:t>
            </w: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N/A</w:t>
            </w:r>
          </w:p>
        </w:tc>
        <w:tc>
          <w:tcPr>
            <w:tcW w:w="960" w:type="dxa"/>
            <w:vAlign w:val="bottom"/>
            <w:shd w:val="clear" w:color="auto" w:fill="DBDBDB"/>
          </w:tcPr>
          <w:p>
            <w:pPr>
              <w:ind w:left="240"/>
              <w:spacing w:after="0"/>
              <w:rPr>
                <w:sz w:val="20"/>
                <w:szCs w:val="20"/>
                <w:color w:val="auto"/>
              </w:rPr>
            </w:pPr>
            <w:r>
              <w:rPr>
                <w:rFonts w:ascii="Arial" w:cs="Arial" w:eastAsia="Arial" w:hAnsi="Arial"/>
                <w:sz w:val="16"/>
                <w:szCs w:val="16"/>
                <w:color w:val="026DCE"/>
              </w:rPr>
              <w:t>$16.47</w:t>
            </w:r>
          </w:p>
        </w:tc>
        <w:tc>
          <w:tcPr>
            <w:tcW w:w="1060" w:type="dxa"/>
            <w:vAlign w:val="bottom"/>
            <w:gridSpan w:val="2"/>
          </w:tcPr>
          <w:p>
            <w:pPr>
              <w:jc w:val="center"/>
              <w:ind w:left="22"/>
              <w:spacing w:after="0"/>
              <w:rPr>
                <w:sz w:val="20"/>
                <w:szCs w:val="20"/>
                <w:color w:val="auto"/>
              </w:rPr>
            </w:pPr>
            <w:r>
              <w:rPr>
                <w:rFonts w:ascii="Arial" w:cs="Arial" w:eastAsia="Arial" w:hAnsi="Arial"/>
                <w:sz w:val="16"/>
                <w:szCs w:val="16"/>
                <w:color w:val="auto"/>
                <w:w w:val="98"/>
              </w:rPr>
              <w:t>$14.72</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12%</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7"/>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-517525</wp:posOffset>
            </wp:positionV>
            <wp:extent cx="107315" cy="10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-517525</wp:posOffset>
            </wp:positionV>
            <wp:extent cx="107315" cy="107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315" cy="10731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Note: Percent changes represented as favorable/(unfavorable) versus the prior year period.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 = not applicable.</w:t>
      </w:r>
    </w:p>
    <w:p>
      <w:pPr>
        <w:spacing w:after="0" w:line="13" w:lineRule="exact"/>
        <w:rPr>
          <w:sz w:val="20"/>
          <w:szCs w:val="20"/>
          <w:color w:val="auto"/>
        </w:rPr>
      </w:pPr>
    </w:p>
    <w:p>
      <w:pPr>
        <w:ind w:left="80" w:right="160" w:hanging="77"/>
        <w:spacing w:after="0" w:line="236" w:lineRule="auto"/>
        <w:tabs>
          <w:tab w:leader="none" w:pos="154"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Percentage changes in revenue growth at constant currency (CC) are presented excluding the impact of changes in foreign currency exchange rates and hedging gains or losses. Foreign currency revenue values are converted into U.S. dollars using the exchange rates from the end of the previous calendar year.</w:t>
      </w:r>
    </w:p>
    <w:p>
      <w:pPr>
        <w:sectPr>
          <w:pgSz w:w="11900" w:h="16838" w:orient="portrait"/>
          <w:cols w:equalWidth="0" w:num="1">
            <w:col w:w="11120"/>
          </w:cols>
          <w:pgMar w:left="320" w:top="1062" w:right="45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GAAP to Non-GAAP financial measures can be found in Table 4 at the end of this news release.</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Summary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millions, except percentages)</w:t>
            </w:r>
          </w:p>
        </w:tc>
        <w:tc>
          <w:tcPr>
            <w:tcW w:w="100" w:type="dxa"/>
            <w:vAlign w:val="bottom"/>
          </w:tcPr>
          <w:p>
            <w:pPr>
              <w:spacing w:after="0"/>
              <w:rPr>
                <w:sz w:val="19"/>
                <w:szCs w:val="19"/>
                <w:color w:val="auto"/>
              </w:rPr>
            </w:pPr>
          </w:p>
        </w:tc>
        <w:tc>
          <w:tcPr>
            <w:tcW w:w="8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6"/>
                <w:szCs w:val="16"/>
                <w:b w:val="1"/>
                <w:bCs w:val="1"/>
                <w:color w:val="2573BA"/>
                <w:w w:val="96"/>
              </w:rPr>
              <w:t>Q4 '24</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Q4 '23</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 (CC</w:t>
            </w:r>
            <w:r>
              <w:rPr>
                <w:rFonts w:ascii="Arial" w:cs="Arial" w:eastAsia="Arial" w:hAnsi="Arial"/>
                <w:sz w:val="20"/>
                <w:szCs w:val="20"/>
                <w:b w:val="1"/>
                <w:bCs w:val="1"/>
                <w:color w:val="auto"/>
                <w:w w:val="92"/>
                <w:vertAlign w:val="superscript"/>
              </w:rPr>
              <w:t>#</w:t>
            </w:r>
            <w:r>
              <w:rPr>
                <w:rFonts w:ascii="Arial" w:cs="Arial" w:eastAsia="Arial" w:hAnsi="Arial"/>
                <w:sz w:val="16"/>
                <w:szCs w:val="16"/>
                <w:b w:val="1"/>
                <w:bCs w:val="1"/>
                <w:color w:val="auto"/>
                <w:w w:val="92"/>
              </w:rPr>
              <w:t>)</w:t>
            </w:r>
          </w:p>
        </w:tc>
        <w:tc>
          <w:tcPr>
            <w:tcW w:w="80" w:type="dxa"/>
            <w:vAlign w:val="bottom"/>
          </w:tcPr>
          <w:p>
            <w:pPr>
              <w:spacing w:after="0"/>
              <w:rPr>
                <w:sz w:val="19"/>
                <w:szCs w:val="19"/>
                <w:color w:val="auto"/>
              </w:rPr>
            </w:pPr>
          </w:p>
        </w:tc>
        <w:tc>
          <w:tcPr>
            <w:tcW w:w="880" w:type="dxa"/>
            <w:vAlign w:val="bottom"/>
            <w:tcBorders>
              <w:bottom w:val="single" w:sz="8" w:color="auto"/>
            </w:tcBorders>
            <w:shd w:val="clear" w:color="auto" w:fill="DDDDDD"/>
          </w:tcPr>
          <w:p>
            <w:pPr>
              <w:ind w:left="220"/>
              <w:spacing w:after="0"/>
              <w:rPr>
                <w:sz w:val="20"/>
                <w:szCs w:val="20"/>
                <w:color w:val="auto"/>
              </w:rPr>
            </w:pPr>
            <w:r>
              <w:rPr>
                <w:rFonts w:ascii="Arial" w:cs="Arial" w:eastAsia="Arial" w:hAnsi="Arial"/>
                <w:sz w:val="16"/>
                <w:szCs w:val="16"/>
                <w:b w:val="1"/>
                <w:bCs w:val="1"/>
                <w:color w:val="2573BA"/>
              </w:rPr>
              <w:t>FY '24</w:t>
            </w:r>
          </w:p>
        </w:tc>
        <w:tc>
          <w:tcPr>
            <w:tcW w:w="80" w:type="dxa"/>
            <w:vAlign w:val="bottom"/>
          </w:tcPr>
          <w:p>
            <w:pPr>
              <w:spacing w:after="0"/>
              <w:rPr>
                <w:sz w:val="19"/>
                <w:szCs w:val="19"/>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FY '23</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1"/>
        </w:trPr>
        <w:tc>
          <w:tcPr>
            <w:tcW w:w="3900" w:type="dxa"/>
            <w:vAlign w:val="bottom"/>
            <w:gridSpan w:val="2"/>
          </w:tcPr>
          <w:p>
            <w:pPr>
              <w:ind w:left="20"/>
              <w:spacing w:after="0" w:line="201" w:lineRule="exact"/>
              <w:rPr>
                <w:sz w:val="20"/>
                <w:szCs w:val="20"/>
                <w:color w:val="auto"/>
              </w:rPr>
            </w:pPr>
            <w:r>
              <w:rPr>
                <w:rFonts w:ascii="Arial" w:cs="Arial" w:eastAsia="Arial" w:hAnsi="Arial"/>
                <w:sz w:val="16"/>
                <w:szCs w:val="16"/>
                <w:color w:val="auto"/>
              </w:rPr>
              <w:t>Multiple Sclerosis (MS) product revenue</w:t>
            </w:r>
            <w:r>
              <w:rPr>
                <w:rFonts w:ascii="Arial" w:cs="Arial" w:eastAsia="Arial" w:hAnsi="Arial"/>
                <w:sz w:val="20"/>
                <w:szCs w:val="20"/>
                <w:color w:val="auto"/>
                <w:vertAlign w:val="superscript"/>
              </w:rPr>
              <w:t>(1)</w:t>
            </w:r>
          </w:p>
        </w:tc>
        <w:tc>
          <w:tcPr>
            <w:tcW w:w="86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$1,070</w:t>
            </w:r>
          </w:p>
        </w:tc>
        <w:tc>
          <w:tcPr>
            <w:tcW w:w="940" w:type="dxa"/>
            <w:vAlign w:val="bottom"/>
            <w:gridSpan w:val="2"/>
          </w:tcPr>
          <w:p>
            <w:pPr>
              <w:jc w:val="center"/>
              <w:ind w:left="22"/>
              <w:spacing w:after="0"/>
              <w:rPr>
                <w:sz w:val="20"/>
                <w:szCs w:val="20"/>
                <w:color w:val="auto"/>
              </w:rPr>
            </w:pPr>
            <w:r>
              <w:rPr>
                <w:rFonts w:ascii="Arial" w:cs="Arial" w:eastAsia="Arial" w:hAnsi="Arial"/>
                <w:sz w:val="16"/>
                <w:szCs w:val="16"/>
                <w:color w:val="auto"/>
                <w:w w:val="98"/>
              </w:rPr>
              <w:t>$1,168</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80" w:type="dxa"/>
            <w:vAlign w:val="bottom"/>
          </w:tcPr>
          <w:p>
            <w:pPr>
              <w:spacing w:after="0"/>
              <w:rPr>
                <w:sz w:val="17"/>
                <w:szCs w:val="17"/>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$4,350</w:t>
            </w:r>
          </w:p>
        </w:tc>
        <w:tc>
          <w:tcPr>
            <w:tcW w:w="960" w:type="dxa"/>
            <w:vAlign w:val="bottom"/>
            <w:gridSpan w:val="2"/>
          </w:tcPr>
          <w:p>
            <w:pPr>
              <w:jc w:val="center"/>
              <w:ind w:left="2"/>
              <w:spacing w:after="0"/>
              <w:rPr>
                <w:sz w:val="20"/>
                <w:szCs w:val="20"/>
                <w:color w:val="auto"/>
              </w:rPr>
            </w:pPr>
            <w:r>
              <w:rPr>
                <w:rFonts w:ascii="Arial" w:cs="Arial" w:eastAsia="Arial" w:hAnsi="Arial"/>
                <w:sz w:val="16"/>
                <w:szCs w:val="16"/>
                <w:color w:val="auto"/>
                <w:w w:val="98"/>
              </w:rPr>
              <w:t>$4,662</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(7)%</w:t>
            </w:r>
          </w:p>
        </w:tc>
      </w:tr>
      <w:tr>
        <w:trPr>
          <w:trHeight w:val="207"/>
        </w:trPr>
        <w:tc>
          <w:tcPr>
            <w:tcW w:w="39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Rare disease revenue</w:t>
            </w:r>
            <w:r>
              <w:rPr>
                <w:rFonts w:ascii="Arial" w:cs="Arial" w:eastAsia="Arial" w:hAnsi="Arial"/>
                <w:sz w:val="20"/>
                <w:szCs w:val="20"/>
                <w:color w:val="auto"/>
                <w:vertAlign w:val="superscript"/>
              </w:rPr>
              <w:t>(2)</w:t>
            </w:r>
          </w:p>
        </w:tc>
        <w:tc>
          <w:tcPr>
            <w:tcW w:w="86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$535</w:t>
            </w:r>
          </w:p>
        </w:tc>
        <w:tc>
          <w:tcPr>
            <w:tcW w:w="940" w:type="dxa"/>
            <w:vAlign w:val="bottom"/>
            <w:gridSpan w:val="2"/>
          </w:tcPr>
          <w:p>
            <w:pPr>
              <w:jc w:val="center"/>
              <w:ind w:left="22"/>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3"/>
              </w:rPr>
              <w:t>13%</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15%</w:t>
            </w:r>
          </w:p>
        </w:tc>
        <w:tc>
          <w:tcPr>
            <w:tcW w:w="80" w:type="dxa"/>
            <w:vAlign w:val="bottom"/>
          </w:tcPr>
          <w:p>
            <w:pPr>
              <w:spacing w:after="0"/>
              <w:rPr>
                <w:sz w:val="17"/>
                <w:szCs w:val="17"/>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$1,988</w:t>
            </w:r>
          </w:p>
        </w:tc>
        <w:tc>
          <w:tcPr>
            <w:tcW w:w="960" w:type="dxa"/>
            <w:vAlign w:val="bottom"/>
            <w:gridSpan w:val="2"/>
          </w:tcPr>
          <w:p>
            <w:pPr>
              <w:jc w:val="center"/>
              <w:ind w:left="2"/>
              <w:spacing w:after="0"/>
              <w:rPr>
                <w:sz w:val="20"/>
                <w:szCs w:val="20"/>
                <w:color w:val="auto"/>
              </w:rPr>
            </w:pPr>
            <w:r>
              <w:rPr>
                <w:rFonts w:ascii="Arial" w:cs="Arial" w:eastAsia="Arial" w:hAnsi="Arial"/>
                <w:sz w:val="16"/>
                <w:szCs w:val="16"/>
                <w:color w:val="auto"/>
                <w:w w:val="98"/>
              </w:rPr>
              <w:t>$1,803</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3"/>
              </w:rPr>
              <w:t>10%</w:t>
            </w:r>
          </w:p>
        </w:tc>
      </w:tr>
      <w:tr>
        <w:trPr>
          <w:trHeight w:val="204"/>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Biosimilars revenue</w:t>
            </w:r>
          </w:p>
        </w:tc>
        <w:tc>
          <w:tcPr>
            <w:tcW w:w="86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$202</w:t>
            </w:r>
          </w:p>
        </w:tc>
        <w:tc>
          <w:tcPr>
            <w:tcW w:w="940" w:type="dxa"/>
            <w:vAlign w:val="bottom"/>
            <w:gridSpan w:val="2"/>
          </w:tcPr>
          <w:p>
            <w:pPr>
              <w:jc w:val="center"/>
              <w:ind w:left="22"/>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$793</w:t>
            </w:r>
          </w:p>
        </w:tc>
        <w:tc>
          <w:tcPr>
            <w:tcW w:w="960" w:type="dxa"/>
            <w:vAlign w:val="bottom"/>
            <w:gridSpan w:val="2"/>
          </w:tcPr>
          <w:p>
            <w:pPr>
              <w:jc w:val="center"/>
              <w:ind w:left="2"/>
              <w:spacing w:after="0"/>
              <w:rPr>
                <w:sz w:val="20"/>
                <w:szCs w:val="20"/>
                <w:color w:val="auto"/>
              </w:rPr>
            </w:pPr>
            <w:r>
              <w:rPr>
                <w:rFonts w:ascii="Arial" w:cs="Arial" w:eastAsia="Arial" w:hAnsi="Arial"/>
                <w:sz w:val="16"/>
                <w:szCs w:val="16"/>
                <w:color w:val="auto"/>
              </w:rPr>
              <w:t>$770</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3%</w:t>
            </w:r>
          </w:p>
        </w:tc>
      </w:tr>
      <w:tr>
        <w:trPr>
          <w:trHeight w:val="209"/>
        </w:trPr>
        <w:tc>
          <w:tcPr>
            <w:tcW w:w="3900" w:type="dxa"/>
            <w:vAlign w:val="bottom"/>
            <w:gridSpan w:val="2"/>
          </w:tcPr>
          <w:p>
            <w:pPr>
              <w:ind w:left="20"/>
              <w:spacing w:after="0" w:line="208" w:lineRule="exact"/>
              <w:rPr>
                <w:sz w:val="20"/>
                <w:szCs w:val="20"/>
                <w:color w:val="auto"/>
              </w:rPr>
            </w:pPr>
            <w:r>
              <w:rPr>
                <w:rFonts w:ascii="Arial" w:cs="Arial" w:eastAsia="Arial" w:hAnsi="Arial"/>
                <w:sz w:val="16"/>
                <w:szCs w:val="16"/>
                <w:color w:val="auto"/>
              </w:rPr>
              <w:t>Other product revenue</w:t>
            </w:r>
            <w:r>
              <w:rPr>
                <w:rFonts w:ascii="Arial" w:cs="Arial" w:eastAsia="Arial" w:hAnsi="Arial"/>
                <w:sz w:val="20"/>
                <w:szCs w:val="20"/>
                <w:color w:val="auto"/>
                <w:vertAlign w:val="superscript"/>
              </w:rPr>
              <w:t>(3)</w:t>
            </w:r>
          </w:p>
        </w:tc>
        <w:tc>
          <w:tcPr>
            <w:tcW w:w="8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026DCE"/>
                <w:w w:val="97"/>
              </w:rPr>
              <w:t>$26</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18"/>
                <w:szCs w:val="18"/>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NMF</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NMF</w:t>
            </w:r>
          </w:p>
        </w:tc>
        <w:tc>
          <w:tcPr>
            <w:tcW w:w="80" w:type="dxa"/>
            <w:vAlign w:val="bottom"/>
          </w:tcPr>
          <w:p>
            <w:pPr>
              <w:spacing w:after="0"/>
              <w:rPr>
                <w:sz w:val="18"/>
                <w:szCs w:val="18"/>
                <w:color w:val="auto"/>
              </w:rPr>
            </w:pPr>
          </w:p>
        </w:tc>
        <w:tc>
          <w:tcPr>
            <w:tcW w:w="8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026DCE"/>
                <w:w w:val="97"/>
              </w:rPr>
              <w:t>$83</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$12</w:t>
            </w:r>
          </w:p>
        </w:tc>
        <w:tc>
          <w:tcPr>
            <w:tcW w:w="80" w:type="dxa"/>
            <w:vAlign w:val="bottom"/>
          </w:tcPr>
          <w:p>
            <w:pPr>
              <w:spacing w:after="0"/>
              <w:rPr>
                <w:sz w:val="18"/>
                <w:szCs w:val="18"/>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NMF</w:t>
            </w:r>
          </w:p>
        </w:tc>
      </w:tr>
      <w:tr>
        <w:trPr>
          <w:trHeight w:val="198"/>
        </w:trPr>
        <w:tc>
          <w:tcPr>
            <w:tcW w:w="3900" w:type="dxa"/>
            <w:vAlign w:val="bottom"/>
            <w:gridSpan w:val="2"/>
          </w:tcPr>
          <w:p>
            <w:pPr>
              <w:ind w:left="100"/>
              <w:spacing w:after="0"/>
              <w:rPr>
                <w:sz w:val="20"/>
                <w:szCs w:val="20"/>
                <w:color w:val="auto"/>
              </w:rPr>
            </w:pPr>
            <w:r>
              <w:rPr>
                <w:rFonts w:ascii="Arial" w:cs="Arial" w:eastAsia="Arial" w:hAnsi="Arial"/>
                <w:sz w:val="16"/>
                <w:szCs w:val="16"/>
                <w:color w:val="auto"/>
              </w:rPr>
              <w:t>Total product revenue</w:t>
            </w:r>
          </w:p>
        </w:tc>
        <w:tc>
          <w:tcPr>
            <w:tcW w:w="86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$1,833</w:t>
            </w:r>
          </w:p>
        </w:tc>
        <w:tc>
          <w:tcPr>
            <w:tcW w:w="940" w:type="dxa"/>
            <w:vAlign w:val="bottom"/>
            <w:gridSpan w:val="2"/>
          </w:tcPr>
          <w:p>
            <w:pPr>
              <w:jc w:val="center"/>
              <w:ind w:left="22"/>
              <w:spacing w:after="0"/>
              <w:rPr>
                <w:sz w:val="20"/>
                <w:szCs w:val="20"/>
                <w:color w:val="auto"/>
              </w:rPr>
            </w:pPr>
            <w:r>
              <w:rPr>
                <w:rFonts w:ascii="Arial" w:cs="Arial" w:eastAsia="Arial" w:hAnsi="Arial"/>
                <w:sz w:val="16"/>
                <w:szCs w:val="16"/>
                <w:color w:val="auto"/>
                <w:w w:val="98"/>
              </w:rPr>
              <w:t>$1,832</w:t>
            </w:r>
          </w:p>
        </w:tc>
        <w:tc>
          <w:tcPr>
            <w:tcW w:w="12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w:t>
            </w:r>
          </w:p>
        </w:tc>
        <w:tc>
          <w:tcPr>
            <w:tcW w:w="8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$7,214</w:t>
            </w:r>
          </w:p>
        </w:tc>
        <w:tc>
          <w:tcPr>
            <w:tcW w:w="960" w:type="dxa"/>
            <w:vAlign w:val="bottom"/>
            <w:gridSpan w:val="2"/>
          </w:tcPr>
          <w:p>
            <w:pPr>
              <w:jc w:val="center"/>
              <w:ind w:left="2"/>
              <w:spacing w:after="0"/>
              <w:rPr>
                <w:sz w:val="20"/>
                <w:szCs w:val="20"/>
                <w:color w:val="auto"/>
              </w:rPr>
            </w:pPr>
            <w:r>
              <w:rPr>
                <w:rFonts w:ascii="Arial" w:cs="Arial" w:eastAsia="Arial" w:hAnsi="Arial"/>
                <w:sz w:val="16"/>
                <w:szCs w:val="16"/>
                <w:color w:val="auto"/>
                <w:w w:val="98"/>
              </w:rPr>
              <w:t>$7,247</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7"/>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Revenue from anti-CD20 therapeutic programs</w:t>
            </w:r>
          </w:p>
        </w:tc>
        <w:tc>
          <w:tcPr>
            <w:tcW w:w="86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$465</w:t>
            </w:r>
          </w:p>
        </w:tc>
        <w:tc>
          <w:tcPr>
            <w:tcW w:w="940" w:type="dxa"/>
            <w:vAlign w:val="bottom"/>
            <w:gridSpan w:val="2"/>
          </w:tcPr>
          <w:p>
            <w:pPr>
              <w:jc w:val="center"/>
              <w:ind w:left="22"/>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$1,750</w:t>
            </w:r>
          </w:p>
        </w:tc>
        <w:tc>
          <w:tcPr>
            <w:tcW w:w="960" w:type="dxa"/>
            <w:vAlign w:val="bottom"/>
            <w:gridSpan w:val="2"/>
          </w:tcPr>
          <w:p>
            <w:pPr>
              <w:jc w:val="center"/>
              <w:ind w:left="2"/>
              <w:spacing w:after="0"/>
              <w:rPr>
                <w:sz w:val="20"/>
                <w:szCs w:val="20"/>
                <w:color w:val="auto"/>
              </w:rPr>
            </w:pPr>
            <w:r>
              <w:rPr>
                <w:rFonts w:ascii="Arial" w:cs="Arial" w:eastAsia="Arial" w:hAnsi="Arial"/>
                <w:sz w:val="16"/>
                <w:szCs w:val="16"/>
                <w:color w:val="auto"/>
                <w:w w:val="98"/>
              </w:rPr>
              <w:t>$1,690</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4%</w:t>
            </w:r>
          </w:p>
        </w:tc>
      </w:tr>
      <w:tr>
        <w:trPr>
          <w:trHeight w:val="209"/>
        </w:trPr>
        <w:tc>
          <w:tcPr>
            <w:tcW w:w="3900" w:type="dxa"/>
            <w:vAlign w:val="bottom"/>
            <w:gridSpan w:val="2"/>
          </w:tcPr>
          <w:p>
            <w:pPr>
              <w:ind w:left="20"/>
              <w:spacing w:after="0" w:line="209" w:lineRule="exact"/>
              <w:rPr>
                <w:sz w:val="20"/>
                <w:szCs w:val="20"/>
                <w:color w:val="auto"/>
              </w:rPr>
            </w:pPr>
            <w:r>
              <w:rPr>
                <w:rFonts w:ascii="Arial" w:cs="Arial" w:eastAsia="Arial" w:hAnsi="Arial"/>
                <w:sz w:val="16"/>
                <w:szCs w:val="16"/>
                <w:color w:val="auto"/>
              </w:rPr>
              <w:t>Alzheimer's collaboration revenue</w:t>
            </w:r>
            <w:r>
              <w:rPr>
                <w:rFonts w:ascii="Arial" w:cs="Arial" w:eastAsia="Arial" w:hAnsi="Arial"/>
                <w:sz w:val="20"/>
                <w:szCs w:val="20"/>
                <w:color w:val="auto"/>
                <w:vertAlign w:val="superscript"/>
              </w:rPr>
              <w:t>(4)</w:t>
            </w:r>
          </w:p>
        </w:tc>
        <w:tc>
          <w:tcPr>
            <w:tcW w:w="86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7"/>
              </w:rPr>
              <w:t>$27</w:t>
            </w:r>
          </w:p>
        </w:tc>
        <w:tc>
          <w:tcPr>
            <w:tcW w:w="940" w:type="dxa"/>
            <w:vAlign w:val="bottom"/>
            <w:gridSpan w:val="2"/>
          </w:tcPr>
          <w:p>
            <w:pPr>
              <w:jc w:val="center"/>
              <w:ind w:left="22"/>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color w:val="auto"/>
              </w:rPr>
              <w:t>NMF</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NMF</w:t>
            </w:r>
          </w:p>
        </w:tc>
        <w:tc>
          <w:tcPr>
            <w:tcW w:w="8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7"/>
              </w:rPr>
              <w:t>$60</w:t>
            </w:r>
          </w:p>
        </w:tc>
        <w:tc>
          <w:tcPr>
            <w:tcW w:w="8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w:t>
            </w:r>
          </w:p>
        </w:tc>
        <w:tc>
          <w:tcPr>
            <w:tcW w:w="820" w:type="dxa"/>
            <w:vAlign w:val="bottom"/>
          </w:tcPr>
          <w:p>
            <w:pPr>
              <w:ind w:left="240"/>
              <w:spacing w:after="0"/>
              <w:rPr>
                <w:sz w:val="20"/>
                <w:szCs w:val="20"/>
                <w:color w:val="auto"/>
              </w:rPr>
            </w:pPr>
            <w:r>
              <w:rPr>
                <w:rFonts w:ascii="Arial" w:cs="Arial" w:eastAsia="Arial" w:hAnsi="Arial"/>
                <w:sz w:val="16"/>
                <w:szCs w:val="16"/>
                <w:color w:val="auto"/>
              </w:rPr>
              <w:t>NMF</w:t>
            </w:r>
          </w:p>
        </w:tc>
      </w:tr>
      <w:tr>
        <w:trPr>
          <w:trHeight w:val="204"/>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Contract manufacturing, royalty and other revenue</w:t>
            </w:r>
          </w:p>
        </w:tc>
        <w:tc>
          <w:tcPr>
            <w:tcW w:w="86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$130</w:t>
            </w:r>
          </w:p>
        </w:tc>
        <w:tc>
          <w:tcPr>
            <w:tcW w:w="940" w:type="dxa"/>
            <w:vAlign w:val="bottom"/>
            <w:gridSpan w:val="2"/>
          </w:tcPr>
          <w:p>
            <w:pPr>
              <w:jc w:val="center"/>
              <w:ind w:left="22"/>
              <w:spacing w:after="0"/>
              <w:rPr>
                <w:sz w:val="20"/>
                <w:szCs w:val="20"/>
                <w:color w:val="auto"/>
              </w:rPr>
            </w:pPr>
            <w:r>
              <w:rPr>
                <w:rFonts w:ascii="Arial" w:cs="Arial" w:eastAsia="Arial" w:hAnsi="Arial"/>
                <w:sz w:val="16"/>
                <w:szCs w:val="16"/>
                <w:color w:val="auto"/>
                <w:w w:val="89"/>
              </w:rPr>
              <w:t>$117</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3"/>
              </w:rPr>
              <w:t>12%</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$653</w:t>
            </w:r>
          </w:p>
        </w:tc>
        <w:tc>
          <w:tcPr>
            <w:tcW w:w="960" w:type="dxa"/>
            <w:vAlign w:val="bottom"/>
            <w:gridSpan w:val="2"/>
          </w:tcPr>
          <w:p>
            <w:pPr>
              <w:jc w:val="center"/>
              <w:ind w:left="2"/>
              <w:spacing w:after="0"/>
              <w:rPr>
                <w:sz w:val="20"/>
                <w:szCs w:val="20"/>
                <w:color w:val="auto"/>
              </w:rPr>
            </w:pPr>
            <w:r>
              <w:rPr>
                <w:rFonts w:ascii="Arial" w:cs="Arial" w:eastAsia="Arial" w:hAnsi="Arial"/>
                <w:sz w:val="16"/>
                <w:szCs w:val="16"/>
                <w:color w:val="auto"/>
              </w:rPr>
              <w:t>$899</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(27)%</w:t>
            </w:r>
          </w:p>
        </w:tc>
      </w:tr>
      <w:tr>
        <w:trPr>
          <w:trHeight w:val="202"/>
        </w:trPr>
        <w:tc>
          <w:tcPr>
            <w:tcW w:w="3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 revenue</w:t>
            </w:r>
          </w:p>
        </w:tc>
        <w:tc>
          <w:tcPr>
            <w:tcW w:w="8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026DCE"/>
                <w:w w:val="98"/>
              </w:rPr>
              <w:t>$2,455</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$2,386</w:t>
            </w:r>
          </w:p>
        </w:tc>
        <w:tc>
          <w:tcPr>
            <w:tcW w:w="12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3%</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7"/>
                <w:szCs w:val="17"/>
                <w:color w:val="auto"/>
              </w:rPr>
            </w:pPr>
          </w:p>
        </w:tc>
        <w:tc>
          <w:tcPr>
            <w:tcW w:w="8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026DCE"/>
                <w:w w:val="98"/>
              </w:rPr>
              <w:t>$9,676</w:t>
            </w:r>
          </w:p>
        </w:tc>
        <w:tc>
          <w:tcPr>
            <w:tcW w:w="80" w:type="dxa"/>
            <w:vAlign w:val="bottom"/>
          </w:tcPr>
          <w:p>
            <w:pPr>
              <w:spacing w:after="0"/>
              <w:rPr>
                <w:sz w:val="17"/>
                <w:szCs w:val="17"/>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$9,836</w:t>
            </w:r>
          </w:p>
        </w:tc>
        <w:tc>
          <w:tcPr>
            <w:tcW w:w="80" w:type="dxa"/>
            <w:vAlign w:val="bottom"/>
          </w:tcPr>
          <w:p>
            <w:pPr>
              <w:spacing w:after="0"/>
              <w:rPr>
                <w:sz w:val="17"/>
                <w:szCs w:val="17"/>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-1322070</wp:posOffset>
            </wp:positionV>
            <wp:extent cx="107315" cy="107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-1322070</wp:posOffset>
            </wp:positionV>
            <wp:extent cx="107315" cy="107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315" cy="10731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Note: Percent changes represented as favorable/(unfavorable) versus the prior year period. Numbers may not foot or recalculate due to rounding.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NMF = no meaningful figure.</w:t>
      </w:r>
    </w:p>
    <w:p>
      <w:pPr>
        <w:ind w:left="160" w:hanging="157"/>
        <w:spacing w:after="0" w:line="235" w:lineRule="auto"/>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MS includes TECFIDERA®, VUMERITY®, AVONEX®, PLEGRIDY®, TYSABRI® and FAMPYRA™.</w:t>
      </w:r>
    </w:p>
    <w:p>
      <w:pPr>
        <w:spacing w:after="0" w:line="17" w:lineRule="exact"/>
        <w:rPr>
          <w:rFonts w:ascii="Arial" w:cs="Arial" w:eastAsia="Arial" w:hAnsi="Arial"/>
          <w:sz w:val="19"/>
          <w:szCs w:val="19"/>
          <w:color w:val="auto"/>
          <w:vertAlign w:val="superscript"/>
        </w:rPr>
      </w:pPr>
    </w:p>
    <w:p>
      <w:pPr>
        <w:ind w:left="160" w:hanging="157"/>
        <w:spacing w:after="0" w:line="209" w:lineRule="auto"/>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Rare disease includes SPINRAZA®, SKYCLARYS® and QALSODY®.</w:t>
      </w:r>
    </w:p>
    <w:p>
      <w:pPr>
        <w:spacing w:after="0" w:line="16" w:lineRule="exact"/>
        <w:rPr>
          <w:rFonts w:ascii="Arial" w:cs="Arial" w:eastAsia="Arial" w:hAnsi="Arial"/>
          <w:sz w:val="19"/>
          <w:szCs w:val="19"/>
          <w:color w:val="auto"/>
          <w:vertAlign w:val="superscript"/>
        </w:rPr>
      </w:pPr>
    </w:p>
    <w:p>
      <w:pPr>
        <w:ind w:left="160" w:hanging="157"/>
        <w:spacing w:after="0" w:line="209" w:lineRule="auto"/>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Other includes ZURZUVAE™, ADUHELM® and FUMADERM™.</w:t>
      </w:r>
    </w:p>
    <w:p>
      <w:pPr>
        <w:spacing w:after="0" w:line="3" w:lineRule="exact"/>
        <w:rPr>
          <w:rFonts w:ascii="Arial" w:cs="Arial" w:eastAsia="Arial" w:hAnsi="Arial"/>
          <w:sz w:val="19"/>
          <w:szCs w:val="19"/>
          <w:color w:val="auto"/>
          <w:vertAlign w:val="superscript"/>
        </w:rPr>
      </w:pPr>
    </w:p>
    <w:p>
      <w:pPr>
        <w:ind w:left="160" w:hanging="157"/>
        <w:spacing w:after="0" w:line="209" w:lineRule="auto"/>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Includes Biogen’s 50% share of net revenue and cost of sales, including royalties, from the LEQEMBI® Collaboration.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0" w:hanging="150"/>
        <w:spacing w:after="0"/>
        <w:tabs>
          <w:tab w:leader="none" w:pos="150" w:val="left"/>
        </w:tabs>
        <w:numPr>
          <w:ilvl w:val="0"/>
          <w:numId w:val="9"/>
        </w:numPr>
        <w:rPr>
          <w:rFonts w:ascii="MS PGothic" w:cs="MS PGothic" w:eastAsia="MS PGothic" w:hAnsi="MS PGothic"/>
          <w:sz w:val="14"/>
          <w:szCs w:val="14"/>
          <w:color w:val="auto"/>
        </w:rPr>
      </w:pPr>
      <w:r>
        <w:rPr>
          <w:rFonts w:ascii="Arial" w:cs="Arial" w:eastAsia="Arial" w:hAnsi="Arial"/>
          <w:sz w:val="14"/>
          <w:szCs w:val="14"/>
          <w:b w:val="1"/>
          <w:bCs w:val="1"/>
          <w:color w:val="auto"/>
        </w:rPr>
        <w:t>(CC#)</w:t>
      </w:r>
    </w:p>
    <w:p>
      <w:pPr>
        <w:spacing w:after="0" w:line="65" w:lineRule="exact"/>
        <w:rPr>
          <w:rFonts w:ascii="MS PGothic" w:cs="MS PGothic" w:eastAsia="MS PGothic" w:hAnsi="MS PGothic"/>
          <w:sz w:val="14"/>
          <w:szCs w:val="14"/>
          <w:color w:val="auto"/>
        </w:rPr>
      </w:pPr>
    </w:p>
    <w:p>
      <w:pPr>
        <w:ind w:left="130"/>
        <w:spacing w:after="0"/>
        <w:rPr>
          <w:rFonts w:ascii="MS PGothic" w:cs="MS PGothic" w:eastAsia="MS PGothic" w:hAnsi="MS PGothic"/>
          <w:sz w:val="14"/>
          <w:szCs w:val="14"/>
          <w:color w:val="auto"/>
        </w:rPr>
      </w:pPr>
      <w:r>
        <w:rPr>
          <w:rFonts w:ascii="Arial" w:cs="Arial" w:eastAsia="Arial" w:hAnsi="Arial"/>
          <w:sz w:val="16"/>
          <w:szCs w:val="16"/>
          <w:color w:val="auto"/>
        </w:rPr>
        <w:t>(7)%</w:t>
      </w:r>
    </w:p>
    <w:p>
      <w:pPr>
        <w:spacing w:after="0" w:line="18" w:lineRule="exact"/>
        <w:rPr>
          <w:rFonts w:ascii="MS PGothic" w:cs="MS PGothic" w:eastAsia="MS PGothic" w:hAnsi="MS PGothic"/>
          <w:sz w:val="14"/>
          <w:szCs w:val="14"/>
          <w:color w:val="auto"/>
        </w:rPr>
      </w:pPr>
    </w:p>
    <w:p>
      <w:pPr>
        <w:ind w:left="130"/>
        <w:spacing w:after="0"/>
        <w:rPr>
          <w:rFonts w:ascii="MS PGothic" w:cs="MS PGothic" w:eastAsia="MS PGothic" w:hAnsi="MS PGothic"/>
          <w:sz w:val="14"/>
          <w:szCs w:val="14"/>
          <w:color w:val="auto"/>
        </w:rPr>
      </w:pPr>
      <w:r>
        <w:rPr>
          <w:rFonts w:ascii="Arial" w:cs="Arial" w:eastAsia="Arial" w:hAnsi="Arial"/>
          <w:sz w:val="16"/>
          <w:szCs w:val="16"/>
          <w:color w:val="auto"/>
        </w:rPr>
        <w:t>11%</w:t>
      </w:r>
    </w:p>
    <w:p>
      <w:pPr>
        <w:spacing w:after="0" w:line="22" w:lineRule="exact"/>
        <w:rPr>
          <w:rFonts w:ascii="MS PGothic" w:cs="MS PGothic" w:eastAsia="MS PGothic" w:hAnsi="MS PGothic"/>
          <w:sz w:val="14"/>
          <w:szCs w:val="14"/>
          <w:color w:val="auto"/>
        </w:rPr>
      </w:pPr>
    </w:p>
    <w:p>
      <w:pPr>
        <w:ind w:left="170"/>
        <w:spacing w:after="0"/>
        <w:rPr>
          <w:rFonts w:ascii="MS PGothic" w:cs="MS PGothic" w:eastAsia="MS PGothic" w:hAnsi="MS PGothic"/>
          <w:sz w:val="14"/>
          <w:szCs w:val="14"/>
          <w:color w:val="auto"/>
        </w:rPr>
      </w:pPr>
      <w:r>
        <w:rPr>
          <w:rFonts w:ascii="Arial" w:cs="Arial" w:eastAsia="Arial" w:hAnsi="Arial"/>
          <w:sz w:val="16"/>
          <w:szCs w:val="16"/>
          <w:color w:val="auto"/>
        </w:rPr>
        <w:t>2%</w:t>
      </w:r>
    </w:p>
    <w:p>
      <w:pPr>
        <w:spacing w:after="0" w:line="22" w:lineRule="exact"/>
        <w:rPr>
          <w:rFonts w:ascii="MS PGothic" w:cs="MS PGothic" w:eastAsia="MS PGothic" w:hAnsi="MS PGothic"/>
          <w:sz w:val="14"/>
          <w:szCs w:val="14"/>
          <w:color w:val="auto"/>
        </w:rPr>
      </w:pPr>
    </w:p>
    <w:p>
      <w:pPr>
        <w:ind w:left="110"/>
        <w:spacing w:after="0"/>
        <w:rPr>
          <w:rFonts w:ascii="MS PGothic" w:cs="MS PGothic" w:eastAsia="MS PGothic" w:hAnsi="MS PGothic"/>
          <w:sz w:val="14"/>
          <w:szCs w:val="14"/>
          <w:color w:val="auto"/>
        </w:rPr>
      </w:pPr>
      <w:r>
        <w:rPr>
          <w:rFonts w:ascii="Arial" w:cs="Arial" w:eastAsia="Arial" w:hAnsi="Arial"/>
          <w:sz w:val="16"/>
          <w:szCs w:val="16"/>
          <w:color w:val="auto"/>
        </w:rPr>
        <w:t>NMF</w:t>
      </w:r>
    </w:p>
    <w:p>
      <w:pPr>
        <w:spacing w:after="0" w:line="35" w:lineRule="exact"/>
        <w:rPr>
          <w:rFonts w:ascii="MS PGothic" w:cs="MS PGothic" w:eastAsia="MS PGothic" w:hAnsi="MS PGothic"/>
          <w:sz w:val="14"/>
          <w:szCs w:val="14"/>
          <w:color w:val="auto"/>
        </w:rPr>
      </w:pPr>
    </w:p>
    <w:p>
      <w:pPr>
        <w:ind w:left="150"/>
        <w:spacing w:after="0"/>
        <w:rPr>
          <w:rFonts w:ascii="MS PGothic" w:cs="MS PGothic" w:eastAsia="MS PGothic" w:hAnsi="MS PGothic"/>
          <w:sz w:val="14"/>
          <w:szCs w:val="14"/>
          <w:color w:val="auto"/>
        </w:rPr>
      </w:pPr>
      <w:r>
        <w:rPr>
          <w:rFonts w:ascii="Arial" w:cs="Arial" w:eastAsia="Arial" w:hAnsi="Arial"/>
          <w:sz w:val="16"/>
          <w:szCs w:val="16"/>
          <w:color w:val="auto"/>
        </w:rPr>
        <w:t>—%</w:t>
      </w:r>
    </w:p>
    <w:p>
      <w:pPr>
        <w:spacing w:after="0" w:line="22" w:lineRule="exact"/>
        <w:rPr>
          <w:rFonts w:ascii="MS PGothic" w:cs="MS PGothic" w:eastAsia="MS PGothic" w:hAnsi="MS PGothic"/>
          <w:sz w:val="14"/>
          <w:szCs w:val="14"/>
          <w:color w:val="auto"/>
        </w:rPr>
      </w:pPr>
    </w:p>
    <w:p>
      <w:pPr>
        <w:ind w:left="170"/>
        <w:spacing w:after="0"/>
        <w:rPr>
          <w:rFonts w:ascii="MS PGothic" w:cs="MS PGothic" w:eastAsia="MS PGothic" w:hAnsi="MS PGothic"/>
          <w:sz w:val="14"/>
          <w:szCs w:val="14"/>
          <w:color w:val="auto"/>
        </w:rPr>
      </w:pPr>
      <w:r>
        <w:rPr>
          <w:rFonts w:ascii="Arial" w:cs="Arial" w:eastAsia="Arial" w:hAnsi="Arial"/>
          <w:sz w:val="16"/>
          <w:szCs w:val="16"/>
          <w:color w:val="auto"/>
        </w:rPr>
        <w:t>4%</w:t>
      </w:r>
    </w:p>
    <w:p>
      <w:pPr>
        <w:spacing w:after="0" w:line="22" w:lineRule="exact"/>
        <w:rPr>
          <w:rFonts w:ascii="MS PGothic" w:cs="MS PGothic" w:eastAsia="MS PGothic" w:hAnsi="MS PGothic"/>
          <w:sz w:val="14"/>
          <w:szCs w:val="14"/>
          <w:color w:val="auto"/>
        </w:rPr>
      </w:pPr>
    </w:p>
    <w:p>
      <w:pPr>
        <w:ind w:left="110"/>
        <w:spacing w:after="0"/>
        <w:rPr>
          <w:rFonts w:ascii="MS PGothic" w:cs="MS PGothic" w:eastAsia="MS PGothic" w:hAnsi="MS PGothic"/>
          <w:sz w:val="14"/>
          <w:szCs w:val="14"/>
          <w:color w:val="auto"/>
        </w:rPr>
      </w:pPr>
      <w:r>
        <w:rPr>
          <w:rFonts w:ascii="Arial" w:cs="Arial" w:eastAsia="Arial" w:hAnsi="Arial"/>
          <w:sz w:val="16"/>
          <w:szCs w:val="16"/>
          <w:color w:val="auto"/>
        </w:rPr>
        <w:t>NMF</w:t>
      </w:r>
    </w:p>
    <w:p>
      <w:pPr>
        <w:spacing w:after="0" w:line="22" w:lineRule="exact"/>
        <w:rPr>
          <w:rFonts w:ascii="MS PGothic" w:cs="MS PGothic" w:eastAsia="MS PGothic" w:hAnsi="MS PGothic"/>
          <w:sz w:val="14"/>
          <w:szCs w:val="14"/>
          <w:color w:val="auto"/>
        </w:rPr>
      </w:pPr>
    </w:p>
    <w:p>
      <w:pPr>
        <w:ind w:left="90"/>
        <w:spacing w:after="0"/>
        <w:rPr>
          <w:rFonts w:ascii="MS PGothic" w:cs="MS PGothic" w:eastAsia="MS PGothic" w:hAnsi="MS PGothic"/>
          <w:sz w:val="14"/>
          <w:szCs w:val="14"/>
          <w:color w:val="auto"/>
        </w:rPr>
      </w:pPr>
      <w:r>
        <w:rPr>
          <w:rFonts w:ascii="Arial" w:cs="Arial" w:eastAsia="Arial" w:hAnsi="Arial"/>
          <w:sz w:val="16"/>
          <w:szCs w:val="16"/>
          <w:color w:val="auto"/>
        </w:rPr>
        <w:t>(28)%</w:t>
      </w:r>
    </w:p>
    <w:p>
      <w:pPr>
        <w:spacing w:after="0" w:line="33" w:lineRule="exact"/>
        <w:rPr>
          <w:rFonts w:ascii="MS PGothic" w:cs="MS PGothic" w:eastAsia="MS PGothic" w:hAnsi="MS PGothic"/>
          <w:sz w:val="14"/>
          <w:szCs w:val="14"/>
          <w:color w:val="auto"/>
        </w:rPr>
      </w:pPr>
    </w:p>
    <w:p>
      <w:pPr>
        <w:ind w:left="130"/>
        <w:spacing w:after="0"/>
        <w:rPr>
          <w:rFonts w:ascii="MS PGothic" w:cs="MS PGothic" w:eastAsia="MS PGothic" w:hAnsi="MS PGothic"/>
          <w:sz w:val="14"/>
          <w:szCs w:val="14"/>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-123825</wp:posOffset>
            </wp:positionV>
            <wp:extent cx="517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752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-657225</wp:posOffset>
            </wp:positionV>
            <wp:extent cx="517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52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-1306830</wp:posOffset>
            </wp:positionV>
            <wp:extent cx="517525" cy="123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7525" cy="123825"/>
                    </a:xfrm>
                    <a:prstGeom prst="rect">
                      <a:avLst/>
                    </a:prstGeom>
                    <a:noFill/>
                  </pic:spPr>
                </pic:pic>
              </a:graphicData>
            </a:graphic>
          </wp:anchor>
        </w:drawing>
      </w:r>
    </w:p>
    <w:p>
      <w:pPr>
        <w:spacing w:after="0" w:line="1619" w:lineRule="exact"/>
        <w:rPr>
          <w:sz w:val="20"/>
          <w:szCs w:val="20"/>
          <w:color w:val="auto"/>
        </w:rPr>
      </w:pPr>
    </w:p>
    <w:p>
      <w:pPr>
        <w:sectPr>
          <w:pgSz w:w="11900" w:h="16838" w:orient="portrait"/>
          <w:cols w:equalWidth="0" w:num="2">
            <w:col w:w="10340" w:space="210"/>
            <w:col w:w="570"/>
          </w:cols>
          <w:pgMar w:left="320" w:top="1062" w:right="459" w:bottom="1440" w:gutter="0" w:footer="0" w:header="0"/>
          <w:type w:val="continuous"/>
        </w:sectPr>
      </w:pPr>
    </w:p>
    <w:p>
      <w:pPr>
        <w:spacing w:after="0" w:line="39" w:lineRule="exact"/>
        <w:rPr>
          <w:sz w:val="20"/>
          <w:szCs w:val="20"/>
          <w:color w:val="auto"/>
        </w:rPr>
      </w:pPr>
    </w:p>
    <w:p>
      <w:pPr>
        <w:ind w:left="260" w:hanging="257"/>
        <w:spacing w:after="0"/>
        <w:tabs>
          <w:tab w:leader="none" w:pos="260" w:val="left"/>
        </w:tabs>
        <w:numPr>
          <w:ilvl w:val="0"/>
          <w:numId w:val="10"/>
        </w:numPr>
        <w:rPr>
          <w:rFonts w:ascii="Arial" w:cs="Arial" w:eastAsia="Arial" w:hAnsi="Arial"/>
          <w:sz w:val="18"/>
          <w:szCs w:val="18"/>
          <w:i w:val="1"/>
          <w:iCs w:val="1"/>
          <w:color w:val="0070C0"/>
        </w:rPr>
      </w:pPr>
      <w:r>
        <w:rPr>
          <w:rFonts w:ascii="Arial" w:cs="Arial" w:eastAsia="Arial" w:hAnsi="Arial"/>
          <w:sz w:val="18"/>
          <w:szCs w:val="18"/>
          <w:color w:val="auto"/>
        </w:rPr>
        <w:t>Fourth quarter and full year 2024 ZURZUVAE revenue was approximately $23 million and approximately $72 million, respectively.</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Expense Summary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millions, except percentages)</w:t>
            </w:r>
          </w:p>
        </w:tc>
        <w:tc>
          <w:tcPr>
            <w:tcW w:w="100" w:type="dxa"/>
            <w:vAlign w:val="bottom"/>
          </w:tcPr>
          <w:p>
            <w:pPr>
              <w:spacing w:after="0"/>
              <w:rPr>
                <w:sz w:val="16"/>
                <w:szCs w:val="16"/>
                <w:color w:val="auto"/>
              </w:rPr>
            </w:pPr>
          </w:p>
        </w:tc>
        <w:tc>
          <w:tcPr>
            <w:tcW w:w="10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2573BA"/>
                <w:w w:val="96"/>
              </w:rPr>
              <w:t>Q4 '24</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Q4 '23</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00" w:type="dxa"/>
            <w:vAlign w:val="bottom"/>
          </w:tcPr>
          <w:p>
            <w:pPr>
              <w:spacing w:after="0"/>
              <w:rPr>
                <w:sz w:val="16"/>
                <w:szCs w:val="16"/>
                <w:color w:val="auto"/>
              </w:rPr>
            </w:pPr>
          </w:p>
        </w:tc>
        <w:tc>
          <w:tcPr>
            <w:tcW w:w="108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6"/>
                <w:szCs w:val="16"/>
                <w:b w:val="1"/>
                <w:bCs w:val="1"/>
                <w:color w:val="2573BA"/>
              </w:rPr>
              <w:t>FY '24</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FY '23</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5"/>
        </w:trPr>
        <w:tc>
          <w:tcPr>
            <w:tcW w:w="3760" w:type="dxa"/>
            <w:vAlign w:val="bottom"/>
          </w:tcPr>
          <w:p>
            <w:pPr>
              <w:ind w:left="20"/>
              <w:spacing w:after="0" w:line="206" w:lineRule="exact"/>
              <w:rPr>
                <w:sz w:val="20"/>
                <w:szCs w:val="20"/>
                <w:color w:val="auto"/>
              </w:rPr>
            </w:pPr>
            <w:r>
              <w:rPr>
                <w:rFonts w:ascii="Arial" w:cs="Arial" w:eastAsia="Arial" w:hAnsi="Arial"/>
                <w:sz w:val="16"/>
                <w:szCs w:val="16"/>
                <w:color w:val="auto"/>
              </w:rPr>
              <w:t>GAAP cost of sales</w:t>
            </w:r>
            <w:r>
              <w:rPr>
                <w:rFonts w:ascii="Arial" w:cs="Arial" w:eastAsia="Arial" w:hAnsi="Arial"/>
                <w:sz w:val="20"/>
                <w:szCs w:val="20"/>
                <w:color w:val="auto"/>
                <w:vertAlign w:val="superscript"/>
              </w:rPr>
              <w:t>*</w:t>
            </w:r>
          </w:p>
        </w:tc>
        <w:tc>
          <w:tcPr>
            <w:tcW w:w="100" w:type="dxa"/>
            <w:vAlign w:val="bottom"/>
          </w:tcPr>
          <w:p>
            <w:pPr>
              <w:spacing w:after="0"/>
              <w:rPr>
                <w:sz w:val="17"/>
                <w:szCs w:val="17"/>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$583</w:t>
            </w:r>
          </w:p>
        </w:tc>
        <w:tc>
          <w:tcPr>
            <w:tcW w:w="1160" w:type="dxa"/>
            <w:vAlign w:val="bottom"/>
            <w:gridSpan w:val="2"/>
          </w:tcPr>
          <w:p>
            <w:pPr>
              <w:jc w:val="center"/>
              <w:ind w:left="25"/>
              <w:spacing w:after="0"/>
              <w:rPr>
                <w:sz w:val="20"/>
                <w:szCs w:val="20"/>
                <w:color w:val="auto"/>
              </w:rPr>
            </w:pPr>
            <w:r>
              <w:rPr>
                <w:rFonts w:ascii="Arial" w:cs="Arial" w:eastAsia="Arial" w:hAnsi="Arial"/>
                <w:sz w:val="16"/>
                <w:szCs w:val="16"/>
                <w:color w:val="auto"/>
                <w:w w:val="95"/>
              </w:rPr>
              <w:t>$618</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17"/>
                <w:szCs w:val="17"/>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$2,310</w:t>
            </w:r>
          </w:p>
        </w:tc>
        <w:tc>
          <w:tcPr>
            <w:tcW w:w="1160" w:type="dxa"/>
            <w:vAlign w:val="bottom"/>
            <w:gridSpan w:val="2"/>
          </w:tcPr>
          <w:p>
            <w:pPr>
              <w:jc w:val="center"/>
              <w:ind w:left="5"/>
              <w:spacing w:after="0"/>
              <w:rPr>
                <w:sz w:val="20"/>
                <w:szCs w:val="20"/>
                <w:color w:val="auto"/>
              </w:rPr>
            </w:pPr>
            <w:r>
              <w:rPr>
                <w:rFonts w:ascii="Arial" w:cs="Arial" w:eastAsia="Arial" w:hAnsi="Arial"/>
                <w:sz w:val="16"/>
                <w:szCs w:val="16"/>
                <w:color w:val="auto"/>
                <w:w w:val="98"/>
              </w:rPr>
              <w:t>$2,533</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9%</w:t>
            </w:r>
          </w:p>
        </w:tc>
      </w:tr>
      <w:tr>
        <w:trPr>
          <w:trHeight w:val="178"/>
        </w:trPr>
        <w:tc>
          <w:tcPr>
            <w:tcW w:w="3860" w:type="dxa"/>
            <w:vAlign w:val="bottom"/>
            <w:gridSpan w:val="2"/>
          </w:tcPr>
          <w:p>
            <w:pPr>
              <w:ind w:left="220"/>
              <w:spacing w:after="0"/>
              <w:rPr>
                <w:sz w:val="20"/>
                <w:szCs w:val="20"/>
                <w:color w:val="auto"/>
              </w:rPr>
            </w:pPr>
            <w:r>
              <w:rPr>
                <w:rFonts w:ascii="Arial" w:cs="Arial" w:eastAsia="Arial" w:hAnsi="Arial"/>
                <w:sz w:val="14"/>
                <w:szCs w:val="14"/>
                <w:i w:val="1"/>
                <w:iCs w:val="1"/>
                <w:color w:val="auto"/>
              </w:rPr>
              <w:t>% of Total Revenue</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026DCE"/>
                <w:w w:val="99"/>
              </w:rPr>
              <w:t>24%</w:t>
            </w:r>
          </w:p>
        </w:tc>
        <w:tc>
          <w:tcPr>
            <w:tcW w:w="1160" w:type="dxa"/>
            <w:vAlign w:val="bottom"/>
            <w:gridSpan w:val="2"/>
          </w:tcPr>
          <w:p>
            <w:pPr>
              <w:jc w:val="center"/>
              <w:ind w:left="45"/>
              <w:spacing w:after="0"/>
              <w:rPr>
                <w:sz w:val="20"/>
                <w:szCs w:val="20"/>
                <w:color w:val="auto"/>
              </w:rPr>
            </w:pPr>
            <w:r>
              <w:rPr>
                <w:rFonts w:ascii="Arial" w:cs="Arial" w:eastAsia="Arial" w:hAnsi="Arial"/>
                <w:sz w:val="14"/>
                <w:szCs w:val="14"/>
                <w:i w:val="1"/>
                <w:iCs w:val="1"/>
                <w:color w:val="auto"/>
                <w:w w:val="99"/>
              </w:rPr>
              <w:t>26%</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026DCE"/>
                <w:w w:val="99"/>
              </w:rPr>
              <w:t>24%</w:t>
            </w:r>
          </w:p>
        </w:tc>
        <w:tc>
          <w:tcPr>
            <w:tcW w:w="1160" w:type="dxa"/>
            <w:vAlign w:val="bottom"/>
            <w:gridSpan w:val="2"/>
          </w:tcPr>
          <w:p>
            <w:pPr>
              <w:jc w:val="center"/>
              <w:ind w:left="5"/>
              <w:spacing w:after="0"/>
              <w:rPr>
                <w:sz w:val="20"/>
                <w:szCs w:val="20"/>
                <w:color w:val="auto"/>
              </w:rPr>
            </w:pPr>
            <w:r>
              <w:rPr>
                <w:rFonts w:ascii="Arial" w:cs="Arial" w:eastAsia="Arial" w:hAnsi="Arial"/>
                <w:sz w:val="14"/>
                <w:szCs w:val="14"/>
                <w:i w:val="1"/>
                <w:iCs w:val="1"/>
                <w:color w:val="auto"/>
                <w:w w:val="99"/>
              </w:rPr>
              <w:t>26%</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3"/>
        </w:trPr>
        <w:tc>
          <w:tcPr>
            <w:tcW w:w="3860" w:type="dxa"/>
            <w:vAlign w:val="bottom"/>
            <w:gridSpan w:val="2"/>
          </w:tcPr>
          <w:p>
            <w:pPr>
              <w:ind w:left="20"/>
              <w:spacing w:after="0" w:line="223" w:lineRule="exact"/>
              <w:rPr>
                <w:sz w:val="20"/>
                <w:szCs w:val="20"/>
                <w:color w:val="auto"/>
              </w:rPr>
            </w:pPr>
            <w:r>
              <w:rPr>
                <w:rFonts w:ascii="Arial" w:cs="Arial" w:eastAsia="Arial" w:hAnsi="Arial"/>
                <w:sz w:val="16"/>
                <w:szCs w:val="16"/>
                <w:color w:val="auto"/>
              </w:rPr>
              <w:t>Non-GAAP cost of sales</w:t>
            </w:r>
            <w:r>
              <w:rPr>
                <w:rFonts w:ascii="Arial" w:cs="Arial" w:eastAsia="Arial" w:hAnsi="Arial"/>
                <w:sz w:val="20"/>
                <w:szCs w:val="20"/>
                <w:color w:val="auto"/>
                <w:vertAlign w:val="superscript"/>
              </w:rPr>
              <w:t>*</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$540</w:t>
            </w:r>
          </w:p>
        </w:tc>
        <w:tc>
          <w:tcPr>
            <w:tcW w:w="1160" w:type="dxa"/>
            <w:vAlign w:val="bottom"/>
            <w:gridSpan w:val="2"/>
          </w:tcPr>
          <w:p>
            <w:pPr>
              <w:jc w:val="center"/>
              <w:ind w:left="25"/>
              <w:spacing w:after="0"/>
              <w:rPr>
                <w:sz w:val="20"/>
                <w:szCs w:val="20"/>
                <w:color w:val="auto"/>
              </w:rPr>
            </w:pPr>
            <w:r>
              <w:rPr>
                <w:rFonts w:ascii="Arial" w:cs="Arial" w:eastAsia="Arial" w:hAnsi="Arial"/>
                <w:sz w:val="16"/>
                <w:szCs w:val="16"/>
                <w:color w:val="auto"/>
                <w:w w:val="95"/>
              </w:rPr>
              <w:t>$587</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19"/>
                <w:szCs w:val="19"/>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$2,137</w:t>
            </w:r>
          </w:p>
        </w:tc>
        <w:tc>
          <w:tcPr>
            <w:tcW w:w="1160" w:type="dxa"/>
            <w:vAlign w:val="bottom"/>
            <w:gridSpan w:val="2"/>
          </w:tcPr>
          <w:p>
            <w:pPr>
              <w:jc w:val="center"/>
              <w:ind w:left="5"/>
              <w:spacing w:after="0"/>
              <w:rPr>
                <w:sz w:val="20"/>
                <w:szCs w:val="20"/>
                <w:color w:val="auto"/>
              </w:rPr>
            </w:pPr>
            <w:r>
              <w:rPr>
                <w:rFonts w:ascii="Arial" w:cs="Arial" w:eastAsia="Arial" w:hAnsi="Arial"/>
                <w:sz w:val="16"/>
                <w:szCs w:val="16"/>
                <w:color w:val="auto"/>
                <w:w w:val="98"/>
              </w:rPr>
              <w:t>$2,502</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15%</w:t>
            </w:r>
          </w:p>
        </w:tc>
      </w:tr>
      <w:tr>
        <w:trPr>
          <w:trHeight w:val="181"/>
        </w:trPr>
        <w:tc>
          <w:tcPr>
            <w:tcW w:w="3860" w:type="dxa"/>
            <w:vAlign w:val="bottom"/>
            <w:gridSpan w:val="2"/>
          </w:tcPr>
          <w:p>
            <w:pPr>
              <w:ind w:left="220"/>
              <w:spacing w:after="0"/>
              <w:rPr>
                <w:sz w:val="20"/>
                <w:szCs w:val="20"/>
                <w:color w:val="auto"/>
              </w:rPr>
            </w:pPr>
            <w:r>
              <w:rPr>
                <w:rFonts w:ascii="Arial" w:cs="Arial" w:eastAsia="Arial" w:hAnsi="Arial"/>
                <w:sz w:val="14"/>
                <w:szCs w:val="14"/>
                <w:i w:val="1"/>
                <w:iCs w:val="1"/>
                <w:color w:val="auto"/>
              </w:rPr>
              <w:t>% of Total Revenue</w:t>
            </w: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026DCE"/>
                <w:w w:val="99"/>
              </w:rPr>
              <w:t>22%</w:t>
            </w:r>
          </w:p>
        </w:tc>
        <w:tc>
          <w:tcPr>
            <w:tcW w:w="1160" w:type="dxa"/>
            <w:vAlign w:val="bottom"/>
            <w:gridSpan w:val="2"/>
          </w:tcPr>
          <w:p>
            <w:pPr>
              <w:jc w:val="center"/>
              <w:ind w:left="45"/>
              <w:spacing w:after="0"/>
              <w:rPr>
                <w:sz w:val="20"/>
                <w:szCs w:val="20"/>
                <w:color w:val="auto"/>
              </w:rPr>
            </w:pPr>
            <w:r>
              <w:rPr>
                <w:rFonts w:ascii="Arial" w:cs="Arial" w:eastAsia="Arial" w:hAnsi="Arial"/>
                <w:sz w:val="14"/>
                <w:szCs w:val="14"/>
                <w:i w:val="1"/>
                <w:iCs w:val="1"/>
                <w:color w:val="auto"/>
                <w:w w:val="99"/>
              </w:rPr>
              <w:t>25%</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026DCE"/>
                <w:w w:val="99"/>
              </w:rPr>
              <w:t>22%</w:t>
            </w:r>
          </w:p>
        </w:tc>
        <w:tc>
          <w:tcPr>
            <w:tcW w:w="1160" w:type="dxa"/>
            <w:vAlign w:val="bottom"/>
            <w:gridSpan w:val="2"/>
          </w:tcPr>
          <w:p>
            <w:pPr>
              <w:jc w:val="center"/>
              <w:ind w:left="5"/>
              <w:spacing w:after="0"/>
              <w:rPr>
                <w:sz w:val="20"/>
                <w:szCs w:val="20"/>
                <w:color w:val="auto"/>
              </w:rPr>
            </w:pPr>
            <w:r>
              <w:rPr>
                <w:rFonts w:ascii="Arial" w:cs="Arial" w:eastAsia="Arial" w:hAnsi="Arial"/>
                <w:sz w:val="14"/>
                <w:szCs w:val="14"/>
                <w:i w:val="1"/>
                <w:iCs w:val="1"/>
                <w:color w:val="auto"/>
                <w:w w:val="99"/>
              </w:rPr>
              <w:t>25%</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GAAP R&amp;D expense</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$532</w:t>
            </w:r>
          </w:p>
        </w:tc>
        <w:tc>
          <w:tcPr>
            <w:tcW w:w="1160" w:type="dxa"/>
            <w:vAlign w:val="bottom"/>
            <w:gridSpan w:val="2"/>
          </w:tcPr>
          <w:p>
            <w:pPr>
              <w:jc w:val="center"/>
              <w:ind w:left="25"/>
              <w:spacing w:after="0"/>
              <w:rPr>
                <w:sz w:val="20"/>
                <w:szCs w:val="20"/>
                <w:color w:val="auto"/>
              </w:rPr>
            </w:pPr>
            <w:r>
              <w:rPr>
                <w:rFonts w:ascii="Arial" w:cs="Arial" w:eastAsia="Arial" w:hAnsi="Arial"/>
                <w:sz w:val="16"/>
                <w:szCs w:val="16"/>
                <w:color w:val="auto"/>
                <w:w w:val="95"/>
              </w:rPr>
              <w:t>$571</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8"/>
                <w:szCs w:val="18"/>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$2,042</w:t>
            </w:r>
          </w:p>
        </w:tc>
        <w:tc>
          <w:tcPr>
            <w:tcW w:w="1160" w:type="dxa"/>
            <w:vAlign w:val="bottom"/>
            <w:gridSpan w:val="2"/>
          </w:tcPr>
          <w:p>
            <w:pPr>
              <w:jc w:val="center"/>
              <w:ind w:left="5"/>
              <w:spacing w:after="0"/>
              <w:rPr>
                <w:sz w:val="20"/>
                <w:szCs w:val="20"/>
                <w:color w:val="auto"/>
              </w:rPr>
            </w:pPr>
            <w:r>
              <w:rPr>
                <w:rFonts w:ascii="Arial" w:cs="Arial" w:eastAsia="Arial" w:hAnsi="Arial"/>
                <w:sz w:val="16"/>
                <w:szCs w:val="16"/>
                <w:color w:val="auto"/>
                <w:w w:val="98"/>
              </w:rPr>
              <w:t>$2,462</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17%</w:t>
            </w:r>
          </w:p>
        </w:tc>
      </w:tr>
      <w:tr>
        <w:trPr>
          <w:trHeight w:val="20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Non-GAAP R&amp;D expense</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$528</w:t>
            </w:r>
          </w:p>
        </w:tc>
        <w:tc>
          <w:tcPr>
            <w:tcW w:w="1160" w:type="dxa"/>
            <w:vAlign w:val="bottom"/>
            <w:gridSpan w:val="2"/>
          </w:tcPr>
          <w:p>
            <w:pPr>
              <w:jc w:val="center"/>
              <w:ind w:left="25"/>
              <w:spacing w:after="0"/>
              <w:rPr>
                <w:sz w:val="20"/>
                <w:szCs w:val="20"/>
                <w:color w:val="auto"/>
              </w:rPr>
            </w:pPr>
            <w:r>
              <w:rPr>
                <w:rFonts w:ascii="Arial" w:cs="Arial" w:eastAsia="Arial" w:hAnsi="Arial"/>
                <w:sz w:val="16"/>
                <w:szCs w:val="16"/>
                <w:color w:val="auto"/>
                <w:w w:val="95"/>
              </w:rPr>
              <w:t>$568</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7"/>
                <w:szCs w:val="17"/>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$1,930</w:t>
            </w:r>
          </w:p>
        </w:tc>
        <w:tc>
          <w:tcPr>
            <w:tcW w:w="1160" w:type="dxa"/>
            <w:vAlign w:val="bottom"/>
            <w:gridSpan w:val="2"/>
          </w:tcPr>
          <w:p>
            <w:pPr>
              <w:jc w:val="center"/>
              <w:ind w:left="5"/>
              <w:spacing w:after="0"/>
              <w:rPr>
                <w:sz w:val="20"/>
                <w:szCs w:val="20"/>
                <w:color w:val="auto"/>
              </w:rPr>
            </w:pPr>
            <w:r>
              <w:rPr>
                <w:rFonts w:ascii="Arial" w:cs="Arial" w:eastAsia="Arial" w:hAnsi="Arial"/>
                <w:sz w:val="16"/>
                <w:szCs w:val="16"/>
                <w:color w:val="auto"/>
                <w:w w:val="98"/>
              </w:rPr>
              <w:t>$2,262</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15%</w:t>
            </w:r>
          </w:p>
        </w:tc>
      </w:tr>
      <w:tr>
        <w:trPr>
          <w:trHeight w:val="20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GAAP SG&amp;A expense</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$680</w:t>
            </w:r>
          </w:p>
        </w:tc>
        <w:tc>
          <w:tcPr>
            <w:tcW w:w="1160" w:type="dxa"/>
            <w:vAlign w:val="bottom"/>
            <w:gridSpan w:val="2"/>
          </w:tcPr>
          <w:p>
            <w:pPr>
              <w:jc w:val="center"/>
              <w:ind w:left="25"/>
              <w:spacing w:after="0"/>
              <w:rPr>
                <w:sz w:val="20"/>
                <w:szCs w:val="20"/>
                <w:color w:val="auto"/>
              </w:rPr>
            </w:pPr>
            <w:r>
              <w:rPr>
                <w:rFonts w:ascii="Arial" w:cs="Arial" w:eastAsia="Arial" w:hAnsi="Arial"/>
                <w:sz w:val="16"/>
                <w:szCs w:val="16"/>
                <w:color w:val="auto"/>
                <w:w w:val="95"/>
              </w:rPr>
              <w:t>$609</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(12)%</w:t>
            </w:r>
          </w:p>
        </w:tc>
        <w:tc>
          <w:tcPr>
            <w:tcW w:w="100" w:type="dxa"/>
            <w:vAlign w:val="bottom"/>
          </w:tcPr>
          <w:p>
            <w:pPr>
              <w:spacing w:after="0"/>
              <w:rPr>
                <w:sz w:val="17"/>
                <w:szCs w:val="17"/>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$2,404</w:t>
            </w:r>
          </w:p>
        </w:tc>
        <w:tc>
          <w:tcPr>
            <w:tcW w:w="1160" w:type="dxa"/>
            <w:vAlign w:val="bottom"/>
            <w:gridSpan w:val="2"/>
          </w:tcPr>
          <w:p>
            <w:pPr>
              <w:jc w:val="center"/>
              <w:ind w:left="5"/>
              <w:spacing w:after="0"/>
              <w:rPr>
                <w:sz w:val="20"/>
                <w:szCs w:val="20"/>
                <w:color w:val="auto"/>
              </w:rPr>
            </w:pPr>
            <w:r>
              <w:rPr>
                <w:rFonts w:ascii="Arial" w:cs="Arial" w:eastAsia="Arial" w:hAnsi="Arial"/>
                <w:sz w:val="16"/>
                <w:szCs w:val="16"/>
                <w:color w:val="auto"/>
                <w:w w:val="98"/>
              </w:rPr>
              <w:t>$2,550</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6%</w:t>
            </w:r>
          </w:p>
        </w:tc>
      </w:tr>
      <w:tr>
        <w:trPr>
          <w:trHeight w:val="209"/>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Non-GAAP SG&amp;A expense</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5"/>
              </w:rPr>
              <w:t>$673</w:t>
            </w:r>
          </w:p>
        </w:tc>
        <w:tc>
          <w:tcPr>
            <w:tcW w:w="1160" w:type="dxa"/>
            <w:vAlign w:val="bottom"/>
            <w:gridSpan w:val="2"/>
          </w:tcPr>
          <w:p>
            <w:pPr>
              <w:jc w:val="center"/>
              <w:ind w:left="25"/>
              <w:spacing w:after="0"/>
              <w:rPr>
                <w:sz w:val="20"/>
                <w:szCs w:val="20"/>
                <w:color w:val="auto"/>
              </w:rPr>
            </w:pPr>
            <w:r>
              <w:rPr>
                <w:rFonts w:ascii="Arial" w:cs="Arial" w:eastAsia="Arial" w:hAnsi="Arial"/>
                <w:sz w:val="16"/>
                <w:szCs w:val="16"/>
                <w:color w:val="auto"/>
                <w:w w:val="95"/>
              </w:rPr>
              <w:t>$588</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(14)%</w:t>
            </w:r>
          </w:p>
        </w:tc>
        <w:tc>
          <w:tcPr>
            <w:tcW w:w="100" w:type="dxa"/>
            <w:vAlign w:val="bottom"/>
          </w:tcPr>
          <w:p>
            <w:pPr>
              <w:spacing w:after="0"/>
              <w:rPr>
                <w:sz w:val="18"/>
                <w:szCs w:val="18"/>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026DCE"/>
                <w:w w:val="98"/>
              </w:rPr>
              <w:t>$2,340</w:t>
            </w:r>
          </w:p>
        </w:tc>
        <w:tc>
          <w:tcPr>
            <w:tcW w:w="1160" w:type="dxa"/>
            <w:vAlign w:val="bottom"/>
            <w:gridSpan w:val="2"/>
          </w:tcPr>
          <w:p>
            <w:pPr>
              <w:jc w:val="center"/>
              <w:ind w:left="5"/>
              <w:spacing w:after="0"/>
              <w:rPr>
                <w:sz w:val="20"/>
                <w:szCs w:val="20"/>
                <w:color w:val="auto"/>
              </w:rPr>
            </w:pPr>
            <w:r>
              <w:rPr>
                <w:rFonts w:ascii="Arial" w:cs="Arial" w:eastAsia="Arial" w:hAnsi="Arial"/>
                <w:sz w:val="16"/>
                <w:szCs w:val="16"/>
                <w:color w:val="auto"/>
                <w:w w:val="98"/>
              </w:rPr>
              <w:t>$2,277</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-1158240</wp:posOffset>
            </wp:positionV>
            <wp:extent cx="107315" cy="107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-1158240</wp:posOffset>
            </wp:positionV>
            <wp:extent cx="107315" cy="107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315" cy="107315"/>
                    </a:xfrm>
                    <a:prstGeom prst="rect">
                      <a:avLst/>
                    </a:prstGeom>
                    <a:noFill/>
                  </pic:spPr>
                </pic:pic>
              </a:graphicData>
            </a:graphic>
          </wp:anchor>
        </w:drawing>
      </w:r>
    </w:p>
    <w:p>
      <w:pPr>
        <w:spacing w:after="0" w:line="136" w:lineRule="exact"/>
        <w:rPr>
          <w:sz w:val="20"/>
          <w:szCs w:val="20"/>
          <w:color w:val="auto"/>
        </w:rPr>
      </w:pPr>
    </w:p>
    <w:p>
      <w:pPr>
        <w:ind w:right="4880"/>
        <w:spacing w:after="0" w:line="262" w:lineRule="auto"/>
        <w:rPr>
          <w:sz w:val="20"/>
          <w:szCs w:val="20"/>
          <w:color w:val="auto"/>
        </w:rPr>
      </w:pPr>
      <w:r>
        <w:rPr>
          <w:rFonts w:ascii="Arial" w:cs="Arial" w:eastAsia="Arial" w:hAnsi="Arial"/>
          <w:sz w:val="16"/>
          <w:szCs w:val="16"/>
          <w:color w:val="auto"/>
        </w:rPr>
        <w:t>Note: Percent changes represented as favorable/(unfavorable) versus the prior year period *Excluding amortization and impairment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447260"/>
        </w:rPr>
        <w:t>2</w:t>
      </w:r>
    </w:p>
    <w:p>
      <w:pPr>
        <w:sectPr>
          <w:pgSz w:w="11900" w:h="16838" w:orient="portrait"/>
          <w:cols w:equalWidth="0" w:num="1">
            <w:col w:w="11120"/>
          </w:cols>
          <w:pgMar w:left="320" w:top="1062" w:right="459" w:bottom="1440" w:gutter="0" w:footer="0" w:header="0"/>
          <w:type w:val="continuous"/>
        </w:sectPr>
      </w:pPr>
    </w:p>
    <w:bookmarkStart w:id="5" w:name="page6"/>
    <w:bookmarkEnd w:id="5"/>
    <w:p>
      <w:pPr>
        <w:ind w:left="320" w:right="140" w:hanging="317"/>
        <w:spacing w:after="0" w:line="261" w:lineRule="auto"/>
        <w:tabs>
          <w:tab w:leader="none" w:pos="257" w:val="left"/>
        </w:tabs>
        <w:numPr>
          <w:ilvl w:val="0"/>
          <w:numId w:val="11"/>
        </w:numPr>
        <w:rPr>
          <w:rFonts w:ascii="Arial" w:cs="Arial" w:eastAsia="Arial" w:hAnsi="Arial"/>
          <w:sz w:val="19"/>
          <w:szCs w:val="19"/>
          <w:i w:val="1"/>
          <w:iCs w:val="1"/>
          <w:color w:val="0070C0"/>
        </w:rPr>
      </w:pPr>
      <w:r>
        <w:rPr>
          <w:rFonts w:ascii="Arial" w:cs="Arial" w:eastAsia="Arial" w:hAnsi="Arial"/>
          <w:sz w:val="19"/>
          <w:szCs w:val="19"/>
          <w:color w:val="auto"/>
        </w:rPr>
        <w:t>The decrease in fourth quarter 2024 GAAP and Non-GAAP cost of sales as a percentage of total revenue was driven primarily by lower idle capacity charges.</w:t>
      </w:r>
    </w:p>
    <w:p>
      <w:pPr>
        <w:spacing w:after="0" w:line="184" w:lineRule="exact"/>
        <w:rPr>
          <w:rFonts w:ascii="Arial" w:cs="Arial" w:eastAsia="Arial" w:hAnsi="Arial"/>
          <w:sz w:val="19"/>
          <w:szCs w:val="19"/>
          <w:i w:val="1"/>
          <w:iCs w:val="1"/>
          <w:color w:val="0070C0"/>
        </w:rPr>
      </w:pPr>
    </w:p>
    <w:p>
      <w:pPr>
        <w:ind w:left="320" w:right="40" w:hanging="317"/>
        <w:spacing w:after="0" w:line="251" w:lineRule="auto"/>
        <w:tabs>
          <w:tab w:leader="none" w:pos="257" w:val="left"/>
        </w:tabs>
        <w:numPr>
          <w:ilvl w:val="0"/>
          <w:numId w:val="11"/>
        </w:numPr>
        <w:rPr>
          <w:rFonts w:ascii="Arial" w:cs="Arial" w:eastAsia="Arial" w:hAnsi="Arial"/>
          <w:sz w:val="19"/>
          <w:szCs w:val="19"/>
          <w:i w:val="1"/>
          <w:iCs w:val="1"/>
          <w:color w:val="0070C0"/>
        </w:rPr>
      </w:pPr>
      <w:r>
        <w:rPr>
          <w:rFonts w:ascii="Arial" w:cs="Arial" w:eastAsia="Arial" w:hAnsi="Arial"/>
          <w:sz w:val="19"/>
          <w:szCs w:val="19"/>
          <w:color w:val="auto"/>
        </w:rPr>
        <w:t>The decrease in full year 2024 GAAP and Non-GAAP cost of sales as a percentage of total revenue was driven primarily by product mix, particularly the year-over-year increase in revenue from new product launches, a decrease in contract manufacturing revenue, and lower idle capacity charges.</w:t>
      </w:r>
    </w:p>
    <w:p>
      <w:pPr>
        <w:spacing w:after="0" w:line="181" w:lineRule="exact"/>
        <w:rPr>
          <w:rFonts w:ascii="Arial" w:cs="Arial" w:eastAsia="Arial" w:hAnsi="Arial"/>
          <w:sz w:val="19"/>
          <w:szCs w:val="19"/>
          <w:i w:val="1"/>
          <w:iCs w:val="1"/>
          <w:color w:val="0070C0"/>
        </w:rPr>
      </w:pPr>
    </w:p>
    <w:p>
      <w:pPr>
        <w:ind w:left="320" w:right="280" w:hanging="317"/>
        <w:spacing w:after="0" w:line="275" w:lineRule="auto"/>
        <w:tabs>
          <w:tab w:leader="none" w:pos="257" w:val="left"/>
        </w:tabs>
        <w:numPr>
          <w:ilvl w:val="0"/>
          <w:numId w:val="11"/>
        </w:numPr>
        <w:rPr>
          <w:rFonts w:ascii="Arial" w:cs="Arial" w:eastAsia="Arial" w:hAnsi="Arial"/>
          <w:sz w:val="19"/>
          <w:szCs w:val="19"/>
          <w:b w:val="1"/>
          <w:bCs w:val="1"/>
          <w:i w:val="1"/>
          <w:iCs w:val="1"/>
          <w:color w:val="0070C0"/>
        </w:rPr>
      </w:pPr>
      <w:r>
        <w:rPr>
          <w:rFonts w:ascii="Arial" w:cs="Arial" w:eastAsia="Arial" w:hAnsi="Arial"/>
          <w:sz w:val="19"/>
          <w:szCs w:val="19"/>
          <w:color w:val="auto"/>
        </w:rPr>
        <w:t>The decrease in fourth quarter and full year 2024 GAAP and Non-GAAP R&amp;D expense was driven primarily by savings from the Company's R&amp;D prioritization and Fit for Growth initiatives.</w:t>
      </w:r>
    </w:p>
    <w:p>
      <w:pPr>
        <w:spacing w:after="0" w:line="159" w:lineRule="exact"/>
        <w:rPr>
          <w:rFonts w:ascii="Arial" w:cs="Arial" w:eastAsia="Arial" w:hAnsi="Arial"/>
          <w:sz w:val="19"/>
          <w:szCs w:val="19"/>
          <w:b w:val="1"/>
          <w:bCs w:val="1"/>
          <w:i w:val="1"/>
          <w:iCs w:val="1"/>
          <w:color w:val="0070C0"/>
        </w:rPr>
      </w:pPr>
    </w:p>
    <w:p>
      <w:pPr>
        <w:ind w:left="320" w:right="300" w:hanging="317"/>
        <w:spacing w:after="0" w:line="261" w:lineRule="auto"/>
        <w:tabs>
          <w:tab w:leader="none" w:pos="257" w:val="left"/>
        </w:tabs>
        <w:numPr>
          <w:ilvl w:val="0"/>
          <w:numId w:val="11"/>
        </w:numPr>
        <w:rPr>
          <w:rFonts w:ascii="Arial" w:cs="Arial" w:eastAsia="Arial" w:hAnsi="Arial"/>
          <w:sz w:val="19"/>
          <w:szCs w:val="19"/>
          <w:b w:val="1"/>
          <w:bCs w:val="1"/>
          <w:i w:val="1"/>
          <w:iCs w:val="1"/>
          <w:color w:val="0070C0"/>
        </w:rPr>
      </w:pPr>
      <w:r>
        <w:rPr>
          <w:rFonts w:ascii="Arial" w:cs="Arial" w:eastAsia="Arial" w:hAnsi="Arial"/>
          <w:sz w:val="19"/>
          <w:szCs w:val="19"/>
          <w:color w:val="auto"/>
        </w:rPr>
        <w:t>The increase in fourth quarter 2024 GAAP and Non-GAAP SG&amp;A was driven primarily by sales and marketing spend to support product launches, partially offset by savings from the Company's Fit for Growth initiative.</w:t>
      </w:r>
    </w:p>
    <w:p>
      <w:pPr>
        <w:spacing w:after="0" w:line="184" w:lineRule="exact"/>
        <w:rPr>
          <w:rFonts w:ascii="Arial" w:cs="Arial" w:eastAsia="Arial" w:hAnsi="Arial"/>
          <w:sz w:val="19"/>
          <w:szCs w:val="19"/>
          <w:b w:val="1"/>
          <w:bCs w:val="1"/>
          <w:i w:val="1"/>
          <w:iCs w:val="1"/>
          <w:color w:val="0070C0"/>
        </w:rPr>
      </w:pPr>
    </w:p>
    <w:p>
      <w:pPr>
        <w:ind w:left="320" w:right="80" w:hanging="317"/>
        <w:spacing w:after="0" w:line="251" w:lineRule="auto"/>
        <w:tabs>
          <w:tab w:leader="none" w:pos="257" w:val="left"/>
        </w:tabs>
        <w:numPr>
          <w:ilvl w:val="0"/>
          <w:numId w:val="11"/>
        </w:numPr>
        <w:rPr>
          <w:rFonts w:ascii="Arial" w:cs="Arial" w:eastAsia="Arial" w:hAnsi="Arial"/>
          <w:sz w:val="19"/>
          <w:szCs w:val="19"/>
          <w:b w:val="1"/>
          <w:bCs w:val="1"/>
          <w:i w:val="1"/>
          <w:iCs w:val="1"/>
          <w:color w:val="0070C0"/>
        </w:rPr>
      </w:pPr>
      <w:r>
        <w:rPr>
          <w:rFonts w:ascii="Arial" w:cs="Arial" w:eastAsia="Arial" w:hAnsi="Arial"/>
          <w:sz w:val="19"/>
          <w:szCs w:val="19"/>
          <w:color w:val="auto"/>
        </w:rPr>
        <w:t>Full year 2024 GAAP and Non-GAAP SG&amp;A includes higher operational spending on sales and marketing activities in support of LEQEMBI and SKYCLARYS, which was partially offset by cost-reduction measures realized in connection with the Company's Fit for Growth program.</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Financial Highlights</w:t>
      </w:r>
    </w:p>
    <w:p>
      <w:pPr>
        <w:spacing w:after="0" w:line="221" w:lineRule="exact"/>
        <w:rPr>
          <w:sz w:val="20"/>
          <w:szCs w:val="20"/>
          <w:color w:val="auto"/>
        </w:rPr>
      </w:pPr>
    </w:p>
    <w:p>
      <w:pPr>
        <w:ind w:left="320" w:hanging="317"/>
        <w:spacing w:after="0" w:line="251" w:lineRule="auto"/>
        <w:tabs>
          <w:tab w:leader="none" w:pos="257" w:val="left"/>
        </w:tabs>
        <w:numPr>
          <w:ilvl w:val="0"/>
          <w:numId w:val="12"/>
        </w:numPr>
        <w:rPr>
          <w:rFonts w:ascii="Arial" w:cs="Arial" w:eastAsia="Arial" w:hAnsi="Arial"/>
          <w:sz w:val="19"/>
          <w:szCs w:val="19"/>
          <w:i w:val="1"/>
          <w:iCs w:val="1"/>
          <w:color w:val="0070C0"/>
        </w:rPr>
      </w:pPr>
      <w:r>
        <w:rPr>
          <w:rFonts w:ascii="Arial" w:cs="Arial" w:eastAsia="Arial" w:hAnsi="Arial"/>
          <w:sz w:val="19"/>
          <w:szCs w:val="19"/>
          <w:color w:val="auto"/>
        </w:rPr>
        <w:t>Fourth quarter 2024 GAAP and Non-GAAP collaboration profit sharing was a net expense of approximately $57 million. This includes approximately $51 million related to Biogen’s collaboration with Samsung Bioepis, and approximately $6 million related to Biogen’s collaboration with Sage Therapeutics related to the commercialization of ZURZUVAE in the U.S.</w:t>
      </w:r>
    </w:p>
    <w:p>
      <w:pPr>
        <w:spacing w:after="0" w:line="194" w:lineRule="exact"/>
        <w:rPr>
          <w:rFonts w:ascii="Arial" w:cs="Arial" w:eastAsia="Arial" w:hAnsi="Arial"/>
          <w:sz w:val="19"/>
          <w:szCs w:val="19"/>
          <w:i w:val="1"/>
          <w:iCs w:val="1"/>
          <w:color w:val="0070C0"/>
        </w:rPr>
      </w:pPr>
    </w:p>
    <w:p>
      <w:pPr>
        <w:ind w:left="320" w:right="200" w:hanging="317"/>
        <w:spacing w:after="0" w:line="251" w:lineRule="auto"/>
        <w:tabs>
          <w:tab w:leader="none" w:pos="257" w:val="left"/>
        </w:tabs>
        <w:numPr>
          <w:ilvl w:val="0"/>
          <w:numId w:val="12"/>
        </w:numPr>
        <w:rPr>
          <w:rFonts w:ascii="Arial" w:cs="Arial" w:eastAsia="Arial" w:hAnsi="Arial"/>
          <w:sz w:val="19"/>
          <w:szCs w:val="19"/>
          <w:i w:val="1"/>
          <w:iCs w:val="1"/>
          <w:color w:val="0070C0"/>
        </w:rPr>
      </w:pPr>
      <w:r>
        <w:rPr>
          <w:rFonts w:ascii="Arial" w:cs="Arial" w:eastAsia="Arial" w:hAnsi="Arial"/>
          <w:sz w:val="19"/>
          <w:szCs w:val="19"/>
          <w:color w:val="auto"/>
        </w:rPr>
        <w:t>Full year 2024 GAAP and Non-GAAP collaboration profit sharing was a net expense of approximately $254 million. This includes approximately $227 million related to Biogen’s collaboration with Samsung Bioepis, and approximately $27 million related to Biogen’s collaboration with Sage Therapeutics related to the commercialization of ZURZUVAE in the U.S.</w:t>
      </w:r>
    </w:p>
    <w:p>
      <w:pPr>
        <w:spacing w:after="0" w:line="181" w:lineRule="exact"/>
        <w:rPr>
          <w:rFonts w:ascii="Arial" w:cs="Arial" w:eastAsia="Arial" w:hAnsi="Arial"/>
          <w:sz w:val="19"/>
          <w:szCs w:val="19"/>
          <w:i w:val="1"/>
          <w:iCs w:val="1"/>
          <w:color w:val="0070C0"/>
        </w:rPr>
      </w:pPr>
    </w:p>
    <w:p>
      <w:pPr>
        <w:jc w:val="both"/>
        <w:ind w:left="320" w:hanging="317"/>
        <w:spacing w:after="0" w:line="251" w:lineRule="auto"/>
        <w:tabs>
          <w:tab w:leader="none" w:pos="257" w:val="left"/>
        </w:tabs>
        <w:numPr>
          <w:ilvl w:val="0"/>
          <w:numId w:val="12"/>
        </w:numPr>
        <w:rPr>
          <w:rFonts w:ascii="Arial" w:cs="Arial" w:eastAsia="Arial" w:hAnsi="Arial"/>
          <w:sz w:val="19"/>
          <w:szCs w:val="19"/>
          <w:i w:val="1"/>
          <w:iCs w:val="1"/>
          <w:color w:val="0070C0"/>
        </w:rPr>
      </w:pPr>
      <w:r>
        <w:rPr>
          <w:rFonts w:ascii="Arial" w:cs="Arial" w:eastAsia="Arial" w:hAnsi="Arial"/>
          <w:sz w:val="19"/>
          <w:szCs w:val="19"/>
          <w:color w:val="auto"/>
        </w:rPr>
        <w:t>Fourth quarter 2024 GAAP other expense was approximately $150 million and includes approximately $78 million of net losses on strategic equity investments and approximately $42 million of net interest expense. Fourth quarter 2024 Non-GAAP other expense was approximately $72 million, primarily driven by net interest expense.</w:t>
      </w:r>
    </w:p>
    <w:p>
      <w:pPr>
        <w:spacing w:after="0" w:line="181" w:lineRule="exact"/>
        <w:rPr>
          <w:rFonts w:ascii="Arial" w:cs="Arial" w:eastAsia="Arial" w:hAnsi="Arial"/>
          <w:sz w:val="19"/>
          <w:szCs w:val="19"/>
          <w:i w:val="1"/>
          <w:iCs w:val="1"/>
          <w:color w:val="0070C0"/>
        </w:rPr>
      </w:pPr>
    </w:p>
    <w:p>
      <w:pPr>
        <w:ind w:left="320" w:right="200" w:hanging="317"/>
        <w:spacing w:after="0" w:line="251" w:lineRule="auto"/>
        <w:tabs>
          <w:tab w:leader="none" w:pos="257" w:val="left"/>
        </w:tabs>
        <w:numPr>
          <w:ilvl w:val="0"/>
          <w:numId w:val="12"/>
        </w:numPr>
        <w:rPr>
          <w:rFonts w:ascii="Arial" w:cs="Arial" w:eastAsia="Arial" w:hAnsi="Arial"/>
          <w:sz w:val="19"/>
          <w:szCs w:val="19"/>
          <w:i w:val="1"/>
          <w:iCs w:val="1"/>
          <w:color w:val="0070C0"/>
        </w:rPr>
      </w:pPr>
      <w:r>
        <w:rPr>
          <w:rFonts w:ascii="Arial" w:cs="Arial" w:eastAsia="Arial" w:hAnsi="Arial"/>
          <w:sz w:val="19"/>
          <w:szCs w:val="19"/>
          <w:color w:val="auto"/>
        </w:rPr>
        <w:t>Full year 2024 GAAP other expense was approximately $344 million and includes approximately $183 million of net interest expense and approximately $100 million of net losses on strategic equity investments. Full year 2024 Non-GAAP other expense was approximately $243 million, primarily driven by net interest expense.</w:t>
      </w:r>
    </w:p>
    <w:p>
      <w:pPr>
        <w:spacing w:after="0" w:line="194" w:lineRule="exact"/>
        <w:rPr>
          <w:rFonts w:ascii="Arial" w:cs="Arial" w:eastAsia="Arial" w:hAnsi="Arial"/>
          <w:sz w:val="19"/>
          <w:szCs w:val="19"/>
          <w:i w:val="1"/>
          <w:iCs w:val="1"/>
          <w:color w:val="0070C0"/>
        </w:rPr>
      </w:pPr>
    </w:p>
    <w:p>
      <w:pPr>
        <w:ind w:left="320" w:right="80" w:hanging="317"/>
        <w:spacing w:after="0" w:line="261" w:lineRule="auto"/>
        <w:tabs>
          <w:tab w:leader="none" w:pos="257" w:val="left"/>
        </w:tabs>
        <w:numPr>
          <w:ilvl w:val="0"/>
          <w:numId w:val="12"/>
        </w:numPr>
        <w:rPr>
          <w:rFonts w:ascii="Arial" w:cs="Arial" w:eastAsia="Arial" w:hAnsi="Arial"/>
          <w:sz w:val="19"/>
          <w:szCs w:val="19"/>
          <w:i w:val="1"/>
          <w:iCs w:val="1"/>
          <w:color w:val="0070C0"/>
        </w:rPr>
      </w:pPr>
      <w:r>
        <w:rPr>
          <w:rFonts w:ascii="Arial" w:cs="Arial" w:eastAsia="Arial" w:hAnsi="Arial"/>
          <w:sz w:val="19"/>
          <w:szCs w:val="19"/>
          <w:color w:val="auto"/>
        </w:rPr>
        <w:t>Fourth quarter 2024 GAAP and Non-GAAP effective tax rates were 8.5% and 12.2%, respectively. Fourth quarter 2023 GAAP and Non-GAAP effective tax rates were 14.7% and 17.0%, respectively.</w:t>
      </w:r>
    </w:p>
    <w:p>
      <w:pPr>
        <w:spacing w:after="0" w:line="171" w:lineRule="exact"/>
        <w:rPr>
          <w:rFonts w:ascii="Arial" w:cs="Arial" w:eastAsia="Arial" w:hAnsi="Arial"/>
          <w:sz w:val="19"/>
          <w:szCs w:val="19"/>
          <w:i w:val="1"/>
          <w:iCs w:val="1"/>
          <w:color w:val="0070C0"/>
        </w:rPr>
      </w:pPr>
    </w:p>
    <w:p>
      <w:pPr>
        <w:ind w:left="320" w:right="460" w:hanging="317"/>
        <w:spacing w:after="0" w:line="275" w:lineRule="auto"/>
        <w:tabs>
          <w:tab w:leader="none" w:pos="257" w:val="left"/>
        </w:tabs>
        <w:numPr>
          <w:ilvl w:val="0"/>
          <w:numId w:val="12"/>
        </w:numPr>
        <w:rPr>
          <w:rFonts w:ascii="Arial" w:cs="Arial" w:eastAsia="Arial" w:hAnsi="Arial"/>
          <w:sz w:val="19"/>
          <w:szCs w:val="19"/>
          <w:i w:val="1"/>
          <w:iCs w:val="1"/>
          <w:color w:val="2573BA"/>
        </w:rPr>
      </w:pPr>
      <w:r>
        <w:rPr>
          <w:rFonts w:ascii="Arial" w:cs="Arial" w:eastAsia="Arial" w:hAnsi="Arial"/>
          <w:sz w:val="19"/>
          <w:szCs w:val="19"/>
          <w:color w:val="auto"/>
        </w:rPr>
        <w:t>Full year 2024 GAAP and Non-GAAP effective tax rates were 14.4% and 14.6%, respectively. Full year 2023 GAAP and Non-GAAP effective tax rates were 10.4% and 15.2%,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Position</w:t>
      </w:r>
    </w:p>
    <w:p>
      <w:pPr>
        <w:spacing w:after="0" w:line="234" w:lineRule="exact"/>
        <w:rPr>
          <w:sz w:val="20"/>
          <w:szCs w:val="20"/>
          <w:color w:val="auto"/>
        </w:rPr>
      </w:pPr>
    </w:p>
    <w:p>
      <w:pPr>
        <w:ind w:left="320" w:right="160" w:hanging="317"/>
        <w:spacing w:after="0" w:line="304" w:lineRule="auto"/>
        <w:tabs>
          <w:tab w:leader="none" w:pos="270" w:val="left"/>
        </w:tabs>
        <w:numPr>
          <w:ilvl w:val="0"/>
          <w:numId w:val="13"/>
        </w:numPr>
        <w:rPr>
          <w:rFonts w:ascii="Arial" w:cs="Arial" w:eastAsia="Arial" w:hAnsi="Arial"/>
          <w:sz w:val="18"/>
          <w:szCs w:val="18"/>
          <w:b w:val="1"/>
          <w:bCs w:val="1"/>
          <w:color w:val="0070C0"/>
        </w:rPr>
      </w:pPr>
      <w:r>
        <w:rPr>
          <w:rFonts w:ascii="Arial" w:cs="Arial" w:eastAsia="Arial" w:hAnsi="Arial"/>
          <w:sz w:val="18"/>
          <w:szCs w:val="18"/>
          <w:color w:val="auto"/>
        </w:rPr>
        <w:t>Fourth quarter 2024 net cash flow from operations was approximately $761 million. Capital expenditures were approximately $39 million, and free cash flow, defined as net cash flow from operations less capital expenditures, was approximately $722 million.</w:t>
      </w:r>
    </w:p>
    <w:p>
      <w:pPr>
        <w:spacing w:after="0" w:line="148" w:lineRule="exact"/>
        <w:rPr>
          <w:rFonts w:ascii="Arial" w:cs="Arial" w:eastAsia="Arial" w:hAnsi="Arial"/>
          <w:sz w:val="18"/>
          <w:szCs w:val="18"/>
          <w:b w:val="1"/>
          <w:bCs w:val="1"/>
          <w:color w:val="0070C0"/>
        </w:rPr>
      </w:pPr>
    </w:p>
    <w:p>
      <w:pPr>
        <w:ind w:left="320" w:hanging="317"/>
        <w:spacing w:after="0" w:line="261" w:lineRule="auto"/>
        <w:tabs>
          <w:tab w:leader="none" w:pos="270" w:val="left"/>
        </w:tabs>
        <w:numPr>
          <w:ilvl w:val="0"/>
          <w:numId w:val="13"/>
        </w:numPr>
        <w:rPr>
          <w:rFonts w:ascii="Arial" w:cs="Arial" w:eastAsia="Arial" w:hAnsi="Arial"/>
          <w:sz w:val="19"/>
          <w:szCs w:val="19"/>
          <w:b w:val="1"/>
          <w:bCs w:val="1"/>
          <w:color w:val="0070C0"/>
        </w:rPr>
      </w:pPr>
      <w:r>
        <w:rPr>
          <w:rFonts w:ascii="Arial" w:cs="Arial" w:eastAsia="Arial" w:hAnsi="Arial"/>
          <w:sz w:val="19"/>
          <w:szCs w:val="19"/>
          <w:color w:val="auto"/>
        </w:rPr>
        <w:t>Full year 2024 net cash flow from operations was approximately $2.9 billion. Capital expenditures were approximately $154 million, and free cash flow, defined as net cash flow from operations less capital expenditures, was approximately $2.7 billion.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3</w:t>
      </w:r>
    </w:p>
    <w:p>
      <w:pPr>
        <w:sectPr>
          <w:pgSz w:w="11900" w:h="16838" w:orient="portrait"/>
          <w:cols w:equalWidth="0" w:num="1">
            <w:col w:w="11220"/>
          </w:cols>
          <w:pgMar w:left="320" w:top="855" w:right="359" w:bottom="1440" w:gutter="0" w:footer="0" w:header="0"/>
        </w:sectPr>
      </w:pPr>
    </w:p>
    <w:bookmarkStart w:id="6" w:name="page7"/>
    <w:bookmarkEnd w:id="6"/>
    <w:p>
      <w:pPr>
        <w:ind w:left="320" w:right="20" w:hanging="317"/>
        <w:spacing w:after="0" w:line="261" w:lineRule="auto"/>
        <w:tabs>
          <w:tab w:leader="none" w:pos="270" w:val="left"/>
        </w:tabs>
        <w:numPr>
          <w:ilvl w:val="0"/>
          <w:numId w:val="14"/>
        </w:numPr>
        <w:rPr>
          <w:rFonts w:ascii="Arial" w:cs="Arial" w:eastAsia="Arial" w:hAnsi="Arial"/>
          <w:sz w:val="19"/>
          <w:szCs w:val="19"/>
          <w:color w:val="0070C0"/>
        </w:rPr>
      </w:pPr>
      <w:r>
        <w:rPr>
          <w:rFonts w:ascii="Arial" w:cs="Arial" w:eastAsia="Arial" w:hAnsi="Arial"/>
          <w:sz w:val="19"/>
          <w:szCs w:val="19"/>
          <w:color w:val="auto"/>
        </w:rPr>
        <w:t>As of December 31, 2024, Biogen had cash and cash equivalents totaling approximately $2.4 billion with approximately $6.3 billion in total debt, resulting in net debt of approximately $3.9 billion.</w:t>
      </w:r>
    </w:p>
    <w:p>
      <w:pPr>
        <w:spacing w:after="0" w:line="184" w:lineRule="exact"/>
        <w:rPr>
          <w:rFonts w:ascii="Arial" w:cs="Arial" w:eastAsia="Arial" w:hAnsi="Arial"/>
          <w:sz w:val="19"/>
          <w:szCs w:val="19"/>
          <w:color w:val="0070C0"/>
        </w:rPr>
      </w:pPr>
    </w:p>
    <w:p>
      <w:pPr>
        <w:ind w:left="320" w:right="80" w:hanging="317"/>
        <w:spacing w:after="0" w:line="261" w:lineRule="auto"/>
        <w:tabs>
          <w:tab w:leader="none" w:pos="257" w:val="left"/>
        </w:tabs>
        <w:numPr>
          <w:ilvl w:val="0"/>
          <w:numId w:val="14"/>
        </w:numPr>
        <w:rPr>
          <w:rFonts w:ascii="Arial" w:cs="Arial" w:eastAsia="Arial" w:hAnsi="Arial"/>
          <w:sz w:val="19"/>
          <w:szCs w:val="19"/>
          <w:i w:val="1"/>
          <w:iCs w:val="1"/>
          <w:color w:val="0070C0"/>
        </w:rPr>
      </w:pPr>
      <w:r>
        <w:rPr>
          <w:rFonts w:ascii="Arial" w:cs="Arial" w:eastAsia="Arial" w:hAnsi="Arial"/>
          <w:sz w:val="19"/>
          <w:szCs w:val="19"/>
          <w:color w:val="auto"/>
        </w:rPr>
        <w:t>For the fourth quarter of 2024 the Company’s weighted average diluted shares were 146 million. For full year 2024 the Company’s weighted average diluted shares were 146 million.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Full Year 2025 Financial Guidance</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For the full year 2025, Biogen expects a Non-GAAP diluted EPS guidance range as follows:</w:t>
      </w:r>
    </w:p>
    <w:p>
      <w:pPr>
        <w:spacing w:after="0" w:line="204" w:lineRule="exact"/>
        <w:rPr>
          <w:sz w:val="20"/>
          <w:szCs w:val="20"/>
          <w:color w:val="auto"/>
        </w:rPr>
      </w:pPr>
    </w:p>
    <w:tbl>
      <w:tblPr>
        <w:tblLayout w:type="fixed"/>
        <w:tblInd w:w="1680" w:type="dxa"/>
        <w:tblCellMar>
          <w:top w:w="0" w:type="dxa"/>
          <w:left w:w="0" w:type="dxa"/>
          <w:bottom w:w="0" w:type="dxa"/>
          <w:right w:w="0" w:type="dxa"/>
        </w:tblCellMar>
      </w:tblPr>
      <w:tr>
        <w:trPr>
          <w:trHeight w:val="259"/>
        </w:trPr>
        <w:tc>
          <w:tcPr>
            <w:tcW w:w="23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1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9"/>
                <w:szCs w:val="19"/>
                <w:b w:val="1"/>
                <w:bCs w:val="1"/>
                <w:color w:val="026DCE"/>
                <w:w w:val="99"/>
              </w:rPr>
              <w:t>Full Year 2025 Guidance</w:t>
            </w:r>
          </w:p>
        </w:tc>
        <w:tc>
          <w:tcPr>
            <w:tcW w:w="0" w:type="dxa"/>
            <w:vAlign w:val="bottom"/>
          </w:tcPr>
          <w:p>
            <w:pPr>
              <w:spacing w:after="0"/>
              <w:rPr>
                <w:sz w:val="1"/>
                <w:szCs w:val="1"/>
                <w:color w:val="auto"/>
              </w:rPr>
            </w:pPr>
          </w:p>
        </w:tc>
      </w:tr>
      <w:tr>
        <w:trPr>
          <w:trHeight w:val="373"/>
        </w:trPr>
        <w:tc>
          <w:tcPr>
            <w:tcW w:w="2460" w:type="dxa"/>
            <w:vAlign w:val="bottom"/>
            <w:gridSpan w:val="2"/>
          </w:tcPr>
          <w:p>
            <w:pPr>
              <w:spacing w:after="0"/>
              <w:rPr>
                <w:sz w:val="20"/>
                <w:szCs w:val="20"/>
                <w:color w:val="auto"/>
              </w:rPr>
            </w:pPr>
            <w:r>
              <w:rPr>
                <w:rFonts w:ascii="Arial" w:cs="Arial" w:eastAsia="Arial" w:hAnsi="Arial"/>
                <w:sz w:val="19"/>
                <w:szCs w:val="19"/>
                <w:b w:val="1"/>
                <w:bCs w:val="1"/>
                <w:color w:val="auto"/>
              </w:rPr>
              <w:t>Non-GAAP diluted EPS</w:t>
            </w:r>
          </w:p>
        </w:tc>
        <w:tc>
          <w:tcPr>
            <w:tcW w:w="5120" w:type="dxa"/>
            <w:vAlign w:val="bottom"/>
            <w:vMerge w:val="restart"/>
            <w:shd w:val="clear" w:color="auto" w:fill="DBDBDB"/>
          </w:tcPr>
          <w:p>
            <w:pPr>
              <w:jc w:val="center"/>
              <w:spacing w:after="0"/>
              <w:rPr>
                <w:sz w:val="20"/>
                <w:szCs w:val="20"/>
                <w:color w:val="auto"/>
              </w:rPr>
            </w:pPr>
            <w:r>
              <w:rPr>
                <w:rFonts w:ascii="Arial" w:cs="Arial" w:eastAsia="Arial" w:hAnsi="Arial"/>
                <w:sz w:val="19"/>
                <w:szCs w:val="19"/>
                <w:b w:val="1"/>
                <w:bCs w:val="1"/>
                <w:color w:val="0070C0"/>
                <w:w w:val="99"/>
              </w:rPr>
              <w:t>$15.25 to $16.25</w:t>
            </w: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120" w:type="dxa"/>
            <w:vAlign w:val="bottom"/>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-12065</wp:posOffset>
            </wp:positionV>
            <wp:extent cx="484695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46955" cy="33655"/>
                    </a:xfrm>
                    <a:prstGeom prst="rect">
                      <a:avLst/>
                    </a:prstGeom>
                    <a:noFill/>
                  </pic:spPr>
                </pic:pic>
              </a:graphicData>
            </a:graphic>
          </wp:anchor>
        </w:drawing>
      </w:r>
    </w:p>
    <w:p>
      <w:pPr>
        <w:spacing w:after="0" w:line="282" w:lineRule="exact"/>
        <w:rPr>
          <w:sz w:val="20"/>
          <w:szCs w:val="20"/>
          <w:color w:val="auto"/>
        </w:rPr>
      </w:pPr>
    </w:p>
    <w:p>
      <w:pPr>
        <w:ind w:right="920"/>
        <w:spacing w:after="0" w:line="275" w:lineRule="auto"/>
        <w:rPr>
          <w:sz w:val="20"/>
          <w:szCs w:val="20"/>
          <w:color w:val="auto"/>
        </w:rPr>
      </w:pPr>
      <w:r>
        <w:rPr>
          <w:rFonts w:ascii="Arial" w:cs="Arial" w:eastAsia="Arial" w:hAnsi="Arial"/>
          <w:sz w:val="19"/>
          <w:szCs w:val="19"/>
          <w:color w:val="auto"/>
        </w:rPr>
        <w:t>This Non-GAAP diluted EPS guidance range, which is based upon FX rates on February 7th, 2025, includes a headwind of approximately $0.35 from foreign exchange when compared to average exchange rates in 2024.</w:t>
      </w:r>
    </w:p>
    <w:p>
      <w:pPr>
        <w:spacing w:after="0" w:line="159" w:lineRule="exact"/>
        <w:rPr>
          <w:sz w:val="20"/>
          <w:szCs w:val="20"/>
          <w:color w:val="auto"/>
        </w:rPr>
      </w:pPr>
    </w:p>
    <w:p>
      <w:pPr>
        <w:ind w:right="640"/>
        <w:spacing w:after="0" w:line="261" w:lineRule="auto"/>
        <w:rPr>
          <w:sz w:val="20"/>
          <w:szCs w:val="20"/>
          <w:color w:val="auto"/>
        </w:rPr>
      </w:pPr>
      <w:r>
        <w:rPr>
          <w:rFonts w:ascii="Arial" w:cs="Arial" w:eastAsia="Arial" w:hAnsi="Arial"/>
          <w:sz w:val="19"/>
          <w:szCs w:val="19"/>
          <w:color w:val="auto"/>
        </w:rPr>
        <w:t>Total revenue is expected to decline by a mid-single digit percentage for 2025 compared to 2024 as further declines in multiple sclerosis product revenue are expected to be partially offset by increases in revenue from product launches.</w:t>
      </w:r>
    </w:p>
    <w:p>
      <w:pPr>
        <w:spacing w:after="0" w:line="185" w:lineRule="exact"/>
        <w:rPr>
          <w:sz w:val="20"/>
          <w:szCs w:val="20"/>
          <w:color w:val="auto"/>
        </w:rPr>
      </w:pPr>
    </w:p>
    <w:p>
      <w:pPr>
        <w:ind w:right="220"/>
        <w:spacing w:after="0" w:line="243" w:lineRule="auto"/>
        <w:rPr>
          <w:sz w:val="20"/>
          <w:szCs w:val="20"/>
          <w:color w:val="auto"/>
        </w:rPr>
      </w:pPr>
      <w:r>
        <w:rPr>
          <w:rFonts w:ascii="Arial" w:cs="Arial" w:eastAsia="Arial" w:hAnsi="Arial"/>
          <w:sz w:val="19"/>
          <w:szCs w:val="19"/>
          <w:color w:val="auto"/>
        </w:rPr>
        <w:t>For 2025 as compared to 2024, Biogen expects operating margin percentage to remain relatively flat. The Fit for Growth program is expected to generate approximately $1 billion of gross savings and $800 million net of reinvestment by the end of 2025. Since the program was initiated in 2023, approximately $400 million of net savings have been achieved, and Biogen expects to realize the balance by the end of 2025. Biogen expects combined Non-GAAP R&amp;D expense and Non-GAAP SG&amp;A expense to total approximately $3.9 billion in 2025.</w:t>
      </w:r>
    </w:p>
    <w:p>
      <w:pPr>
        <w:spacing w:after="0" w:line="187"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This financial guidance does not include any impact from potential acquisitions or business development transactions or pending and future litigation or any impact of potential tax or healthcare reform, as all are hard to predict.</w:t>
      </w:r>
    </w:p>
    <w:p>
      <w:pPr>
        <w:spacing w:after="0" w:line="18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This guidance also assumes that foreign exchange rates as of February 7, 2025, will remain in effect for the remainder of the year, net of hedging activities. Other modeling considerations will be provided on the conference call and webcast.</w:t>
      </w:r>
    </w:p>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Biogen may incur charges, realize gains or losses, or experience other events or circumstances in 2025 that could cause any of these assumptions to change and/or actual results to vary from this financial guidance.</w:t>
      </w:r>
    </w:p>
    <w:p>
      <w:pPr>
        <w:spacing w:after="0" w:line="185" w:lineRule="exact"/>
        <w:rPr>
          <w:sz w:val="20"/>
          <w:szCs w:val="20"/>
          <w:color w:val="auto"/>
        </w:rPr>
      </w:pPr>
    </w:p>
    <w:p>
      <w:pPr>
        <w:ind w:right="20"/>
        <w:spacing w:after="0"/>
        <w:rPr>
          <w:sz w:val="20"/>
          <w:szCs w:val="20"/>
          <w:color w:val="auto"/>
        </w:rPr>
      </w:pPr>
      <w:r>
        <w:rPr>
          <w:rFonts w:ascii="Arial" w:cs="Arial" w:eastAsia="Arial" w:hAnsi="Arial"/>
          <w:sz w:val="19"/>
          <w:szCs w:val="19"/>
          <w:color w:val="auto"/>
        </w:rPr>
        <w:t>Biogen does not provide guidance for GAAP reported financial measures (other than revenue) or a reconciliation of forward-looking Non-GAAP financial measures to the most directly comparable GAAP reported financial measures because the Company is unable to predict with reasonable certainty the financial impact of items such as the transaction, integration, and certain other costs related to acquisitions or large business development transactions; unusual gains and losses; potential future asset impairments; gains and losses from equity security investments; and the ultimate outcome of pending or future significant litigation without unreasonable effort. These items are uncertain, depend on various factors, and could have a material impact on GAAP reported results for the guidance period. For the same reasons, the Company is unable to address the significance of the unavailable information, which could be material to future results.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Recent Events</w:t>
      </w:r>
    </w:p>
    <w:p>
      <w:pPr>
        <w:spacing w:after="0" w:line="234" w:lineRule="exact"/>
        <w:rPr>
          <w:sz w:val="20"/>
          <w:szCs w:val="20"/>
          <w:color w:val="auto"/>
        </w:rPr>
      </w:pPr>
    </w:p>
    <w:p>
      <w:pPr>
        <w:ind w:left="320" w:right="340" w:hanging="317"/>
        <w:spacing w:after="0" w:line="251" w:lineRule="auto"/>
        <w:tabs>
          <w:tab w:leader="none" w:pos="270" w:val="left"/>
        </w:tabs>
        <w:numPr>
          <w:ilvl w:val="0"/>
          <w:numId w:val="15"/>
        </w:numPr>
        <w:rPr>
          <w:rFonts w:ascii="Arial" w:cs="Arial" w:eastAsia="Arial" w:hAnsi="Arial"/>
          <w:sz w:val="19"/>
          <w:szCs w:val="19"/>
          <w:color w:val="3051F2"/>
        </w:rPr>
      </w:pPr>
      <w:r>
        <w:rPr>
          <w:rFonts w:ascii="Arial" w:cs="Arial" w:eastAsia="Arial" w:hAnsi="Arial"/>
          <w:sz w:val="19"/>
          <w:szCs w:val="19"/>
          <w:color w:val="auto"/>
        </w:rPr>
        <w:t>As part of ongoing pipeline prioritization efforts, Biogen has decided to discontinue further development of BIIB113 in early Alzheimer's disease, BIIB094 in early Parkinson's disease, BIIB101 in multiple system atrophy, and BIIB143 (cemdomespib) in diabetic peripheral neuropathic pain.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4</w:t>
      </w:r>
    </w:p>
    <w:p>
      <w:pPr>
        <w:sectPr>
          <w:pgSz w:w="11900" w:h="16838" w:orient="portrait"/>
          <w:cols w:equalWidth="0" w:num="1">
            <w:col w:w="11220"/>
          </w:cols>
          <w:pgMar w:left="320" w:top="855" w:right="359" w:bottom="1440" w:gutter="0" w:footer="0" w:header="0"/>
        </w:sectPr>
      </w:pPr>
    </w:p>
    <w:bookmarkStart w:id="7" w:name="page8"/>
    <w:bookmarkEnd w:id="7"/>
    <w:p>
      <w:pPr>
        <w:ind w:left="320" w:right="40" w:hanging="317"/>
        <w:spacing w:after="0" w:line="251" w:lineRule="auto"/>
        <w:tabs>
          <w:tab w:leader="none" w:pos="257" w:val="left"/>
        </w:tabs>
        <w:numPr>
          <w:ilvl w:val="0"/>
          <w:numId w:val="16"/>
        </w:numPr>
        <w:rPr>
          <w:rFonts w:ascii="Arial" w:cs="Arial" w:eastAsia="Arial" w:hAnsi="Arial"/>
          <w:sz w:val="19"/>
          <w:szCs w:val="19"/>
          <w:i w:val="1"/>
          <w:iCs w:val="1"/>
          <w:color w:val="0070C0"/>
        </w:rPr>
      </w:pPr>
      <w:r>
        <w:rPr>
          <w:rFonts w:ascii="Arial" w:cs="Arial" w:eastAsia="Arial" w:hAnsi="Arial"/>
          <w:sz w:val="19"/>
          <w:szCs w:val="19"/>
          <w:color w:val="auto"/>
        </w:rPr>
        <w:t>In February 2025, Royalty Pharma plc announced that it had entered into an agreement with Biogen to provide research and development funding of up to $250 million for litifilimab. Following potential regulatory approval, Royalty Pharma plc will be eligible for regulatory milestones and royalties of a mid-single digits percentage of the applicable net sales.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 and Webcast</w:t>
      </w:r>
    </w:p>
    <w:p>
      <w:pPr>
        <w:spacing w:after="0" w:line="234" w:lineRule="exact"/>
        <w:rPr>
          <w:sz w:val="20"/>
          <w:szCs w:val="20"/>
          <w:color w:val="auto"/>
        </w:rPr>
      </w:pPr>
    </w:p>
    <w:p>
      <w:pPr>
        <w:jc w:val="both"/>
        <w:ind w:right="40"/>
        <w:spacing w:after="0" w:line="248" w:lineRule="auto"/>
        <w:rPr>
          <w:sz w:val="20"/>
          <w:szCs w:val="20"/>
          <w:color w:val="auto"/>
        </w:rPr>
      </w:pPr>
      <w:r>
        <w:rPr>
          <w:rFonts w:ascii="Arial" w:cs="Arial" w:eastAsia="Arial" w:hAnsi="Arial"/>
          <w:sz w:val="19"/>
          <w:szCs w:val="19"/>
          <w:color w:val="auto"/>
        </w:rPr>
        <w:t>The Company’s earnings conference call for the fourth quarter will be broadcast via the internet at 8:30 a.m. ET on February 12, 2025 and will be accessible through the Investors section of Biogen’s website, www.biogen.com. Supplemental information in the form of a slide presentation is also accessible at the same location on the internet and will be subsequently available on the website for at least 90 days.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Biogen</w:t>
      </w:r>
    </w:p>
    <w:p>
      <w:pPr>
        <w:spacing w:after="0" w:line="234" w:lineRule="exact"/>
        <w:rPr>
          <w:sz w:val="20"/>
          <w:szCs w:val="20"/>
          <w:color w:val="auto"/>
        </w:rPr>
      </w:pPr>
    </w:p>
    <w:p>
      <w:pPr>
        <w:ind w:right="120"/>
        <w:spacing w:after="0" w:line="244" w:lineRule="auto"/>
        <w:rPr>
          <w:sz w:val="20"/>
          <w:szCs w:val="20"/>
          <w:color w:val="auto"/>
        </w:rPr>
      </w:pPr>
      <w:r>
        <w:rPr>
          <w:rFonts w:ascii="Arial" w:cs="Arial" w:eastAsia="Arial" w:hAnsi="Arial"/>
          <w:sz w:val="19"/>
          <w:szCs w:val="19"/>
          <w:color w:val="auto"/>
        </w:rPr>
        <w:t>Founded in 1978, Biogen is a leading biotechnology company that pioneers innovative science to deliver new medicines to transform patient’s lives and to create value for shareholders and our communities.</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We apply deep understanding of human biology and leverage different modalities to advance first-in-class treatments or therapies that deliver superior outcomes. Our approach is to take bold risks, balanced with return on investment to deliver long-term growth.</w:t>
      </w:r>
    </w:p>
    <w:p>
      <w:pPr>
        <w:spacing w:after="0" w:line="203" w:lineRule="exact"/>
        <w:rPr>
          <w:sz w:val="20"/>
          <w:szCs w:val="20"/>
          <w:color w:val="auto"/>
        </w:rPr>
      </w:pPr>
    </w:p>
    <w:p>
      <w:pPr>
        <w:ind w:right="4380"/>
        <w:spacing w:after="0" w:line="289" w:lineRule="auto"/>
        <w:rPr>
          <w:sz w:val="20"/>
          <w:szCs w:val="20"/>
          <w:color w:val="auto"/>
        </w:rPr>
      </w:pPr>
      <w:r>
        <w:rPr>
          <w:rFonts w:ascii="Arial" w:cs="Arial" w:eastAsia="Arial" w:hAnsi="Arial"/>
          <w:sz w:val="18"/>
          <w:szCs w:val="18"/>
          <w:color w:val="auto"/>
        </w:rPr>
        <w:t>We routinely post information that may be important to investors on our website at www.biogen.com. Follow us on social media - Facebook, LinkedIn, X, YouTube.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Biogen Safe Harbor</w:t>
      </w:r>
    </w:p>
    <w:p>
      <w:pPr>
        <w:spacing w:after="0" w:line="23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This press release contains forward-looking statements, relating to: our strategy and plans; potential of, and expectations for, our commercial business and pipeline programs; capital allocation and investment strategy; clinical development programs, clinical trials, and data readouts and presentations; regulatory discussions, submissions, filings, and approvals; the potential benefits, safety, and efficacy of our and our collaboration partners’ products and investigational therapies; the anticipated benefits and potential of investments, optimization of the cost structure including our "Fit for Growth" program, actions to improve risk profile and productivity of R&amp;D pipeline, collaborations, and business development activities; our future financial and operating results; 2025 financial guidance. These forward-looking statements may be accompanied by such words as “aim,” “anticipate,” “assume,” “believe,” “contemplate,” “continue,” “could,” “estimate,” “expect,” “forecast,” “goal,” “guidance,” “hope,” “intend,” “may,” “objective,” “plan,” “possible,” “potential,” “predict,” “project,” “prospect,” “should,” “target,” “will,” “would,” and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w:t>
      </w:r>
    </w:p>
    <w:p>
      <w:pPr>
        <w:spacing w:after="0" w:line="207" w:lineRule="exact"/>
        <w:rPr>
          <w:sz w:val="20"/>
          <w:szCs w:val="20"/>
          <w:color w:val="auto"/>
        </w:rPr>
      </w:pPr>
    </w:p>
    <w:p>
      <w:pPr>
        <w:ind w:right="20"/>
        <w:spacing w:after="0" w:line="230" w:lineRule="auto"/>
        <w:rPr>
          <w:sz w:val="20"/>
          <w:szCs w:val="20"/>
          <w:color w:val="auto"/>
        </w:rPr>
      </w:pPr>
      <w:r>
        <w:rPr>
          <w:rFonts w:ascii="Arial" w:cs="Arial" w:eastAsia="Arial" w:hAnsi="Arial"/>
          <w:sz w:val="19"/>
          <w:szCs w:val="19"/>
          <w:color w:val="auto"/>
        </w:rPr>
        <w:t>Given their forward-looking nature, these statements involve substantial risks and uncertainties that may be based on inaccurate assumptions and could cause actual results to differ materially from those reflected in such statements. This press release includes, among others, forward-looking statements including: that Biogen is building on a new foundation with the goal of long-term sustainable growth in its commercial portfolio; the multi-billion dollar potential of its late-stage pipeline; that we believe there remains a significant long-term opportunity for our ongoing product launches including LEQEMBI; that we believe that continued execution against these key strategic elements, as well as a disciplined approach to business development, will allow us to generate long-term value for our shareholders by bringing innovative medicines to patients; and all statements and information under the heading "Full Year 2025 Financial Guidance". These forward-looking statements are based on management's current beliefs and assumptions and on information currently available to management. Given their nature, we cannot assure that any outcome expressed in these forward-looking statements will be realized in whole or in part.</w:t>
      </w:r>
    </w:p>
    <w:p>
      <w:pPr>
        <w:spacing w:after="0" w:line="7" w:lineRule="exact"/>
        <w:rPr>
          <w:sz w:val="20"/>
          <w:szCs w:val="20"/>
          <w:color w:val="auto"/>
        </w:rPr>
      </w:pPr>
    </w:p>
    <w:p>
      <w:pPr>
        <w:ind w:right="400"/>
        <w:spacing w:after="0" w:line="236" w:lineRule="auto"/>
        <w:rPr>
          <w:sz w:val="20"/>
          <w:szCs w:val="20"/>
          <w:color w:val="auto"/>
        </w:rPr>
      </w:pPr>
      <w:r>
        <w:rPr>
          <w:rFonts w:ascii="Arial" w:cs="Arial" w:eastAsia="Arial" w:hAnsi="Arial"/>
          <w:sz w:val="19"/>
          <w:szCs w:val="19"/>
          <w:color w:val="auto"/>
        </w:rPr>
        <w:t>We caution that these statements are subject to risks and uncertainties, many of which are outside of our control and could cause future events or results to be materially different from those stated or implied in this document, including, among others, factors relating to: our substantial dependence on revenue from our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5</w:t>
      </w:r>
    </w:p>
    <w:p>
      <w:pPr>
        <w:sectPr>
          <w:pgSz w:w="11900" w:h="16838" w:orient="portrait"/>
          <w:cols w:equalWidth="0" w:num="1">
            <w:col w:w="11240"/>
          </w:cols>
          <w:pgMar w:left="320" w:top="855" w:right="339" w:bottom="1440" w:gutter="0" w:footer="0" w:header="0"/>
        </w:sectPr>
      </w:pPr>
    </w:p>
    <w:bookmarkStart w:id="8" w:name="page9"/>
    <w:bookmarkEnd w:id="8"/>
    <w:p>
      <w:pPr>
        <w:spacing w:after="0" w:line="230" w:lineRule="auto"/>
        <w:rPr>
          <w:sz w:val="20"/>
          <w:szCs w:val="20"/>
          <w:color w:val="auto"/>
        </w:rPr>
      </w:pPr>
      <w:r>
        <w:rPr>
          <w:rFonts w:ascii="Arial" w:cs="Arial" w:eastAsia="Arial" w:hAnsi="Arial"/>
          <w:sz w:val="19"/>
          <w:szCs w:val="19"/>
          <w:color w:val="auto"/>
        </w:rPr>
        <w:t>products and other payments under licensing, collaboration, acquisition or divestiture agreements; uncertainty of long-term success in developing, licensing, or acquiring other product candidates or additional indications for existing products; expectations, plans and prospects relating to product approvals, approvals of additional indications for our existing products, sales, pricing, growth, reimbursement and launch of our marketed and pipeline products; 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our ability to effectively implement our corporate strategy; the successful execution of our strategic and growth initiatives, including acquisitions; the drivers for growing our business; difficulties in obtaining and maintaining adequate coverage, pricing, and reimbursement for our products; the drivers for growing our business, including our dependence on collaborators and other third parties for the development, regulatory approval, and commercialization of products and other aspects of our business, which are outside of our full control; risks associated with current and potential future healthcare reforms; risks related to commercialization of biosimilars, which is subject to such risks related to our reliance on third-parties, intellectual property, competitive and market challenges and regulatory compliance; failure to obtain, protect, and enforce our data, intellectual property, and other proprietary rights and the risks and uncertainties relating to intellectual property claims and challenges;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risks relating to technology, including our incorporation of new technologies such as artificial intelligence into some of our processes; risks related to use of information technology systems and potential impacts of any breakdowns, interruptions, invasions, corruptions, data breaches, destructions and/or other cybersecurity incidents of our systems or those of connected and/or third-party systems; problems with our manufacturing capacity, including our ability to manufacture products efficiently or adequately address global bulk supply risks; risks relating to management, personnel and other organizational changes, including our ability to attracting, retaining and motivating qualified individuals; risks related to the failure to comply with current and new legal and regulatory requirements, including judicial decisions, accounting standards, and tariff or trade restrictions; the risks of doing business internationally, including geopolitical tensions, acts of war and large-scale crises; risks relating to investment in our manufacturing capacity; risks relating to the distribution and sale by third parties of counterfeit or unfit versions of our products; risks relating to the use of social media for our business, results of operations and financial condition; fluctuations in our operating results; risks related to investment in properties; risks relating to access to capital and credit markets to finance our present and future operations and business initiatives and obtain funding for such activities on favorable terms; risks related to indebtedness; the market, interest, and credit risks associated with our investment portfolio; risks relating to share repurchase programs; change in control provisions in certain of our collaboration agreements; fluctuations in our effective tax rate and obligations in various jurisdictions in which we are subject to taxation; environmental risks; and any other risks and uncertainties that are described in other reports we have filed with the U.S. Securities and Exchange Commission.</w:t>
      </w:r>
    </w:p>
    <w:p>
      <w:pPr>
        <w:spacing w:after="0" w:line="2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These statements speak only as of the date of this press release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2023 and in our subsequent reports on Form 10-Q and Form 10-K, in each case including in the sections thereof captioned “Note Regarding Forward-Looking Statements” and “Item 1A. Risk Factors,” and in our subsequent reports on Form 8-K. Except as required by law, we do not undertake any obligation to publicly update any forward-looking statements whether as a result of any new information, future events, changed circumstances or otherwise.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6</w:t>
      </w:r>
    </w:p>
    <w:p>
      <w:pPr>
        <w:sectPr>
          <w:pgSz w:w="11900" w:h="16838" w:orient="portrait"/>
          <w:cols w:equalWidth="0" w:num="1">
            <w:col w:w="11240"/>
          </w:cols>
          <w:pgMar w:left="320" w:top="85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070C0"/>
        </w:rPr>
        <w:t>MEDIA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0C0"/>
        </w:rPr>
        <w:t>INVESTOR CONTACT:</w:t>
      </w:r>
    </w:p>
    <w:p>
      <w:pPr>
        <w:spacing w:after="0" w:line="65" w:lineRule="exact"/>
        <w:rPr>
          <w:sz w:val="20"/>
          <w:szCs w:val="20"/>
          <w:color w:val="auto"/>
        </w:rPr>
      </w:pPr>
    </w:p>
    <w:p>
      <w:pPr>
        <w:sectPr>
          <w:pgSz w:w="11900" w:h="16838" w:orient="portrait"/>
          <w:cols w:equalWidth="0" w:num="2">
            <w:col w:w="4780" w:space="720"/>
            <w:col w:w="4619"/>
          </w:cols>
          <w:pgMar w:left="340" w:top="1114" w:right="1440" w:bottom="1440" w:gutter="0" w:footer="0" w:header="0"/>
        </w:sectPr>
      </w:pPr>
    </w:p>
    <w:p>
      <w:pPr>
        <w:spacing w:after="0"/>
        <w:rPr>
          <w:sz w:val="20"/>
          <w:szCs w:val="20"/>
          <w:color w:val="auto"/>
        </w:rPr>
      </w:pPr>
      <w:r>
        <w:rPr>
          <w:rFonts w:ascii="Arial" w:cs="Arial" w:eastAsia="Arial" w:hAnsi="Arial"/>
          <w:sz w:val="18"/>
          <w:szCs w:val="18"/>
          <w:b w:val="1"/>
          <w:bCs w:val="1"/>
          <w:color w:val="auto"/>
        </w:rPr>
        <w:t>Biogen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Biogen</w:t>
      </w:r>
    </w:p>
    <w:p>
      <w:pPr>
        <w:spacing w:after="0" w:line="65" w:lineRule="exact"/>
        <w:rPr>
          <w:sz w:val="20"/>
          <w:szCs w:val="20"/>
          <w:color w:val="auto"/>
        </w:rPr>
      </w:pPr>
    </w:p>
    <w:p>
      <w:pPr>
        <w:sectPr>
          <w:pgSz w:w="11900" w:h="16838" w:orient="portrait"/>
          <w:cols w:equalWidth="0" w:num="2">
            <w:col w:w="4780" w:space="720"/>
            <w:col w:w="4619"/>
          </w:cols>
          <w:pgMar w:left="340" w:top="111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Jack Cox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Tim Power</w:t>
      </w:r>
    </w:p>
    <w:p>
      <w:pPr>
        <w:spacing w:after="0" w:line="65" w:lineRule="exact"/>
        <w:rPr>
          <w:sz w:val="20"/>
          <w:szCs w:val="20"/>
          <w:color w:val="auto"/>
        </w:rPr>
      </w:pPr>
    </w:p>
    <w:p>
      <w:pPr>
        <w:sectPr>
          <w:pgSz w:w="11900" w:h="16838" w:orient="portrait"/>
          <w:cols w:equalWidth="0" w:num="2">
            <w:col w:w="4780" w:space="720"/>
            <w:col w:w="4619"/>
          </w:cols>
          <w:pgMar w:left="340" w:top="1114" w:right="1440" w:bottom="1440" w:gutter="0" w:footer="0" w:header="0"/>
          <w:type w:val="continuous"/>
        </w:sectPr>
      </w:pPr>
    </w:p>
    <w:p>
      <w:pPr>
        <w:spacing w:after="0"/>
        <w:rPr>
          <w:sz w:val="20"/>
          <w:szCs w:val="20"/>
          <w:color w:val="auto"/>
        </w:rPr>
      </w:pPr>
      <w:r>
        <w:rPr>
          <w:rFonts w:ascii="Arial" w:cs="Arial" w:eastAsia="Arial" w:hAnsi="Arial"/>
          <w:sz w:val="19"/>
          <w:szCs w:val="19"/>
          <w:color w:val="auto"/>
        </w:rPr>
        <w:t>Tel: +1 781-464-3260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public.affairs@biogen.com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Tel: +1 781-464-2442</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IR@biogen.com</w:t>
      </w:r>
    </w:p>
    <w:p>
      <w:pPr>
        <w:spacing w:after="0" w:line="200" w:lineRule="exact"/>
        <w:rPr>
          <w:sz w:val="20"/>
          <w:szCs w:val="20"/>
          <w:color w:val="auto"/>
        </w:rPr>
      </w:pPr>
    </w:p>
    <w:p>
      <w:pPr>
        <w:sectPr>
          <w:pgSz w:w="11900" w:h="16838" w:orient="portrait"/>
          <w:cols w:equalWidth="0" w:num="2">
            <w:col w:w="4780" w:space="720"/>
            <w:col w:w="4619"/>
          </w:cols>
          <w:pgMar w:left="340" w:top="1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60"/>
        <w:spacing w:after="0"/>
        <w:rPr>
          <w:sz w:val="20"/>
          <w:szCs w:val="20"/>
          <w:color w:val="auto"/>
        </w:rPr>
      </w:pPr>
      <w:r>
        <w:rPr>
          <w:rFonts w:ascii="Arial" w:cs="Arial" w:eastAsia="Arial" w:hAnsi="Arial"/>
          <w:sz w:val="17"/>
          <w:szCs w:val="17"/>
          <w:color w:val="447260"/>
        </w:rPr>
        <w:t>7</w:t>
      </w:r>
    </w:p>
    <w:p>
      <w:pPr>
        <w:sectPr>
          <w:pgSz w:w="11900" w:h="16838" w:orient="portrait"/>
          <w:cols w:equalWidth="0" w:num="1">
            <w:col w:w="10119"/>
          </w:cols>
          <w:pgMar w:left="340" w:top="1114" w:right="1440"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21"/>
          <w:szCs w:val="21"/>
          <w:b w:val="1"/>
          <w:bCs w:val="1"/>
          <w:color w:val="1C5A7D"/>
        </w:rPr>
        <w:t>TABLE 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1C5A7D"/>
        </w:rPr>
        <w:t>CONSOLIDATED STATEMENTS OF INCOME</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1C5A7D"/>
        </w:rPr>
        <w:t>(unaudited, in millions,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600" w:type="dxa"/>
            <w:vAlign w:val="bottom"/>
            <w:gridSpan w:val="4"/>
          </w:tcPr>
          <w:p>
            <w:pPr>
              <w:jc w:val="right"/>
              <w:ind w:right="202"/>
              <w:spacing w:after="0"/>
              <w:rPr>
                <w:sz w:val="20"/>
                <w:szCs w:val="20"/>
                <w:color w:val="auto"/>
              </w:rPr>
            </w:pPr>
            <w:r>
              <w:rPr>
                <w:rFonts w:ascii="Arial" w:cs="Arial" w:eastAsia="Arial" w:hAnsi="Arial"/>
                <w:sz w:val="16"/>
                <w:szCs w:val="16"/>
                <w:b w:val="1"/>
                <w:bCs w:val="1"/>
                <w:color w:val="auto"/>
              </w:rPr>
              <w:t>For the Twelve Months Ended</w:t>
            </w:r>
          </w:p>
        </w:tc>
        <w:tc>
          <w:tcPr>
            <w:tcW w:w="0" w:type="dxa"/>
            <w:vAlign w:val="bottom"/>
          </w:tcPr>
          <w:p>
            <w:pPr>
              <w:spacing w:after="0"/>
              <w:rPr>
                <w:sz w:val="1"/>
                <w:szCs w:val="1"/>
                <w:color w:val="auto"/>
              </w:rPr>
            </w:pPr>
          </w:p>
        </w:tc>
      </w:tr>
      <w:tr>
        <w:trPr>
          <w:trHeight w:val="207"/>
        </w:trPr>
        <w:tc>
          <w:tcPr>
            <w:tcW w:w="5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6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right w:val="single" w:sz="8" w:color="DBDBDB"/>
            </w:tcBorders>
            <w:shd w:val="clear" w:color="auto" w:fill="DBDBDB"/>
          </w:tcPr>
          <w:p>
            <w:pPr>
              <w:jc w:val="right"/>
              <w:ind w:right="402"/>
              <w:spacing w:after="0"/>
              <w:rPr>
                <w:sz w:val="20"/>
                <w:szCs w:val="20"/>
                <w:color w:val="auto"/>
              </w:rPr>
            </w:pPr>
            <w:r>
              <w:rPr>
                <w:rFonts w:ascii="Arial" w:cs="Arial" w:eastAsia="Arial" w:hAnsi="Arial"/>
                <w:sz w:val="16"/>
                <w:szCs w:val="16"/>
                <w:b w:val="1"/>
                <w:bCs w:val="1"/>
                <w:color w:val="2573BA"/>
              </w:rPr>
              <w:t>2024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ind w:right="402"/>
              <w:spacing w:after="0"/>
              <w:rPr>
                <w:sz w:val="20"/>
                <w:szCs w:val="20"/>
                <w:color w:val="auto"/>
              </w:rPr>
            </w:pPr>
            <w:r>
              <w:rPr>
                <w:rFonts w:ascii="Arial" w:cs="Arial" w:eastAsia="Arial" w:hAnsi="Arial"/>
                <w:sz w:val="16"/>
                <w:szCs w:val="16"/>
                <w:b w:val="1"/>
                <w:bCs w:val="1"/>
                <w:color w:val="257ACB"/>
              </w:rPr>
              <w:t>2024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185"/>
        </w:trPr>
        <w:tc>
          <w:tcPr>
            <w:tcW w:w="5660" w:type="dxa"/>
            <w:vAlign w:val="bottom"/>
            <w:vMerge w:val="continue"/>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60" w:type="dxa"/>
            <w:vAlign w:val="bottom"/>
            <w:tcBorders>
              <w:right w:val="single" w:sz="8" w:color="DBDBDB"/>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Product revenue, net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1,832.6</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1,832.4</w:t>
            </w:r>
          </w:p>
        </w:tc>
        <w:tc>
          <w:tcPr>
            <w:tcW w:w="100" w:type="dxa"/>
            <w:vAlign w:val="bottom"/>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7,213.5</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7,246.7</w:t>
            </w: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Revenue from anti-CD20 therapeutic programs</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465.2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435.8</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1,749.9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1,689.6</w:t>
            </w: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Alzheimer's collaboration revenue</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26.7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59.9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Contract manufacturing, royalty and other revenue</w:t>
            </w:r>
          </w:p>
        </w:tc>
        <w:tc>
          <w:tcPr>
            <w:tcW w:w="1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130.2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ACB"/>
              </w:rPr>
              <w:t>652.6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899.3</w:t>
            </w:r>
          </w:p>
        </w:tc>
        <w:tc>
          <w:tcPr>
            <w:tcW w:w="0" w:type="dxa"/>
            <w:vAlign w:val="bottom"/>
          </w:tcPr>
          <w:p>
            <w:pPr>
              <w:spacing w:after="0"/>
              <w:rPr>
                <w:sz w:val="1"/>
                <w:szCs w:val="1"/>
                <w:color w:val="auto"/>
              </w:rPr>
            </w:pPr>
          </w:p>
        </w:tc>
      </w:tr>
      <w:tr>
        <w:trPr>
          <w:trHeight w:val="200"/>
        </w:trPr>
        <w:tc>
          <w:tcPr>
            <w:tcW w:w="566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3BA"/>
              </w:rPr>
              <w:t>2,454.7</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2,386.3</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9,675.9</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9,835.6</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20"/>
                <w:szCs w:val="20"/>
                <w:color w:val="auto"/>
              </w:rPr>
            </w:pPr>
            <w:r>
              <w:rPr>
                <w:rFonts w:ascii="Arial" w:cs="Arial" w:eastAsia="Arial" w:hAnsi="Arial"/>
                <w:sz w:val="16"/>
                <w:szCs w:val="16"/>
                <w:color w:val="auto"/>
              </w:rPr>
              <w:t>Cost and expense:</w:t>
            </w:r>
          </w:p>
        </w:tc>
        <w:tc>
          <w:tcPr>
            <w:tcW w:w="120" w:type="dxa"/>
            <w:vAlign w:val="bottom"/>
            <w:shd w:val="clear" w:color="auto" w:fill="DBDBDB"/>
          </w:tcPr>
          <w:p>
            <w:pPr>
              <w:spacing w:after="0"/>
              <w:rPr>
                <w:sz w:val="16"/>
                <w:szCs w:val="16"/>
                <w:color w:val="auto"/>
              </w:rPr>
            </w:pPr>
          </w:p>
        </w:tc>
        <w:tc>
          <w:tcPr>
            <w:tcW w:w="1160" w:type="dxa"/>
            <w:vAlign w:val="bottom"/>
            <w:tcBorders>
              <w:right w:val="single" w:sz="8" w:color="DBDBDB"/>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660" w:type="dxa"/>
            <w:vAlign w:val="bottom"/>
          </w:tcPr>
          <w:p>
            <w:pPr>
              <w:ind w:left="120"/>
              <w:spacing w:after="0" w:line="158" w:lineRule="exact"/>
              <w:rPr>
                <w:sz w:val="20"/>
                <w:szCs w:val="20"/>
                <w:color w:val="auto"/>
              </w:rPr>
            </w:pPr>
            <w:r>
              <w:rPr>
                <w:rFonts w:ascii="Arial" w:cs="Arial" w:eastAsia="Arial" w:hAnsi="Arial"/>
                <w:sz w:val="16"/>
                <w:szCs w:val="16"/>
                <w:color w:val="auto"/>
              </w:rPr>
              <w:t>Cost of sales, excluding amortization and impairment of acquired intangible</w:t>
            </w:r>
          </w:p>
        </w:tc>
        <w:tc>
          <w:tcPr>
            <w:tcW w:w="120" w:type="dxa"/>
            <w:vAlign w:val="bottom"/>
            <w:shd w:val="clear" w:color="auto" w:fill="DBDBDB"/>
          </w:tcPr>
          <w:p>
            <w:pPr>
              <w:spacing w:after="0"/>
              <w:rPr>
                <w:sz w:val="13"/>
                <w:szCs w:val="13"/>
                <w:color w:val="auto"/>
              </w:rPr>
            </w:pPr>
          </w:p>
        </w:tc>
        <w:tc>
          <w:tcPr>
            <w:tcW w:w="1160" w:type="dxa"/>
            <w:vAlign w:val="bottom"/>
            <w:tcBorders>
              <w:right w:val="single" w:sz="8" w:color="DBDBDB"/>
            </w:tcBorders>
            <w:vMerge w:val="restart"/>
            <w:shd w:val="clear" w:color="auto" w:fill="DBDBDB"/>
          </w:tcPr>
          <w:p>
            <w:pPr>
              <w:jc w:val="right"/>
              <w:ind w:right="2"/>
              <w:spacing w:after="0"/>
              <w:rPr>
                <w:sz w:val="20"/>
                <w:szCs w:val="20"/>
                <w:color w:val="auto"/>
              </w:rPr>
            </w:pPr>
            <w:r>
              <w:rPr>
                <w:rFonts w:ascii="Arial" w:cs="Arial" w:eastAsia="Arial" w:hAnsi="Arial"/>
                <w:sz w:val="16"/>
                <w:szCs w:val="16"/>
                <w:color w:val="257ACB"/>
              </w:rPr>
              <w:t>583.5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618.3</w:t>
            </w:r>
          </w:p>
        </w:tc>
        <w:tc>
          <w:tcPr>
            <w:tcW w:w="100" w:type="dxa"/>
            <w:vAlign w:val="bottom"/>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8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color w:val="257ACB"/>
              </w:rPr>
              <w:t>2,310.4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2,533.4</w:t>
            </w:r>
          </w:p>
        </w:tc>
        <w:tc>
          <w:tcPr>
            <w:tcW w:w="0" w:type="dxa"/>
            <w:vAlign w:val="bottom"/>
          </w:tcPr>
          <w:p>
            <w:pPr>
              <w:spacing w:after="0"/>
              <w:rPr>
                <w:sz w:val="1"/>
                <w:szCs w:val="1"/>
                <w:color w:val="auto"/>
              </w:rPr>
            </w:pPr>
          </w:p>
        </w:tc>
      </w:tr>
      <w:tr>
        <w:trPr>
          <w:trHeight w:val="204"/>
        </w:trPr>
        <w:tc>
          <w:tcPr>
            <w:tcW w:w="5660" w:type="dxa"/>
            <w:vAlign w:val="bottom"/>
          </w:tcPr>
          <w:p>
            <w:pPr>
              <w:ind w:left="12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532.3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570.9</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2,041.8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2,462.0</w:t>
            </w: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680.0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608.5</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2,403.7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2,549.7</w:t>
            </w: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Amortization and impairment of acquired intangible assets</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151.2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446.7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240.6</w:t>
            </w: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Collaboration profit sharing/(loss reimbursement)</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57.1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254.4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27.7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5.3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30.2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07"/>
        </w:trPr>
        <w:tc>
          <w:tcPr>
            <w:tcW w:w="5660" w:type="dxa"/>
            <w:vAlign w:val="bottom"/>
          </w:tcPr>
          <w:p>
            <w:pPr>
              <w:ind w:left="100"/>
              <w:spacing w:after="0"/>
              <w:rPr>
                <w:sz w:val="20"/>
                <w:szCs w:val="20"/>
                <w:color w:val="auto"/>
              </w:rPr>
            </w:pPr>
            <w:r>
              <w:rPr>
                <w:rFonts w:ascii="Arial" w:cs="Arial" w:eastAsia="Arial" w:hAnsi="Arial"/>
                <w:sz w:val="16"/>
                <w:szCs w:val="16"/>
                <w:color w:val="auto"/>
              </w:rPr>
              <w:t>Gain on sale of priority review voucher, net</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(88.6)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660" w:type="dxa"/>
            <w:vAlign w:val="bottom"/>
          </w:tcPr>
          <w:p>
            <w:pPr>
              <w:ind w:left="10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149.9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ACB"/>
              </w:rPr>
              <w:t>343.6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00"/>
        </w:trPr>
        <w:tc>
          <w:tcPr>
            <w:tcW w:w="5660" w:type="dxa"/>
            <w:vAlign w:val="bottom"/>
          </w:tcPr>
          <w:p>
            <w:pPr>
              <w:ind w:left="300"/>
              <w:spacing w:after="0"/>
              <w:rPr>
                <w:sz w:val="20"/>
                <w:szCs w:val="20"/>
                <w:color w:val="auto"/>
              </w:rPr>
            </w:pPr>
            <w:r>
              <w:rPr>
                <w:rFonts w:ascii="Arial" w:cs="Arial" w:eastAsia="Arial" w:hAnsi="Arial"/>
                <w:sz w:val="16"/>
                <w:szCs w:val="16"/>
                <w:color w:val="auto"/>
              </w:rPr>
              <w:t>Total cost and expense</w:t>
            </w:r>
          </w:p>
        </w:tc>
        <w:tc>
          <w:tcPr>
            <w:tcW w:w="1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3BA"/>
              </w:rPr>
              <w:t>2,163.2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2,094.7</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7,769.9</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8,538.8</w:t>
            </w:r>
          </w:p>
        </w:tc>
        <w:tc>
          <w:tcPr>
            <w:tcW w:w="0" w:type="dxa"/>
            <w:vAlign w:val="bottom"/>
          </w:tcPr>
          <w:p>
            <w:pPr>
              <w:spacing w:after="0"/>
              <w:rPr>
                <w:sz w:val="1"/>
                <w:szCs w:val="1"/>
                <w:color w:val="auto"/>
              </w:rPr>
            </w:pPr>
          </w:p>
        </w:tc>
      </w:tr>
      <w:tr>
        <w:trPr>
          <w:trHeight w:val="138"/>
        </w:trPr>
        <w:tc>
          <w:tcPr>
            <w:tcW w:w="5660" w:type="dxa"/>
            <w:vAlign w:val="bottom"/>
          </w:tcPr>
          <w:p>
            <w:pPr>
              <w:spacing w:after="0" w:line="138" w:lineRule="exact"/>
              <w:rPr>
                <w:sz w:val="20"/>
                <w:szCs w:val="20"/>
                <w:color w:val="auto"/>
              </w:rPr>
            </w:pPr>
            <w:r>
              <w:rPr>
                <w:rFonts w:ascii="Arial" w:cs="Arial" w:eastAsia="Arial" w:hAnsi="Arial"/>
                <w:sz w:val="14"/>
                <w:szCs w:val="14"/>
                <w:color w:val="auto"/>
              </w:rPr>
              <w:t>Income before income tax (benefit) expense and equity in loss of investee, net of</w:t>
            </w:r>
          </w:p>
        </w:tc>
        <w:tc>
          <w:tcPr>
            <w:tcW w:w="120" w:type="dxa"/>
            <w:vAlign w:val="bottom"/>
            <w:shd w:val="clear" w:color="auto" w:fill="DBDBDB"/>
          </w:tcPr>
          <w:p>
            <w:pPr>
              <w:spacing w:after="0"/>
              <w:rPr>
                <w:sz w:val="11"/>
                <w:szCs w:val="11"/>
                <w:color w:val="auto"/>
              </w:rPr>
            </w:pPr>
          </w:p>
        </w:tc>
        <w:tc>
          <w:tcPr>
            <w:tcW w:w="1160" w:type="dxa"/>
            <w:vAlign w:val="bottom"/>
            <w:tcBorders>
              <w:right w:val="single" w:sz="8" w:color="DBDBDB"/>
            </w:tcBorders>
            <w:vMerge w:val="restart"/>
            <w:shd w:val="clear" w:color="auto" w:fill="DBDBDB"/>
          </w:tcPr>
          <w:p>
            <w:pPr>
              <w:jc w:val="right"/>
              <w:ind w:right="2"/>
              <w:spacing w:after="0"/>
              <w:rPr>
                <w:sz w:val="20"/>
                <w:szCs w:val="20"/>
                <w:color w:val="auto"/>
              </w:rPr>
            </w:pPr>
            <w:r>
              <w:rPr>
                <w:rFonts w:ascii="Arial" w:cs="Arial" w:eastAsia="Arial" w:hAnsi="Arial"/>
                <w:sz w:val="16"/>
                <w:szCs w:val="16"/>
                <w:color w:val="2573BA"/>
              </w:rPr>
              <w:t>291.5</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291.6</w:t>
            </w:r>
          </w:p>
        </w:tc>
        <w:tc>
          <w:tcPr>
            <w:tcW w:w="100" w:type="dxa"/>
            <w:vAlign w:val="bottom"/>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118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color w:val="2573BA"/>
              </w:rPr>
              <w:t>1,906.0</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1,296.8</w:t>
            </w:r>
          </w:p>
        </w:tc>
        <w:tc>
          <w:tcPr>
            <w:tcW w:w="0" w:type="dxa"/>
            <w:vAlign w:val="bottom"/>
          </w:tcPr>
          <w:p>
            <w:pPr>
              <w:spacing w:after="0"/>
              <w:rPr>
                <w:sz w:val="1"/>
                <w:szCs w:val="1"/>
                <w:color w:val="auto"/>
              </w:rPr>
            </w:pP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tax</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6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24.7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273.8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07"/>
        </w:trPr>
        <w:tc>
          <w:tcPr>
            <w:tcW w:w="5660" w:type="dxa"/>
            <w:vAlign w:val="bottom"/>
          </w:tcPr>
          <w:p>
            <w:pPr>
              <w:spacing w:after="0"/>
              <w:rPr>
                <w:sz w:val="20"/>
                <w:szCs w:val="20"/>
                <w:color w:val="auto"/>
              </w:rPr>
            </w:pPr>
            <w:r>
              <w:rPr>
                <w:rFonts w:ascii="Arial" w:cs="Arial" w:eastAsia="Arial" w:hAnsi="Arial"/>
                <w:sz w:val="16"/>
                <w:szCs w:val="16"/>
                <w:color w:val="auto"/>
              </w:rPr>
              <w:t>Equity in (income) loss of investee, net of tax</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566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tcBorders>
            <w:shd w:val="clear" w:color="auto" w:fill="DBDBDB"/>
          </w:tcPr>
          <w:p>
            <w:pPr>
              <w:spacing w:after="0"/>
              <w:rPr>
                <w:sz w:val="17"/>
                <w:szCs w:val="17"/>
                <w:color w:val="auto"/>
              </w:rPr>
            </w:pPr>
          </w:p>
        </w:tc>
        <w:tc>
          <w:tcPr>
            <w:tcW w:w="1160" w:type="dxa"/>
            <w:vAlign w:val="bottom"/>
            <w:tcBorders>
              <w:top w:val="single" w:sz="8" w:color="auto"/>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3BA"/>
              </w:rPr>
              <w:t>266.8</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248.9</w:t>
            </w:r>
          </w:p>
        </w:tc>
        <w:tc>
          <w:tcPr>
            <w:tcW w:w="100" w:type="dxa"/>
            <w:vAlign w:val="bottom"/>
          </w:tcPr>
          <w:p>
            <w:pPr>
              <w:spacing w:after="0"/>
              <w:rPr>
                <w:sz w:val="17"/>
                <w:szCs w:val="17"/>
                <w:color w:val="auto"/>
              </w:rPr>
            </w:pPr>
          </w:p>
        </w:tc>
        <w:tc>
          <w:tcPr>
            <w:tcW w:w="120" w:type="dxa"/>
            <w:vAlign w:val="bottom"/>
            <w:tcBorders>
              <w:top w:val="single" w:sz="8" w:color="auto"/>
            </w:tcBorders>
            <w:shd w:val="clear" w:color="auto" w:fill="DBDBDB"/>
          </w:tcPr>
          <w:p>
            <w:pPr>
              <w:spacing w:after="0"/>
              <w:rPr>
                <w:sz w:val="17"/>
                <w:szCs w:val="17"/>
                <w:color w:val="auto"/>
              </w:rPr>
            </w:pPr>
          </w:p>
        </w:tc>
        <w:tc>
          <w:tcPr>
            <w:tcW w:w="1180" w:type="dxa"/>
            <w:vAlign w:val="bottom"/>
            <w:tcBorders>
              <w:top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1,632.2</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1,161.5</w:t>
            </w: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 net of tax</w:t>
            </w:r>
          </w:p>
        </w:tc>
        <w:tc>
          <w:tcPr>
            <w:tcW w:w="12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3"/>
        </w:trPr>
        <w:tc>
          <w:tcPr>
            <w:tcW w:w="566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3BA"/>
              </w:rPr>
              <w:t>266.8</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249.7</w:t>
            </w:r>
          </w:p>
        </w:tc>
        <w:tc>
          <w:tcPr>
            <w:tcW w:w="100" w:type="dxa"/>
            <w:vAlign w:val="bottom"/>
          </w:tcPr>
          <w:p>
            <w:pPr>
              <w:spacing w:after="0"/>
              <w:rPr>
                <w:sz w:val="20"/>
                <w:szCs w:val="20"/>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1,632.2</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1,161.1</w:t>
            </w:r>
          </w:p>
        </w:tc>
        <w:tc>
          <w:tcPr>
            <w:tcW w:w="0" w:type="dxa"/>
            <w:vAlign w:val="bottom"/>
          </w:tcPr>
          <w:p>
            <w:pPr>
              <w:spacing w:after="0"/>
              <w:rPr>
                <w:sz w:val="1"/>
                <w:szCs w:val="1"/>
                <w:color w:val="auto"/>
              </w:rPr>
            </w:pPr>
          </w:p>
        </w:tc>
      </w:tr>
      <w:tr>
        <w:trPr>
          <w:trHeight w:val="438"/>
        </w:trPr>
        <w:tc>
          <w:tcPr>
            <w:tcW w:w="5660" w:type="dxa"/>
            <w:vAlign w:val="bottom"/>
          </w:tcPr>
          <w:p>
            <w:pPr>
              <w:spacing w:after="0"/>
              <w:rPr>
                <w:sz w:val="20"/>
                <w:szCs w:val="20"/>
                <w:color w:val="auto"/>
              </w:rPr>
            </w:pPr>
            <w:r>
              <w:rPr>
                <w:rFonts w:ascii="Arial" w:cs="Arial" w:eastAsia="Arial" w:hAnsi="Arial"/>
                <w:sz w:val="16"/>
                <w:szCs w:val="16"/>
                <w:color w:val="auto"/>
              </w:rPr>
              <w:t>Net income per share:</w:t>
            </w:r>
          </w:p>
        </w:tc>
        <w:tc>
          <w:tcPr>
            <w:tcW w:w="120" w:type="dxa"/>
            <w:vAlign w:val="bottom"/>
            <w:tcBorders>
              <w:top w:val="single" w:sz="8" w:color="auto"/>
            </w:tcBorders>
            <w:shd w:val="clear" w:color="auto" w:fill="DBDBDB"/>
          </w:tcPr>
          <w:p>
            <w:pPr>
              <w:spacing w:after="0"/>
              <w:rPr>
                <w:sz w:val="24"/>
                <w:szCs w:val="24"/>
                <w:color w:val="auto"/>
              </w:rPr>
            </w:pPr>
          </w:p>
        </w:tc>
        <w:tc>
          <w:tcPr>
            <w:tcW w:w="1160" w:type="dxa"/>
            <w:vAlign w:val="bottom"/>
            <w:tcBorders>
              <w:top w:val="single" w:sz="8" w:color="auto"/>
              <w:right w:val="single" w:sz="8" w:color="DBDBDB"/>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shd w:val="clear" w:color="auto" w:fill="DBDBDB"/>
          </w:tcPr>
          <w:p>
            <w:pPr>
              <w:spacing w:after="0"/>
              <w:rPr>
                <w:sz w:val="24"/>
                <w:szCs w:val="24"/>
                <w:color w:val="auto"/>
              </w:rPr>
            </w:pPr>
          </w:p>
        </w:tc>
        <w:tc>
          <w:tcPr>
            <w:tcW w:w="1180" w:type="dxa"/>
            <w:vAlign w:val="bottom"/>
            <w:tcBorders>
              <w:top w:val="single" w:sz="8" w:color="auto"/>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3BA"/>
              </w:rPr>
              <w:t>1.83</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11.21</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3BA"/>
              </w:rPr>
              <w:t>1.83</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11.18</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466"/>
        </w:trPr>
        <w:tc>
          <w:tcPr>
            <w:tcW w:w="5660" w:type="dxa"/>
            <w:vAlign w:val="bottom"/>
          </w:tcPr>
          <w:p>
            <w:pPr>
              <w:spacing w:after="0"/>
              <w:rPr>
                <w:sz w:val="20"/>
                <w:szCs w:val="20"/>
                <w:color w:val="auto"/>
              </w:rPr>
            </w:pPr>
            <w:r>
              <w:rPr>
                <w:rFonts w:ascii="Arial" w:cs="Arial" w:eastAsia="Arial" w:hAnsi="Arial"/>
                <w:sz w:val="16"/>
                <w:szCs w:val="16"/>
                <w:color w:val="auto"/>
              </w:rPr>
              <w:t>Weighted-average shares used in calculating:</w:t>
            </w:r>
          </w:p>
        </w:tc>
        <w:tc>
          <w:tcPr>
            <w:tcW w:w="120" w:type="dxa"/>
            <w:vAlign w:val="bottom"/>
            <w:shd w:val="clear" w:color="auto" w:fill="DBDBDB"/>
          </w:tcPr>
          <w:p>
            <w:pPr>
              <w:spacing w:after="0"/>
              <w:rPr>
                <w:sz w:val="24"/>
                <w:szCs w:val="24"/>
                <w:color w:val="auto"/>
              </w:rPr>
            </w:pPr>
          </w:p>
        </w:tc>
        <w:tc>
          <w:tcPr>
            <w:tcW w:w="1160" w:type="dxa"/>
            <w:vAlign w:val="bottom"/>
            <w:tcBorders>
              <w:right w:val="single" w:sz="8" w:color="DBDBDB"/>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18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66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spacing w:after="0"/>
              <w:rPr>
                <w:sz w:val="17"/>
                <w:szCs w:val="17"/>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145.7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145.6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09"/>
        </w:trPr>
        <w:tc>
          <w:tcPr>
            <w:tcW w:w="566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spacing w:after="0"/>
              <w:rPr>
                <w:sz w:val="18"/>
                <w:szCs w:val="18"/>
                <w:color w:val="auto"/>
              </w:rPr>
            </w:pPr>
          </w:p>
        </w:tc>
        <w:tc>
          <w:tcPr>
            <w:tcW w:w="1160" w:type="dxa"/>
            <w:vAlign w:val="bottom"/>
            <w:tcBorders>
              <w:right w:val="single" w:sz="8" w:color="DBDBDB"/>
            </w:tcBorders>
            <w:shd w:val="clear" w:color="auto" w:fill="DBDBDB"/>
          </w:tcPr>
          <w:p>
            <w:pPr>
              <w:jc w:val="right"/>
              <w:ind w:right="2"/>
              <w:spacing w:after="0"/>
              <w:rPr>
                <w:sz w:val="20"/>
                <w:szCs w:val="20"/>
                <w:color w:val="auto"/>
              </w:rPr>
            </w:pPr>
            <w:r>
              <w:rPr>
                <w:rFonts w:ascii="Arial" w:cs="Arial" w:eastAsia="Arial" w:hAnsi="Arial"/>
                <w:sz w:val="16"/>
                <w:szCs w:val="16"/>
                <w:color w:val="257ACB"/>
              </w:rPr>
              <w:t>146.1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145.9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447260"/>
        </w:rPr>
        <w:t>8</w:t>
      </w:r>
    </w:p>
    <w:p>
      <w:pPr>
        <w:sectPr>
          <w:pgSz w:w="11900" w:h="16838" w:orient="portrait"/>
          <w:cols w:equalWidth="0" w:num="1">
            <w:col w:w="11120"/>
          </w:cols>
          <w:pgMar w:left="400" w:top="1096" w:right="37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1"/>
          <w:szCs w:val="21"/>
          <w:b w:val="1"/>
          <w:bCs w:val="1"/>
          <w:color w:val="1C5A7D"/>
        </w:rPr>
        <w:t>TABLE 2</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1C5A7D"/>
        </w:rPr>
        <w:t>CONDENSED CONSOLIDATED BALANCE SHEETS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2573BA"/>
              </w:rPr>
              <w:t>ASSETS</w:t>
            </w:r>
          </w:p>
        </w:tc>
        <w:tc>
          <w:tcPr>
            <w:tcW w:w="220" w:type="dxa"/>
            <w:vAlign w:val="bottom"/>
            <w:tcBorders>
              <w:bottom w:val="single" w:sz="8" w:color="auto"/>
            </w:tcBorders>
            <w:shd w:val="clear" w:color="auto" w:fill="DDDDDD"/>
          </w:tcPr>
          <w:p>
            <w:pPr>
              <w:spacing w:after="0"/>
              <w:rPr>
                <w:sz w:val="17"/>
                <w:szCs w:val="17"/>
                <w:color w:val="auto"/>
              </w:rPr>
            </w:pPr>
          </w:p>
        </w:tc>
        <w:tc>
          <w:tcPr>
            <w:tcW w:w="2280" w:type="dxa"/>
            <w:vAlign w:val="bottom"/>
            <w:tcBorders>
              <w:bottom w:val="single" w:sz="8" w:color="auto"/>
            </w:tcBorders>
            <w:shd w:val="clear" w:color="auto" w:fill="DDDDDD"/>
          </w:tcPr>
          <w:p>
            <w:pPr>
              <w:jc w:val="right"/>
              <w:ind w:right="262"/>
              <w:spacing w:after="0"/>
              <w:rPr>
                <w:sz w:val="20"/>
                <w:szCs w:val="20"/>
                <w:color w:val="auto"/>
              </w:rPr>
            </w:pPr>
            <w:r>
              <w:rPr>
                <w:rFonts w:ascii="Arial" w:cs="Arial" w:eastAsia="Arial" w:hAnsi="Arial"/>
                <w:sz w:val="16"/>
                <w:szCs w:val="16"/>
                <w:b w:val="1"/>
                <w:bCs w:val="1"/>
                <w:color w:val="2573BA"/>
              </w:rPr>
              <w:t>As of December 31, 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As of December 31, 2023</w:t>
            </w:r>
          </w:p>
        </w:tc>
        <w:tc>
          <w:tcPr>
            <w:tcW w:w="0" w:type="dxa"/>
            <w:vAlign w:val="bottom"/>
          </w:tcPr>
          <w:p>
            <w:pPr>
              <w:spacing w:after="0"/>
              <w:rPr>
                <w:sz w:val="1"/>
                <w:szCs w:val="1"/>
                <w:color w:val="auto"/>
              </w:rPr>
            </w:pPr>
          </w:p>
        </w:tc>
      </w:tr>
      <w:tr>
        <w:trPr>
          <w:trHeight w:val="187"/>
        </w:trPr>
        <w:tc>
          <w:tcPr>
            <w:tcW w:w="5900" w:type="dxa"/>
            <w:vAlign w:val="bottom"/>
            <w:vMerge w:val="continue"/>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228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DBDBDB"/>
          </w:tcPr>
          <w:p>
            <w:pPr>
              <w:jc w:val="right"/>
              <w:ind w:right="42"/>
              <w:spacing w:after="0"/>
              <w:rPr>
                <w:sz w:val="20"/>
                <w:szCs w:val="20"/>
                <w:color w:val="auto"/>
              </w:rPr>
            </w:pPr>
            <w:r>
              <w:rPr>
                <w:rFonts w:ascii="Arial" w:cs="Arial" w:eastAsia="Arial" w:hAnsi="Arial"/>
                <w:sz w:val="16"/>
                <w:szCs w:val="16"/>
                <w:color w:val="2573BA"/>
                <w:w w:val="89"/>
              </w:rPr>
              <w:t>$</w:t>
            </w: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2,375.0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1,049.9</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1,404.8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1,664.1</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Due from anti-CD20 therapeutic programs</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464.0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435.9</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Inventory</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2,460.5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2,527.4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DBDBDB"/>
          </w:tcPr>
          <w:p>
            <w:pPr>
              <w:spacing w:after="0"/>
              <w:rPr>
                <w:sz w:val="17"/>
                <w:szCs w:val="17"/>
                <w:color w:val="auto"/>
              </w:rPr>
            </w:pPr>
          </w:p>
        </w:tc>
        <w:tc>
          <w:tcPr>
            <w:tcW w:w="22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752.5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1,182.0</w:t>
            </w:r>
          </w:p>
        </w:tc>
        <w:tc>
          <w:tcPr>
            <w:tcW w:w="0" w:type="dxa"/>
            <w:vAlign w:val="bottom"/>
          </w:tcPr>
          <w:p>
            <w:pPr>
              <w:spacing w:after="0"/>
              <w:rPr>
                <w:sz w:val="1"/>
                <w:szCs w:val="1"/>
                <w:color w:val="auto"/>
              </w:rPr>
            </w:pPr>
          </w:p>
        </w:tc>
      </w:tr>
      <w:tr>
        <w:trPr>
          <w:trHeight w:val="200"/>
        </w:trPr>
        <w:tc>
          <w:tcPr>
            <w:tcW w:w="590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7,456.8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6,859.3</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3,181.3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3,309.7</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Operating lease assets</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356.4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420.0</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9,691.2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8,363.0</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6,478.9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6,219.2</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Deferred tax assets</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324.2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08"/>
        </w:trPr>
        <w:tc>
          <w:tcPr>
            <w:tcW w:w="590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220" w:type="dxa"/>
            <w:vAlign w:val="bottom"/>
            <w:tcBorders>
              <w:bottom w:val="single" w:sz="8" w:color="auto"/>
            </w:tcBorders>
            <w:shd w:val="clear" w:color="auto" w:fill="DBDBDB"/>
          </w:tcPr>
          <w:p>
            <w:pPr>
              <w:spacing w:after="0"/>
              <w:rPr>
                <w:sz w:val="18"/>
                <w:szCs w:val="18"/>
                <w:color w:val="auto"/>
              </w:rPr>
            </w:pPr>
          </w:p>
        </w:tc>
        <w:tc>
          <w:tcPr>
            <w:tcW w:w="22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560.5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33"/>
        </w:trPr>
        <w:tc>
          <w:tcPr>
            <w:tcW w:w="5900" w:type="dxa"/>
            <w:vAlign w:val="bottom"/>
          </w:tcPr>
          <w:p>
            <w:pPr>
              <w:spacing w:after="0"/>
              <w:rPr>
                <w:sz w:val="20"/>
                <w:szCs w:val="20"/>
                <w:color w:val="auto"/>
              </w:rPr>
            </w:pPr>
            <w:r>
              <w:rPr>
                <w:rFonts w:ascii="Arial" w:cs="Arial" w:eastAsia="Arial" w:hAnsi="Arial"/>
                <w:sz w:val="16"/>
                <w:szCs w:val="16"/>
                <w:color w:val="auto"/>
              </w:rPr>
              <w:t>TOTAL ASSETS</w:t>
            </w:r>
          </w:p>
        </w:tc>
        <w:tc>
          <w:tcPr>
            <w:tcW w:w="220" w:type="dxa"/>
            <w:vAlign w:val="bottom"/>
            <w:shd w:val="clear" w:color="auto" w:fill="DBDBDB"/>
          </w:tcPr>
          <w:p>
            <w:pPr>
              <w:jc w:val="right"/>
              <w:ind w:right="42"/>
              <w:spacing w:after="0"/>
              <w:rPr>
                <w:sz w:val="20"/>
                <w:szCs w:val="20"/>
                <w:color w:val="auto"/>
              </w:rPr>
            </w:pPr>
            <w:r>
              <w:rPr>
                <w:rFonts w:ascii="Arial" w:cs="Arial" w:eastAsia="Arial" w:hAnsi="Arial"/>
                <w:sz w:val="16"/>
                <w:szCs w:val="16"/>
                <w:color w:val="2573BA"/>
                <w:w w:val="89"/>
              </w:rPr>
              <w:t>$</w:t>
            </w: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28,049.3</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26,844.8</w:t>
            </w:r>
          </w:p>
        </w:tc>
        <w:tc>
          <w:tcPr>
            <w:tcW w:w="0" w:type="dxa"/>
            <w:vAlign w:val="bottom"/>
          </w:tcPr>
          <w:p>
            <w:pPr>
              <w:spacing w:after="0"/>
              <w:rPr>
                <w:sz w:val="1"/>
                <w:szCs w:val="1"/>
                <w:color w:val="auto"/>
              </w:rPr>
            </w:pPr>
          </w:p>
        </w:tc>
      </w:tr>
      <w:tr>
        <w:trPr>
          <w:trHeight w:val="440"/>
        </w:trPr>
        <w:tc>
          <w:tcPr>
            <w:tcW w:w="5900" w:type="dxa"/>
            <w:vAlign w:val="bottom"/>
          </w:tcPr>
          <w:p>
            <w:pPr>
              <w:spacing w:after="0"/>
              <w:rPr>
                <w:sz w:val="20"/>
                <w:szCs w:val="20"/>
                <w:color w:val="auto"/>
              </w:rPr>
            </w:pPr>
            <w:r>
              <w:rPr>
                <w:rFonts w:ascii="Arial" w:cs="Arial" w:eastAsia="Arial" w:hAnsi="Arial"/>
                <w:sz w:val="16"/>
                <w:szCs w:val="16"/>
                <w:b w:val="1"/>
                <w:bCs w:val="1"/>
                <w:color w:val="2573BA"/>
              </w:rPr>
              <w:t>LIABILITIES AND EQUITY</w:t>
            </w:r>
          </w:p>
        </w:tc>
        <w:tc>
          <w:tcPr>
            <w:tcW w:w="220" w:type="dxa"/>
            <w:vAlign w:val="bottom"/>
            <w:tcBorders>
              <w:top w:val="single" w:sz="8" w:color="auto"/>
            </w:tcBorders>
            <w:shd w:val="clear" w:color="auto" w:fill="DBDBDB"/>
          </w:tcPr>
          <w:p>
            <w:pPr>
              <w:spacing w:after="0"/>
              <w:rPr>
                <w:sz w:val="24"/>
                <w:szCs w:val="24"/>
                <w:color w:val="auto"/>
              </w:rPr>
            </w:pPr>
          </w:p>
        </w:tc>
        <w:tc>
          <w:tcPr>
            <w:tcW w:w="2280" w:type="dxa"/>
            <w:vAlign w:val="bottom"/>
            <w:tcBorders>
              <w:top w:val="single" w:sz="8" w:color="auto"/>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900" w:type="dxa"/>
            <w:vAlign w:val="bottom"/>
          </w:tcPr>
          <w:p>
            <w:pPr>
              <w:spacing w:after="0"/>
              <w:rPr>
                <w:sz w:val="20"/>
                <w:szCs w:val="20"/>
                <w:color w:val="auto"/>
              </w:rPr>
            </w:pPr>
            <w:r>
              <w:rPr>
                <w:rFonts w:ascii="Arial" w:cs="Arial" w:eastAsia="Arial" w:hAnsi="Arial"/>
                <w:sz w:val="16"/>
                <w:szCs w:val="16"/>
                <w:color w:val="auto"/>
              </w:rPr>
              <w:t>Current portion of notes payable and term loan</w:t>
            </w:r>
          </w:p>
        </w:tc>
        <w:tc>
          <w:tcPr>
            <w:tcW w:w="220" w:type="dxa"/>
            <w:vAlign w:val="bottom"/>
            <w:shd w:val="clear" w:color="auto" w:fill="DBDBDB"/>
          </w:tcPr>
          <w:p>
            <w:pPr>
              <w:jc w:val="right"/>
              <w:ind w:right="42"/>
              <w:spacing w:after="0"/>
              <w:rPr>
                <w:sz w:val="20"/>
                <w:szCs w:val="20"/>
                <w:color w:val="auto"/>
              </w:rPr>
            </w:pPr>
            <w:r>
              <w:rPr>
                <w:rFonts w:ascii="Arial" w:cs="Arial" w:eastAsia="Arial" w:hAnsi="Arial"/>
                <w:sz w:val="16"/>
                <w:szCs w:val="16"/>
                <w:color w:val="2573BA"/>
                <w:w w:val="89"/>
              </w:rPr>
              <w:t>$</w:t>
            </w: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1,748.6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Taxes payable</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548.3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257.4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424.2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403.3</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Accrued expense and other</w:t>
            </w:r>
          </w:p>
        </w:tc>
        <w:tc>
          <w:tcPr>
            <w:tcW w:w="220" w:type="dxa"/>
            <w:vAlign w:val="bottom"/>
            <w:tcBorders>
              <w:bottom w:val="single" w:sz="8" w:color="auto"/>
            </w:tcBorders>
            <w:shd w:val="clear" w:color="auto" w:fill="DBDBDB"/>
          </w:tcPr>
          <w:p>
            <w:pPr>
              <w:spacing w:after="0"/>
              <w:rPr>
                <w:sz w:val="17"/>
                <w:szCs w:val="17"/>
                <w:color w:val="auto"/>
              </w:rPr>
            </w:pPr>
          </w:p>
        </w:tc>
        <w:tc>
          <w:tcPr>
            <w:tcW w:w="22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2,807.7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2,623.6</w:t>
            </w:r>
          </w:p>
        </w:tc>
        <w:tc>
          <w:tcPr>
            <w:tcW w:w="0" w:type="dxa"/>
            <w:vAlign w:val="bottom"/>
          </w:tcPr>
          <w:p>
            <w:pPr>
              <w:spacing w:after="0"/>
              <w:rPr>
                <w:sz w:val="1"/>
                <w:szCs w:val="1"/>
                <w:color w:val="auto"/>
              </w:rPr>
            </w:pPr>
          </w:p>
        </w:tc>
      </w:tr>
      <w:tr>
        <w:trPr>
          <w:trHeight w:val="200"/>
        </w:trPr>
        <w:tc>
          <w:tcPr>
            <w:tcW w:w="59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5,528.8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3,434.3</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Notes payable and term loan</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4,547.2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6,788.2</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190.5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641.8</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334.5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732.3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781.1</w:t>
            </w:r>
          </w:p>
        </w:tc>
        <w:tc>
          <w:tcPr>
            <w:tcW w:w="0" w:type="dxa"/>
            <w:vAlign w:val="bottom"/>
          </w:tcPr>
          <w:p>
            <w:pPr>
              <w:spacing w:after="0"/>
              <w:rPr>
                <w:sz w:val="1"/>
                <w:szCs w:val="1"/>
                <w:color w:val="auto"/>
              </w:rPr>
            </w:pPr>
          </w:p>
        </w:tc>
      </w:tr>
      <w:tr>
        <w:trPr>
          <w:trHeight w:val="208"/>
        </w:trPr>
        <w:tc>
          <w:tcPr>
            <w:tcW w:w="5900" w:type="dxa"/>
            <w:vAlign w:val="bottom"/>
          </w:tcPr>
          <w:p>
            <w:pPr>
              <w:spacing w:after="0"/>
              <w:rPr>
                <w:sz w:val="20"/>
                <w:szCs w:val="20"/>
                <w:color w:val="auto"/>
              </w:rPr>
            </w:pPr>
            <w:r>
              <w:rPr>
                <w:rFonts w:ascii="Arial" w:cs="Arial" w:eastAsia="Arial" w:hAnsi="Arial"/>
                <w:sz w:val="16"/>
                <w:szCs w:val="16"/>
                <w:color w:val="auto"/>
              </w:rPr>
              <w:t>Equity</w:t>
            </w:r>
          </w:p>
        </w:tc>
        <w:tc>
          <w:tcPr>
            <w:tcW w:w="220" w:type="dxa"/>
            <w:vAlign w:val="bottom"/>
            <w:tcBorders>
              <w:bottom w:val="single" w:sz="8" w:color="auto"/>
            </w:tcBorders>
            <w:shd w:val="clear" w:color="auto" w:fill="DBDBDB"/>
          </w:tcPr>
          <w:p>
            <w:pPr>
              <w:spacing w:after="0"/>
              <w:rPr>
                <w:sz w:val="18"/>
                <w:szCs w:val="18"/>
                <w:color w:val="auto"/>
              </w:rPr>
            </w:pPr>
          </w:p>
        </w:tc>
        <w:tc>
          <w:tcPr>
            <w:tcW w:w="22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16,716.0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14,799.4</w:t>
            </w:r>
          </w:p>
        </w:tc>
        <w:tc>
          <w:tcPr>
            <w:tcW w:w="0" w:type="dxa"/>
            <w:vAlign w:val="bottom"/>
          </w:tcPr>
          <w:p>
            <w:pPr>
              <w:spacing w:after="0"/>
              <w:rPr>
                <w:sz w:val="1"/>
                <w:szCs w:val="1"/>
                <w:color w:val="auto"/>
              </w:rPr>
            </w:pPr>
          </w:p>
        </w:tc>
      </w:tr>
      <w:tr>
        <w:trPr>
          <w:trHeight w:val="221"/>
        </w:trPr>
        <w:tc>
          <w:tcPr>
            <w:tcW w:w="590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220" w:type="dxa"/>
            <w:vAlign w:val="bottom"/>
            <w:shd w:val="clear" w:color="auto" w:fill="DBDBDB"/>
          </w:tcPr>
          <w:p>
            <w:pPr>
              <w:jc w:val="right"/>
              <w:ind w:right="42"/>
              <w:spacing w:after="0"/>
              <w:rPr>
                <w:sz w:val="20"/>
                <w:szCs w:val="20"/>
                <w:color w:val="auto"/>
              </w:rPr>
            </w:pPr>
            <w:r>
              <w:rPr>
                <w:rFonts w:ascii="Arial" w:cs="Arial" w:eastAsia="Arial" w:hAnsi="Arial"/>
                <w:sz w:val="16"/>
                <w:szCs w:val="16"/>
                <w:color w:val="2573BA"/>
                <w:w w:val="89"/>
              </w:rPr>
              <w:t>$</w:t>
            </w:r>
          </w:p>
        </w:tc>
        <w:tc>
          <w:tcPr>
            <w:tcW w:w="22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28,049.3</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26,844.8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447260"/>
        </w:rPr>
        <w:t>9</w:t>
      </w:r>
    </w:p>
    <w:p>
      <w:pPr>
        <w:sectPr>
          <w:pgSz w:w="11900" w:h="16838" w:orient="portrait"/>
          <w:cols w:equalWidth="0" w:num="1">
            <w:col w:w="11060"/>
          </w:cols>
          <w:pgMar w:left="420" w:top="864" w:right="4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1"/>
          <w:szCs w:val="21"/>
          <w:b w:val="1"/>
          <w:bCs w:val="1"/>
          <w:color w:val="1C5A7D"/>
        </w:rPr>
        <w:t>TABLE 3</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1C5A7D"/>
        </w:rPr>
        <w:t>PRODUCT REVENUE</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1C5A7D"/>
        </w:rPr>
        <w:t>Product Revenue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9"/>
          </w:tcPr>
          <w:p>
            <w:pPr>
              <w:jc w:val="right"/>
              <w:ind w:right="51"/>
              <w:spacing w:after="0"/>
              <w:rPr>
                <w:sz w:val="20"/>
                <w:szCs w:val="20"/>
                <w:color w:val="auto"/>
              </w:rPr>
            </w:pPr>
            <w:r>
              <w:rPr>
                <w:rFonts w:ascii="Arial" w:cs="Arial" w:eastAsia="Arial" w:hAnsi="Arial"/>
                <w:sz w:val="14"/>
                <w:szCs w:val="14"/>
                <w:b w:val="1"/>
                <w:bCs w:val="1"/>
                <w:color w:val="auto"/>
              </w:rPr>
              <w:t>For the Three Months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spacing w:after="0"/>
              <w:rPr>
                <w:sz w:val="16"/>
                <w:szCs w:val="16"/>
                <w:color w:val="auto"/>
              </w:rPr>
            </w:pPr>
          </w:p>
        </w:tc>
        <w:tc>
          <w:tcPr>
            <w:tcW w:w="4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940" w:type="dxa"/>
            <w:vAlign w:val="bottom"/>
            <w:tcBorders>
              <w:bottom w:val="single" w:sz="8" w:color="auto"/>
            </w:tcBorders>
            <w:shd w:val="clear" w:color="auto" w:fill="DDDDDD"/>
          </w:tcPr>
          <w:p>
            <w:pPr>
              <w:jc w:val="center"/>
              <w:ind w:right="131"/>
              <w:spacing w:after="0"/>
              <w:rPr>
                <w:sz w:val="20"/>
                <w:szCs w:val="20"/>
                <w:color w:val="auto"/>
              </w:rPr>
            </w:pPr>
            <w:r>
              <w:rPr>
                <w:rFonts w:ascii="Arial" w:cs="Arial" w:eastAsia="Arial" w:hAnsi="Arial"/>
                <w:sz w:val="14"/>
                <w:szCs w:val="14"/>
                <w:b w:val="1"/>
                <w:bCs w:val="1"/>
                <w:color w:val="257ACB"/>
                <w:w w:val="96"/>
              </w:rPr>
              <w:t>2024</w:t>
            </w:r>
          </w:p>
        </w:tc>
        <w:tc>
          <w:tcPr>
            <w:tcW w:w="100" w:type="dxa"/>
            <w:vAlign w:val="bottom"/>
            <w:tcBorders>
              <w:bottom w:val="single" w:sz="8" w:color="auto"/>
            </w:tcBorders>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92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71"/>
              <w:spacing w:after="0" w:line="140" w:lineRule="exact"/>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rPr>
              <w:t>Rest of</w:t>
            </w:r>
          </w:p>
        </w:tc>
        <w:tc>
          <w:tcPr>
            <w:tcW w:w="260" w:type="dxa"/>
            <w:vAlign w:val="bottom"/>
          </w:tcPr>
          <w:p>
            <w:pPr>
              <w:spacing w:after="0"/>
              <w:rPr>
                <w:sz w:val="12"/>
                <w:szCs w:val="12"/>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ind w:left="120"/>
              <w:spacing w:after="0" w:line="140" w:lineRule="exact"/>
              <w:rPr>
                <w:sz w:val="20"/>
                <w:szCs w:val="20"/>
                <w:color w:val="auto"/>
              </w:rPr>
            </w:pPr>
            <w:r>
              <w:rPr>
                <w:rFonts w:ascii="Arial" w:cs="Arial" w:eastAsia="Arial" w:hAnsi="Arial"/>
                <w:sz w:val="14"/>
                <w:szCs w:val="14"/>
                <w:b w:val="1"/>
                <w:bCs w:val="1"/>
                <w:color w:val="auto"/>
              </w:rPr>
              <w:t>United</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96"/>
              </w:rPr>
              <w:t>Rest of</w:t>
            </w:r>
          </w:p>
        </w:tc>
        <w:tc>
          <w:tcPr>
            <w:tcW w:w="260" w:type="dxa"/>
            <w:vAlign w:val="bottom"/>
          </w:tcPr>
          <w:p>
            <w:pPr>
              <w:spacing w:after="0"/>
              <w:rPr>
                <w:sz w:val="12"/>
                <w:szCs w:val="12"/>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rPr>
              <w:t>World</w:t>
            </w:r>
          </w:p>
        </w:tc>
        <w:tc>
          <w:tcPr>
            <w:tcW w:w="10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5"/>
              </w:rPr>
              <w:t>World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Multiple Sclerosis (MS):</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41.3</w:t>
            </w:r>
          </w:p>
        </w:tc>
        <w:tc>
          <w:tcPr>
            <w:tcW w:w="360" w:type="dxa"/>
            <w:vAlign w:val="bottom"/>
            <w:gridSpan w:val="3"/>
            <w:shd w:val="clear" w:color="auto" w:fill="DBDBDB"/>
          </w:tcPr>
          <w:p>
            <w:pPr>
              <w:jc w:val="right"/>
              <w:ind w:right="51"/>
              <w:spacing w:after="0"/>
              <w:rPr>
                <w:sz w:val="20"/>
                <w:szCs w:val="20"/>
                <w:color w:val="auto"/>
              </w:rPr>
            </w:pPr>
            <w:r>
              <w:rPr>
                <w:rFonts w:ascii="Arial" w:cs="Arial" w:eastAsia="Arial" w:hAnsi="Arial"/>
                <w:sz w:val="14"/>
                <w:szCs w:val="14"/>
                <w:color w:val="257ACB"/>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186.5</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227.8</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180.5</w:t>
            </w:r>
          </w:p>
        </w:tc>
        <w:tc>
          <w:tcPr>
            <w:tcW w:w="10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244.3</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14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153.6</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23.0</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176.6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Total Fumarate</w:t>
            </w:r>
          </w:p>
        </w:tc>
        <w:tc>
          <w:tcPr>
            <w:tcW w:w="14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194.9</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209.5</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404.4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400.7</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107.3</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62.7</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14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26.7</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39.3</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66.0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Total Interferon</w:t>
            </w:r>
          </w:p>
        </w:tc>
        <w:tc>
          <w:tcPr>
            <w:tcW w:w="14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134.0</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102.0</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236.0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230.0</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185.4</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464.7</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FAMPYRA</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87"/>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MS</w:t>
            </w:r>
          </w:p>
        </w:tc>
        <w:tc>
          <w:tcPr>
            <w:tcW w:w="14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558.9</w:t>
            </w:r>
          </w:p>
        </w:tc>
        <w:tc>
          <w:tcPr>
            <w:tcW w:w="40" w:type="dxa"/>
            <w:vAlign w:val="bottom"/>
            <w:tcBorders>
              <w:top w:val="single" w:sz="8" w:color="auto"/>
              <w:bottom w:val="single" w:sz="8" w:color="auto"/>
            </w:tcBorders>
            <w:shd w:val="clear" w:color="auto" w:fill="DBDBDB"/>
          </w:tcPr>
          <w:p>
            <w:pPr>
              <w:spacing w:after="0"/>
              <w:rPr>
                <w:sz w:val="16"/>
                <w:szCs w:val="16"/>
                <w:color w:val="auto"/>
              </w:rPr>
            </w:pPr>
          </w:p>
        </w:tc>
        <w:tc>
          <w:tcPr>
            <w:tcW w:w="100" w:type="dxa"/>
            <w:vAlign w:val="bottom"/>
            <w:tcBorders>
              <w:top w:val="single" w:sz="8" w:color="DBDBDB"/>
              <w:bottom w:val="single" w:sz="8" w:color="DBDBDB"/>
            </w:tcBorders>
            <w:shd w:val="clear" w:color="auto" w:fill="DBDBDB"/>
          </w:tcPr>
          <w:p>
            <w:pPr>
              <w:spacing w:after="0"/>
              <w:rPr>
                <w:sz w:val="16"/>
                <w:szCs w:val="16"/>
                <w:color w:val="auto"/>
              </w:rPr>
            </w:pPr>
          </w:p>
        </w:tc>
        <w:tc>
          <w:tcPr>
            <w:tcW w:w="220" w:type="dxa"/>
            <w:vAlign w:val="bottom"/>
            <w:tcBorders>
              <w:top w:val="single" w:sz="8" w:color="auto"/>
              <w:bottom w:val="single" w:sz="8" w:color="auto"/>
            </w:tcBorders>
            <w:shd w:val="clear" w:color="auto" w:fill="DBDBDB"/>
          </w:tcPr>
          <w:p>
            <w:pPr>
              <w:spacing w:after="0"/>
              <w:rPr>
                <w:sz w:val="16"/>
                <w:szCs w:val="16"/>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511.3</w:t>
            </w:r>
          </w:p>
        </w:tc>
        <w:tc>
          <w:tcPr>
            <w:tcW w:w="100" w:type="dxa"/>
            <w:vAlign w:val="bottom"/>
            <w:tcBorders>
              <w:top w:val="single" w:sz="8" w:color="DBDBDB"/>
              <w:bottom w:val="single" w:sz="8" w:color="DBDBDB"/>
            </w:tcBorders>
            <w:shd w:val="clear" w:color="auto" w:fill="DBDBDB"/>
          </w:tcPr>
          <w:p>
            <w:pPr>
              <w:spacing w:after="0"/>
              <w:rPr>
                <w:sz w:val="16"/>
                <w:szCs w:val="16"/>
                <w:color w:val="auto"/>
              </w:rPr>
            </w:pPr>
          </w:p>
        </w:tc>
        <w:tc>
          <w:tcPr>
            <w:tcW w:w="260" w:type="dxa"/>
            <w:vAlign w:val="bottom"/>
            <w:tcBorders>
              <w:top w:val="single" w:sz="8" w:color="auto"/>
              <w:bottom w:val="single" w:sz="8" w:color="auto"/>
            </w:tcBorders>
            <w:shd w:val="clear" w:color="auto" w:fill="DBDBDB"/>
          </w:tcPr>
          <w:p>
            <w:pPr>
              <w:spacing w:after="0"/>
              <w:rPr>
                <w:sz w:val="16"/>
                <w:szCs w:val="16"/>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1,070.2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547.0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1,168.4</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Rare disease:</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166.8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254.6</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412.6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SKYCLARYS</w:t>
            </w:r>
            <w:r>
              <w:rPr>
                <w:rFonts w:ascii="Arial" w:cs="Arial" w:eastAsia="Arial" w:hAnsi="Arial"/>
                <w:sz w:val="17"/>
                <w:szCs w:val="17"/>
                <w:color w:val="auto"/>
                <w:vertAlign w:val="superscript"/>
              </w:rPr>
              <w:t>(1)</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70.7</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31.5</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660" w:type="dxa"/>
            <w:vAlign w:val="bottom"/>
            <w:gridSpan w:val="2"/>
          </w:tcPr>
          <w:p>
            <w:pPr>
              <w:ind w:left="100"/>
              <w:spacing w:after="0" w:line="193" w:lineRule="exact"/>
              <w:rPr>
                <w:sz w:val="20"/>
                <w:szCs w:val="20"/>
                <w:color w:val="auto"/>
              </w:rPr>
            </w:pPr>
            <w:r>
              <w:rPr>
                <w:rFonts w:ascii="Arial" w:cs="Arial" w:eastAsia="Arial" w:hAnsi="Arial"/>
                <w:sz w:val="14"/>
                <w:szCs w:val="14"/>
                <w:color w:val="auto"/>
              </w:rPr>
              <w:t>QALSODY</w:t>
            </w:r>
            <w:r>
              <w:rPr>
                <w:rFonts w:ascii="Arial" w:cs="Arial" w:eastAsia="Arial" w:hAnsi="Arial"/>
                <w:sz w:val="17"/>
                <w:szCs w:val="17"/>
                <w:color w:val="auto"/>
                <w:vertAlign w:val="superscript"/>
              </w:rPr>
              <w:t>(2)</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5.3</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Rare disease</w:t>
            </w: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243.9</w:t>
            </w:r>
          </w:p>
        </w:tc>
        <w:tc>
          <w:tcPr>
            <w:tcW w:w="40" w:type="dxa"/>
            <w:vAlign w:val="bottom"/>
            <w:tcBorders>
              <w:top w:val="single" w:sz="8" w:color="auto"/>
              <w:bottom w:val="single" w:sz="8" w:color="auto"/>
            </w:tcBorders>
            <w:shd w:val="clear" w:color="auto" w:fill="DBDBDB"/>
          </w:tcPr>
          <w:p>
            <w:pPr>
              <w:spacing w:after="0"/>
              <w:rPr>
                <w:sz w:val="15"/>
                <w:szCs w:val="15"/>
                <w:color w:val="auto"/>
              </w:rPr>
            </w:pP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220" w:type="dxa"/>
            <w:vAlign w:val="bottom"/>
            <w:tcBorders>
              <w:top w:val="single" w:sz="8" w:color="auto"/>
              <w:bottom w:val="single" w:sz="8" w:color="auto"/>
            </w:tcBorders>
            <w:shd w:val="clear" w:color="auto" w:fill="DBDBDB"/>
          </w:tcPr>
          <w:p>
            <w:pPr>
              <w:spacing w:after="0"/>
              <w:rPr>
                <w:sz w:val="15"/>
                <w:szCs w:val="15"/>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291.4</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260" w:type="dxa"/>
            <w:vAlign w:val="bottom"/>
            <w:tcBorders>
              <w:top w:val="single" w:sz="8" w:color="auto"/>
              <w:bottom w:val="single" w:sz="8" w:color="auto"/>
            </w:tcBorders>
            <w:shd w:val="clear" w:color="auto" w:fill="DBDBDB"/>
          </w:tcPr>
          <w:p>
            <w:pPr>
              <w:spacing w:after="0"/>
              <w:rPr>
                <w:sz w:val="15"/>
                <w:szCs w:val="15"/>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535.3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255.1</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471.8</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125.0</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51.0</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16.1</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BYOOVIZ</w:t>
            </w:r>
            <w:r>
              <w:rPr>
                <w:rFonts w:ascii="Arial" w:cs="Arial" w:eastAsia="Arial" w:hAnsi="Arial"/>
                <w:sz w:val="17"/>
                <w:szCs w:val="17"/>
                <w:color w:val="auto"/>
                <w:vertAlign w:val="superscript"/>
              </w:rPr>
              <w:t>(3)</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660" w:type="dxa"/>
            <w:vAlign w:val="bottom"/>
            <w:gridSpan w:val="2"/>
          </w:tcPr>
          <w:p>
            <w:pPr>
              <w:ind w:left="100"/>
              <w:spacing w:after="0" w:line="193" w:lineRule="exact"/>
              <w:rPr>
                <w:sz w:val="20"/>
                <w:szCs w:val="20"/>
                <w:color w:val="auto"/>
              </w:rPr>
            </w:pPr>
            <w:r>
              <w:rPr>
                <w:rFonts w:ascii="Arial" w:cs="Arial" w:eastAsia="Arial" w:hAnsi="Arial"/>
                <w:sz w:val="14"/>
                <w:szCs w:val="14"/>
                <w:color w:val="auto"/>
              </w:rPr>
              <w:t>TOFIDENCE</w:t>
            </w:r>
            <w:r>
              <w:rPr>
                <w:rFonts w:ascii="Arial" w:cs="Arial" w:eastAsia="Arial" w:hAnsi="Arial"/>
                <w:sz w:val="17"/>
                <w:szCs w:val="17"/>
                <w:color w:val="auto"/>
                <w:vertAlign w:val="superscript"/>
              </w:rPr>
              <w:t>(4)</w:t>
            </w: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5.0</w:t>
            </w:r>
          </w:p>
        </w:tc>
        <w:tc>
          <w:tcPr>
            <w:tcW w:w="40" w:type="dxa"/>
            <w:vAlign w:val="bottom"/>
            <w:tcBorders>
              <w:top w:val="single" w:sz="8" w:color="auto"/>
              <w:bottom w:val="single" w:sz="8" w:color="auto"/>
            </w:tcBorders>
            <w:shd w:val="clear" w:color="auto" w:fill="DBDBDB"/>
          </w:tcPr>
          <w:p>
            <w:pPr>
              <w:spacing w:after="0"/>
              <w:rPr>
                <w:sz w:val="15"/>
                <w:szCs w:val="15"/>
                <w:color w:val="auto"/>
              </w:rPr>
            </w:pP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220" w:type="dxa"/>
            <w:vAlign w:val="bottom"/>
            <w:tcBorders>
              <w:top w:val="single" w:sz="8" w:color="auto"/>
              <w:bottom w:val="single" w:sz="8" w:color="auto"/>
            </w:tcBorders>
            <w:shd w:val="clear" w:color="auto" w:fill="DBDBDB"/>
          </w:tcPr>
          <w:p>
            <w:pPr>
              <w:spacing w:after="0"/>
              <w:rPr>
                <w:sz w:val="15"/>
                <w:szCs w:val="15"/>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196.5</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260" w:type="dxa"/>
            <w:vAlign w:val="bottom"/>
            <w:tcBorders>
              <w:top w:val="single" w:sz="8" w:color="auto"/>
              <w:bottom w:val="single" w:sz="8" w:color="auto"/>
            </w:tcBorders>
            <w:shd w:val="clear" w:color="auto" w:fill="DBDBDB"/>
          </w:tcPr>
          <w:p>
            <w:pPr>
              <w:spacing w:after="0"/>
              <w:rPr>
                <w:sz w:val="15"/>
                <w:szCs w:val="15"/>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201.5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180.3</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188.2</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60" w:type="dxa"/>
            <w:vAlign w:val="bottom"/>
            <w:gridSpan w:val="2"/>
          </w:tcPr>
          <w:p>
            <w:pPr>
              <w:ind w:left="80"/>
              <w:spacing w:after="0"/>
              <w:rPr>
                <w:sz w:val="20"/>
                <w:szCs w:val="20"/>
                <w:color w:val="auto"/>
              </w:rPr>
            </w:pPr>
            <w:r>
              <w:rPr>
                <w:rFonts w:ascii="Arial" w:cs="Arial" w:eastAsia="Arial" w:hAnsi="Arial"/>
                <w:sz w:val="14"/>
                <w:szCs w:val="14"/>
                <w:color w:val="auto"/>
              </w:rPr>
              <w:t>ZURZUVAE</w:t>
            </w:r>
            <w:r>
              <w:rPr>
                <w:rFonts w:ascii="Arial" w:cs="Arial" w:eastAsia="Arial" w:hAnsi="Arial"/>
                <w:sz w:val="17"/>
                <w:szCs w:val="17"/>
                <w:color w:val="auto"/>
                <w:vertAlign w:val="superscript"/>
              </w:rPr>
              <w:t>(5)</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80"/>
              <w:spacing w:after="0" w:line="194" w:lineRule="exact"/>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(6)</w:t>
            </w:r>
          </w:p>
        </w:tc>
        <w:tc>
          <w:tcPr>
            <w:tcW w:w="14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3"/>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Other</w:t>
            </w: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23.7</w:t>
            </w:r>
          </w:p>
        </w:tc>
        <w:tc>
          <w:tcPr>
            <w:tcW w:w="4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w:t>
            </w:r>
          </w:p>
        </w:tc>
        <w:tc>
          <w:tcPr>
            <w:tcW w:w="10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25.6</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60" w:type="dxa"/>
            <w:vAlign w:val="bottom"/>
            <w:gridSpan w:val="2"/>
          </w:tcPr>
          <w:p>
            <w:pPr>
              <w:ind w:left="180"/>
              <w:spacing w:after="0"/>
              <w:rPr>
                <w:sz w:val="20"/>
                <w:szCs w:val="20"/>
                <w:color w:val="auto"/>
              </w:rPr>
            </w:pPr>
            <w:r>
              <w:rPr>
                <w:rFonts w:ascii="Arial" w:cs="Arial" w:eastAsia="Arial" w:hAnsi="Arial"/>
                <w:sz w:val="14"/>
                <w:szCs w:val="14"/>
                <w:color w:val="auto"/>
              </w:rPr>
              <w:t>Total product revenue, net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831.5</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257ACB"/>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1,001.1</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1,832.6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848.1</w:t>
            </w:r>
          </w:p>
        </w:tc>
        <w:tc>
          <w:tcPr>
            <w:tcW w:w="100" w:type="dxa"/>
            <w:vAlign w:val="bottom"/>
          </w:tcPr>
          <w:p>
            <w:pPr>
              <w:spacing w:after="0"/>
              <w:rPr>
                <w:sz w:val="18"/>
                <w:szCs w:val="18"/>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984.3</w:t>
            </w:r>
          </w:p>
        </w:tc>
        <w:tc>
          <w:tcPr>
            <w:tcW w:w="100" w:type="dxa"/>
            <w:vAlign w:val="bottom"/>
          </w:tcPr>
          <w:p>
            <w:pPr>
              <w:spacing w:after="0"/>
              <w:rPr>
                <w:sz w:val="18"/>
                <w:szCs w:val="18"/>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1,832.4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 w:type="dxa"/>
            <w:vAlign w:val="bottom"/>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60" w:hanging="157"/>
        <w:spacing w:after="0" w:line="228" w:lineRule="auto"/>
        <w:tabs>
          <w:tab w:leader="none" w:pos="152"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SKYCLARYS was obtained as part of our acquisition of Reata in September 2023. SKYCLARYS became commercially available in the U.S. during the second quarter of 2023 and we began recognizing revenue from SKYCLARYS in the U.S. during the fourth quarter of 2023, subsequent to our acquisition. SKYCLARYS was approved and became commercially available in the E.U. during the first quarter of 2024.</w:t>
      </w:r>
    </w:p>
    <w:p>
      <w:pPr>
        <w:spacing w:after="0" w:line="1" w:lineRule="exact"/>
        <w:rPr>
          <w:rFonts w:ascii="Arial" w:cs="Arial" w:eastAsia="Arial" w:hAnsi="Arial"/>
          <w:sz w:val="18"/>
          <w:szCs w:val="18"/>
          <w:color w:val="auto"/>
          <w:vertAlign w:val="superscript"/>
        </w:rPr>
      </w:pPr>
    </w:p>
    <w:p>
      <w:pPr>
        <w:ind w:left="160" w:hanging="157"/>
        <w:spacing w:after="0" w:line="224"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QALSODY became commercially available in the U.S. during the second quarter of 2023 and commercially available in the E.U. during the second quarter of 2024.</w:t>
      </w:r>
    </w:p>
    <w:p>
      <w:pPr>
        <w:spacing w:after="0" w:line="13" w:lineRule="exact"/>
        <w:rPr>
          <w:rFonts w:ascii="Arial" w:cs="Arial" w:eastAsia="Arial" w:hAnsi="Arial"/>
          <w:sz w:val="18"/>
          <w:szCs w:val="18"/>
          <w:color w:val="auto"/>
          <w:vertAlign w:val="superscript"/>
        </w:rPr>
      </w:pPr>
    </w:p>
    <w:p>
      <w:pPr>
        <w:ind w:left="160" w:hanging="157"/>
        <w:spacing w:after="0" w:line="195"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BYOOVIZ became commercially available in certain international markets in 2023.</w:t>
      </w:r>
    </w:p>
    <w:p>
      <w:pPr>
        <w:spacing w:after="0" w:line="12" w:lineRule="exact"/>
        <w:rPr>
          <w:rFonts w:ascii="Arial" w:cs="Arial" w:eastAsia="Arial" w:hAnsi="Arial"/>
          <w:sz w:val="18"/>
          <w:szCs w:val="18"/>
          <w:color w:val="auto"/>
          <w:vertAlign w:val="superscript"/>
        </w:rPr>
      </w:pPr>
    </w:p>
    <w:p>
      <w:pPr>
        <w:ind w:left="160" w:hanging="157"/>
        <w:spacing w:after="0" w:line="195"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TOFIDENCE became commercially available in the U.S. during the second quarter of 2024.</w:t>
      </w:r>
    </w:p>
    <w:p>
      <w:pPr>
        <w:spacing w:after="0" w:line="12" w:lineRule="exact"/>
        <w:rPr>
          <w:rFonts w:ascii="Arial" w:cs="Arial" w:eastAsia="Arial" w:hAnsi="Arial"/>
          <w:sz w:val="18"/>
          <w:szCs w:val="18"/>
          <w:color w:val="auto"/>
          <w:vertAlign w:val="superscript"/>
        </w:rPr>
      </w:pPr>
    </w:p>
    <w:p>
      <w:pPr>
        <w:ind w:left="160" w:hanging="157"/>
        <w:spacing w:after="0" w:line="195"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ZURZUVAE became commercially available in the U.S. during the fourth quarter of 2023.</w:t>
      </w:r>
    </w:p>
    <w:p>
      <w:pPr>
        <w:spacing w:after="0" w:line="12" w:lineRule="exact"/>
        <w:rPr>
          <w:rFonts w:ascii="Arial" w:cs="Arial" w:eastAsia="Arial" w:hAnsi="Arial"/>
          <w:sz w:val="18"/>
          <w:szCs w:val="18"/>
          <w:color w:val="auto"/>
          <w:vertAlign w:val="superscript"/>
        </w:rPr>
      </w:pPr>
    </w:p>
    <w:p>
      <w:pPr>
        <w:ind w:left="160" w:hanging="157"/>
        <w:spacing w:after="0" w:line="195"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and ADUHELM.</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10</w:t>
      </w:r>
    </w:p>
    <w:p>
      <w:pPr>
        <w:sectPr>
          <w:pgSz w:w="11900" w:h="16838" w:orient="portrait"/>
          <w:cols w:equalWidth="0" w:num="1">
            <w:col w:w="11220"/>
          </w:cols>
          <w:pgMar w:left="320" w:top="864"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1"/>
          <w:szCs w:val="21"/>
          <w:b w:val="1"/>
          <w:bCs w:val="1"/>
          <w:color w:val="1C5A7D"/>
        </w:rPr>
        <w:t>TABLE 3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1C5A7D"/>
        </w:rPr>
        <w:t>BIOGEN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1C5A7D"/>
        </w:rPr>
        <w:t>PRODUCT REVENUE</w:t>
      </w:r>
    </w:p>
    <w:p>
      <w:pPr>
        <w:jc w:val="center"/>
        <w:ind w:right="-19"/>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9"/>
          </w:tcPr>
          <w:p>
            <w:pPr>
              <w:jc w:val="right"/>
              <w:ind w:right="31"/>
              <w:spacing w:after="0"/>
              <w:rPr>
                <w:sz w:val="20"/>
                <w:szCs w:val="20"/>
                <w:color w:val="auto"/>
              </w:rPr>
            </w:pPr>
            <w:r>
              <w:rPr>
                <w:rFonts w:ascii="Arial" w:cs="Arial" w:eastAsia="Arial" w:hAnsi="Arial"/>
                <w:sz w:val="14"/>
                <w:szCs w:val="14"/>
                <w:b w:val="1"/>
                <w:bCs w:val="1"/>
                <w:color w:val="auto"/>
              </w:rPr>
              <w:t>For the Twelve Months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1000" w:type="dxa"/>
            <w:vAlign w:val="bottom"/>
            <w:tcBorders>
              <w:bottom w:val="single" w:sz="8" w:color="auto"/>
            </w:tcBorders>
            <w:shd w:val="clear" w:color="auto" w:fill="DDDDDD"/>
          </w:tcPr>
          <w:p>
            <w:pPr>
              <w:spacing w:after="0"/>
              <w:rPr>
                <w:sz w:val="16"/>
                <w:szCs w:val="16"/>
                <w:color w:val="auto"/>
              </w:rPr>
            </w:pPr>
          </w:p>
        </w:tc>
        <w:tc>
          <w:tcPr>
            <w:tcW w:w="20" w:type="dxa"/>
            <w:vAlign w:val="bottom"/>
            <w:tcBorders>
              <w:bottom w:val="single" w:sz="8" w:color="auto"/>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200" w:type="dxa"/>
            <w:vAlign w:val="bottom"/>
            <w:tcBorders>
              <w:bottom w:val="single" w:sz="8" w:color="auto"/>
            </w:tcBorders>
            <w:shd w:val="clear" w:color="auto" w:fill="DDDDDD"/>
          </w:tcPr>
          <w:p>
            <w:pPr>
              <w:spacing w:after="0"/>
              <w:rPr>
                <w:sz w:val="16"/>
                <w:szCs w:val="16"/>
                <w:color w:val="auto"/>
              </w:rPr>
            </w:pPr>
          </w:p>
        </w:tc>
        <w:tc>
          <w:tcPr>
            <w:tcW w:w="940" w:type="dxa"/>
            <w:vAlign w:val="bottom"/>
            <w:tcBorders>
              <w:bottom w:val="single" w:sz="8" w:color="auto"/>
            </w:tcBorders>
            <w:shd w:val="clear" w:color="auto" w:fill="DDDDDD"/>
          </w:tcPr>
          <w:p>
            <w:pPr>
              <w:jc w:val="center"/>
              <w:ind w:right="131"/>
              <w:spacing w:after="0"/>
              <w:rPr>
                <w:sz w:val="20"/>
                <w:szCs w:val="20"/>
                <w:color w:val="auto"/>
              </w:rPr>
            </w:pPr>
            <w:r>
              <w:rPr>
                <w:rFonts w:ascii="Arial" w:cs="Arial" w:eastAsia="Arial" w:hAnsi="Arial"/>
                <w:sz w:val="14"/>
                <w:szCs w:val="14"/>
                <w:b w:val="1"/>
                <w:bCs w:val="1"/>
                <w:color w:val="257ACB"/>
                <w:w w:val="96"/>
              </w:rPr>
              <w:t>2024</w:t>
            </w:r>
          </w:p>
        </w:tc>
        <w:tc>
          <w:tcPr>
            <w:tcW w:w="100" w:type="dxa"/>
            <w:vAlign w:val="bottom"/>
            <w:tcBorders>
              <w:bottom w:val="single" w:sz="8" w:color="auto"/>
            </w:tcBorders>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90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71"/>
              <w:spacing w:after="0" w:line="140"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96"/>
              </w:rPr>
              <w:t>Rest of</w:t>
            </w:r>
          </w:p>
        </w:tc>
        <w:tc>
          <w:tcPr>
            <w:tcW w:w="260" w:type="dxa"/>
            <w:vAlign w:val="bottom"/>
          </w:tcPr>
          <w:p>
            <w:pPr>
              <w:spacing w:after="0"/>
              <w:rPr>
                <w:sz w:val="12"/>
                <w:szCs w:val="12"/>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40"/>
              <w:spacing w:after="0" w:line="140" w:lineRule="exact"/>
              <w:rPr>
                <w:sz w:val="20"/>
                <w:szCs w:val="20"/>
                <w:color w:val="auto"/>
              </w:rPr>
            </w:pPr>
            <w:r>
              <w:rPr>
                <w:rFonts w:ascii="Arial" w:cs="Arial" w:eastAsia="Arial" w:hAnsi="Arial"/>
                <w:sz w:val="14"/>
                <w:szCs w:val="14"/>
                <w:b w:val="1"/>
                <w:bCs w:val="1"/>
                <w:color w:val="auto"/>
              </w:rPr>
              <w:t>United</w:t>
            </w:r>
          </w:p>
        </w:tc>
        <w:tc>
          <w:tcPr>
            <w:tcW w:w="240" w:type="dxa"/>
            <w:vAlign w:val="bottom"/>
          </w:tcPr>
          <w:p>
            <w:pPr>
              <w:spacing w:after="0"/>
              <w:rPr>
                <w:sz w:val="12"/>
                <w:szCs w:val="12"/>
                <w:color w:val="auto"/>
              </w:rPr>
            </w:pPr>
          </w:p>
        </w:tc>
        <w:tc>
          <w:tcPr>
            <w:tcW w:w="104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w w:val="96"/>
              </w:rPr>
              <w:t>Rest of</w:t>
            </w:r>
          </w:p>
        </w:tc>
        <w:tc>
          <w:tcPr>
            <w:tcW w:w="260" w:type="dxa"/>
            <w:vAlign w:val="bottom"/>
          </w:tcPr>
          <w:p>
            <w:pPr>
              <w:spacing w:after="0"/>
              <w:rPr>
                <w:sz w:val="12"/>
                <w:szCs w:val="12"/>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5"/>
              </w:rPr>
              <w:t>World</w:t>
            </w:r>
          </w:p>
        </w:tc>
        <w:tc>
          <w:tcPr>
            <w:tcW w:w="10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5"/>
              </w:rPr>
              <w:t>World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Multiple Sclerosis (MS):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169.2</w:t>
            </w:r>
          </w:p>
        </w:tc>
        <w:tc>
          <w:tcPr>
            <w:tcW w:w="340" w:type="dxa"/>
            <w:vAlign w:val="bottom"/>
            <w:gridSpan w:val="3"/>
            <w:shd w:val="clear" w:color="auto" w:fill="DBDBDB"/>
          </w:tcPr>
          <w:p>
            <w:pPr>
              <w:jc w:val="right"/>
              <w:ind w:right="51"/>
              <w:spacing w:after="0"/>
              <w:rPr>
                <w:sz w:val="20"/>
                <w:szCs w:val="20"/>
                <w:color w:val="auto"/>
              </w:rPr>
            </w:pPr>
            <w:r>
              <w:rPr>
                <w:rFonts w:ascii="Arial" w:cs="Arial" w:eastAsia="Arial" w:hAnsi="Arial"/>
                <w:sz w:val="14"/>
                <w:szCs w:val="14"/>
                <w:color w:val="257ACB"/>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797.9</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967.1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263.1</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749.4</w:t>
            </w:r>
          </w:p>
        </w:tc>
        <w:tc>
          <w:tcPr>
            <w:tcW w:w="10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1,012.5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538.6</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89.4</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628.0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576.3</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Total Fumarate</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707.8</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887.3</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1,595.1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1,588.8</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451.3</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256.2</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811.0</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111.4</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149.1</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260.5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294.7</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Total Interferon</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562.7</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405.3</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968.0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1,105.7</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920.0</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795.0</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1,715.0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1,876.9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FAMPYRA</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71.7</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87"/>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MS</w:t>
            </w:r>
          </w:p>
        </w:tc>
        <w:tc>
          <w:tcPr>
            <w:tcW w:w="14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2,190.5</w:t>
            </w:r>
          </w:p>
        </w:tc>
        <w:tc>
          <w:tcPr>
            <w:tcW w:w="20" w:type="dxa"/>
            <w:vAlign w:val="bottom"/>
            <w:tcBorders>
              <w:top w:val="single" w:sz="8" w:color="auto"/>
              <w:bottom w:val="single" w:sz="8" w:color="auto"/>
            </w:tcBorders>
            <w:shd w:val="clear" w:color="auto" w:fill="DBDBDB"/>
          </w:tcPr>
          <w:p>
            <w:pPr>
              <w:spacing w:after="0"/>
              <w:rPr>
                <w:sz w:val="16"/>
                <w:szCs w:val="16"/>
                <w:color w:val="auto"/>
              </w:rPr>
            </w:pPr>
          </w:p>
        </w:tc>
        <w:tc>
          <w:tcPr>
            <w:tcW w:w="120" w:type="dxa"/>
            <w:vAlign w:val="bottom"/>
            <w:tcBorders>
              <w:top w:val="single" w:sz="8" w:color="DBDBDB"/>
              <w:bottom w:val="single" w:sz="8" w:color="DBDBDB"/>
            </w:tcBorders>
            <w:shd w:val="clear" w:color="auto" w:fill="DBDBDB"/>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2,159.3</w:t>
            </w:r>
          </w:p>
        </w:tc>
        <w:tc>
          <w:tcPr>
            <w:tcW w:w="100" w:type="dxa"/>
            <w:vAlign w:val="bottom"/>
            <w:tcBorders>
              <w:top w:val="single" w:sz="8" w:color="DBDBDB"/>
              <w:bottom w:val="single" w:sz="8" w:color="DBDBDB"/>
            </w:tcBorders>
            <w:shd w:val="clear" w:color="auto" w:fill="DBDBDB"/>
          </w:tcPr>
          <w:p>
            <w:pPr>
              <w:spacing w:after="0"/>
              <w:rPr>
                <w:sz w:val="16"/>
                <w:szCs w:val="16"/>
                <w:color w:val="auto"/>
              </w:rPr>
            </w:pPr>
          </w:p>
        </w:tc>
        <w:tc>
          <w:tcPr>
            <w:tcW w:w="260" w:type="dxa"/>
            <w:vAlign w:val="bottom"/>
            <w:tcBorders>
              <w:top w:val="single" w:sz="8" w:color="auto"/>
              <w:bottom w:val="single" w:sz="8" w:color="auto"/>
            </w:tcBorders>
            <w:shd w:val="clear" w:color="auto" w:fill="DBDBDB"/>
          </w:tcPr>
          <w:p>
            <w:pPr>
              <w:spacing w:after="0"/>
              <w:rPr>
                <w:sz w:val="16"/>
                <w:szCs w:val="16"/>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4,349.8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2,436.0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2,225.9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4,661.9</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Rare disease:</w:t>
            </w: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625.7</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947.5</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1,573.2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1,741.2</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SKYCLARYS</w:t>
            </w:r>
            <w:r>
              <w:rPr>
                <w:rFonts w:ascii="Arial" w:cs="Arial" w:eastAsia="Arial" w:hAnsi="Arial"/>
                <w:sz w:val="8"/>
                <w:szCs w:val="8"/>
                <w:color w:val="auto"/>
              </w:rPr>
              <w:t>(1)</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301.1</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81.4</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QALSODY</w:t>
            </w:r>
            <w:r>
              <w:rPr>
                <w:rFonts w:ascii="Arial" w:cs="Arial" w:eastAsia="Arial" w:hAnsi="Arial"/>
                <w:sz w:val="8"/>
                <w:szCs w:val="8"/>
                <w:color w:val="auto"/>
              </w:rPr>
              <w:t>(2)</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20.9</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11.5</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32.4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Rare disease</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947.7</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1,040.4</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1,988.1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1,803.0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257ACB"/>
              </w:rPr>
              <w:t>0</w:t>
            </w:r>
          </w:p>
        </w:tc>
        <w:tc>
          <w:tcPr>
            <w:tcW w:w="90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479.1</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479.1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438.8</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213.1</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63.2</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BYOOVIZ</w:t>
            </w:r>
            <w:r>
              <w:rPr>
                <w:rFonts w:ascii="Arial" w:cs="Arial" w:eastAsia="Arial" w:hAnsi="Arial"/>
                <w:sz w:val="8"/>
                <w:szCs w:val="8"/>
                <w:color w:val="auto"/>
              </w:rPr>
              <w:t>(3)</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23.0</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13.6</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TOFIDENCE</w:t>
            </w:r>
            <w:r>
              <w:rPr>
                <w:rFonts w:ascii="Arial" w:cs="Arial" w:eastAsia="Arial" w:hAnsi="Arial"/>
                <w:sz w:val="8"/>
                <w:szCs w:val="8"/>
                <w:color w:val="auto"/>
              </w:rPr>
              <w:t>(4)</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14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24.1</w:t>
            </w:r>
          </w:p>
        </w:tc>
        <w:tc>
          <w:tcPr>
            <w:tcW w:w="20" w:type="dxa"/>
            <w:vAlign w:val="bottom"/>
            <w:tcBorders>
              <w:top w:val="single" w:sz="8" w:color="auto"/>
              <w:bottom w:val="single" w:sz="8" w:color="auto"/>
            </w:tcBorders>
            <w:shd w:val="clear" w:color="auto" w:fill="DBDBDB"/>
          </w:tcPr>
          <w:p>
            <w:pPr>
              <w:spacing w:after="0"/>
              <w:rPr>
                <w:sz w:val="16"/>
                <w:szCs w:val="16"/>
                <w:color w:val="auto"/>
              </w:rPr>
            </w:pPr>
          </w:p>
        </w:tc>
        <w:tc>
          <w:tcPr>
            <w:tcW w:w="120" w:type="dxa"/>
            <w:vAlign w:val="bottom"/>
            <w:tcBorders>
              <w:top w:val="single" w:sz="8" w:color="DBDBDB"/>
              <w:bottom w:val="single" w:sz="8" w:color="DBDBDB"/>
            </w:tcBorders>
            <w:shd w:val="clear" w:color="auto" w:fill="DBDBDB"/>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769.0</w:t>
            </w:r>
          </w:p>
        </w:tc>
        <w:tc>
          <w:tcPr>
            <w:tcW w:w="100" w:type="dxa"/>
            <w:vAlign w:val="bottom"/>
            <w:tcBorders>
              <w:top w:val="single" w:sz="8" w:color="DBDBDB"/>
              <w:bottom w:val="single" w:sz="8" w:color="DBDBDB"/>
            </w:tcBorders>
            <w:shd w:val="clear" w:color="auto" w:fill="DBDBDB"/>
          </w:tcPr>
          <w:p>
            <w:pPr>
              <w:spacing w:after="0"/>
              <w:rPr>
                <w:sz w:val="16"/>
                <w:szCs w:val="16"/>
                <w:color w:val="auto"/>
              </w:rPr>
            </w:pPr>
          </w:p>
        </w:tc>
        <w:tc>
          <w:tcPr>
            <w:tcW w:w="260" w:type="dxa"/>
            <w:vAlign w:val="bottom"/>
            <w:tcBorders>
              <w:top w:val="single" w:sz="8" w:color="auto"/>
              <w:bottom w:val="single" w:sz="8" w:color="auto"/>
            </w:tcBorders>
            <w:shd w:val="clear" w:color="auto" w:fill="DBDBDB"/>
          </w:tcPr>
          <w:p>
            <w:pPr>
              <w:spacing w:after="0"/>
              <w:rPr>
                <w:sz w:val="16"/>
                <w:szCs w:val="16"/>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793.1</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740.8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770.0</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80"/>
              <w:spacing w:after="0"/>
              <w:rPr>
                <w:sz w:val="20"/>
                <w:szCs w:val="20"/>
                <w:color w:val="auto"/>
              </w:rPr>
            </w:pPr>
            <w:r>
              <w:rPr>
                <w:rFonts w:ascii="Arial" w:cs="Arial" w:eastAsia="Arial" w:hAnsi="Arial"/>
                <w:sz w:val="14"/>
                <w:szCs w:val="14"/>
                <w:color w:val="auto"/>
              </w:rPr>
              <w:t>ZURZUVAE</w:t>
            </w:r>
            <w:r>
              <w:rPr>
                <w:rFonts w:ascii="Arial" w:cs="Arial" w:eastAsia="Arial" w:hAnsi="Arial"/>
                <w:sz w:val="8"/>
                <w:szCs w:val="8"/>
                <w:color w:val="auto"/>
              </w:rPr>
              <w:t>(5)</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72.2</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8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(6)</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7.5</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Other</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75.0</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7.5</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82.5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60" w:type="dxa"/>
            <w:vAlign w:val="bottom"/>
            <w:gridSpan w:val="2"/>
          </w:tcPr>
          <w:p>
            <w:pPr>
              <w:ind w:left="180"/>
              <w:spacing w:after="0"/>
              <w:rPr>
                <w:sz w:val="20"/>
                <w:szCs w:val="20"/>
                <w:color w:val="auto"/>
              </w:rPr>
            </w:pPr>
            <w:r>
              <w:rPr>
                <w:rFonts w:ascii="Arial" w:cs="Arial" w:eastAsia="Arial" w:hAnsi="Arial"/>
                <w:sz w:val="14"/>
                <w:szCs w:val="14"/>
                <w:color w:val="auto"/>
              </w:rPr>
              <w:t>Total product revenue, net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3,237.3</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257ACB"/>
                <w:w w:val="76"/>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3,976.2</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7,213.5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3,141.4</w:t>
            </w:r>
          </w:p>
        </w:tc>
        <w:tc>
          <w:tcPr>
            <w:tcW w:w="100" w:type="dxa"/>
            <w:vAlign w:val="bottom"/>
          </w:tcPr>
          <w:p>
            <w:pPr>
              <w:spacing w:after="0"/>
              <w:rPr>
                <w:sz w:val="18"/>
                <w:szCs w:val="18"/>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4,105.3</w:t>
            </w:r>
          </w:p>
        </w:tc>
        <w:tc>
          <w:tcPr>
            <w:tcW w:w="100" w:type="dxa"/>
            <w:vAlign w:val="bottom"/>
          </w:tcPr>
          <w:p>
            <w:pPr>
              <w:spacing w:after="0"/>
              <w:rPr>
                <w:sz w:val="18"/>
                <w:szCs w:val="18"/>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7,246.7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 w:type="dxa"/>
            <w:vAlign w:val="bottom"/>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60" w:hanging="157"/>
        <w:spacing w:after="0" w:line="234" w:lineRule="auto"/>
        <w:tabs>
          <w:tab w:leader="none" w:pos="152"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SKYCLARYS was obtained as part of our acquisition of Reata in September 2023. SKYCLARYS became commercially available in the U.S. during the second quarter of 2023 and we began recognizing revenue from SKYCLARYS in the U.S. during the fourth quarter of 2023, subsequent to our acquisition. SKYCLARYS was approved and became commercially available in the E.U. during the first quarter of 2024.</w:t>
      </w:r>
    </w:p>
    <w:p>
      <w:pPr>
        <w:spacing w:after="0" w:line="1" w:lineRule="exact"/>
        <w:rPr>
          <w:rFonts w:ascii="Arial" w:cs="Arial" w:eastAsia="Arial" w:hAnsi="Arial"/>
          <w:sz w:val="18"/>
          <w:szCs w:val="18"/>
          <w:color w:val="auto"/>
          <w:vertAlign w:val="superscript"/>
        </w:rPr>
      </w:pPr>
    </w:p>
    <w:p>
      <w:pPr>
        <w:ind w:left="160" w:hanging="157"/>
        <w:spacing w:after="0" w:line="209"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QALSODY became commercially available in the U.S. during the second quarter of 2023 and commercially available in the E.U. during the second quarter of 2024.</w:t>
      </w:r>
    </w:p>
    <w:p>
      <w:pPr>
        <w:spacing w:after="0" w:line="13" w:lineRule="exact"/>
        <w:rPr>
          <w:rFonts w:ascii="Arial" w:cs="Arial" w:eastAsia="Arial" w:hAnsi="Arial"/>
          <w:sz w:val="18"/>
          <w:szCs w:val="18"/>
          <w:color w:val="auto"/>
          <w:vertAlign w:val="superscript"/>
        </w:rPr>
      </w:pPr>
    </w:p>
    <w:p>
      <w:pPr>
        <w:ind w:left="160" w:hanging="157"/>
        <w:spacing w:after="0" w:line="195"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BYOOVIZ became commercially available in certain international markets in 2023.</w:t>
      </w:r>
    </w:p>
    <w:p>
      <w:pPr>
        <w:spacing w:after="0" w:line="12" w:lineRule="exact"/>
        <w:rPr>
          <w:rFonts w:ascii="Arial" w:cs="Arial" w:eastAsia="Arial" w:hAnsi="Arial"/>
          <w:sz w:val="18"/>
          <w:szCs w:val="18"/>
          <w:color w:val="auto"/>
          <w:vertAlign w:val="superscript"/>
        </w:rPr>
      </w:pPr>
    </w:p>
    <w:p>
      <w:pPr>
        <w:ind w:left="160" w:hanging="157"/>
        <w:spacing w:after="0" w:line="195"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TOFIDENCE became commercially available in the U.S. during the second quarter of 2024.</w:t>
      </w:r>
    </w:p>
    <w:p>
      <w:pPr>
        <w:spacing w:after="0" w:line="12"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ZURZUVAE became commercially available in the U.S. during the fourth quarter of 2023.</w:t>
      </w:r>
    </w:p>
    <w:p>
      <w:pPr>
        <w:spacing w:after="0" w:line="8" w:lineRule="exact"/>
        <w:rPr>
          <w:rFonts w:ascii="Arial" w:cs="Arial" w:eastAsia="Arial" w:hAnsi="Arial"/>
          <w:sz w:val="9"/>
          <w:szCs w:val="9"/>
          <w:color w:val="auto"/>
        </w:rPr>
      </w:pPr>
    </w:p>
    <w:p>
      <w:pPr>
        <w:ind w:left="160" w:hanging="157"/>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Other includes FUMADERM and ADUHELM.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11</w:t>
      </w:r>
    </w:p>
    <w:p>
      <w:pPr>
        <w:sectPr>
          <w:pgSz w:w="11900" w:h="16838" w:orient="portrait"/>
          <w:cols w:equalWidth="0" w:num="1">
            <w:col w:w="11220"/>
          </w:cols>
          <w:pgMar w:left="320" w:top="876"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21"/>
          <w:szCs w:val="21"/>
          <w:b w:val="1"/>
          <w:bCs w:val="1"/>
          <w:color w:val="1C5A7D"/>
        </w:rPr>
        <w:t>TABLE 3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BIOGEN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TOTAL REVENUE</w:t>
      </w:r>
    </w:p>
    <w:p>
      <w:pPr>
        <w:jc w:val="center"/>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00587F"/>
        </w:rPr>
        <w:t>Total Revenue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 December 31,</w:t>
            </w:r>
          </w:p>
        </w:tc>
        <w:tc>
          <w:tcPr>
            <w:tcW w:w="296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For the Twelve Months Ended December 31,</w:t>
            </w:r>
          </w:p>
        </w:tc>
      </w:tr>
      <w:tr>
        <w:trPr>
          <w:trHeight w:val="187"/>
        </w:trPr>
        <w:tc>
          <w:tcPr>
            <w:tcW w:w="5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2573BA"/>
              </w:rPr>
              <w:t>2024</w:t>
            </w:r>
          </w:p>
        </w:tc>
        <w:tc>
          <w:tcPr>
            <w:tcW w:w="540" w:type="dxa"/>
            <w:vAlign w:val="bottom"/>
            <w:tcBorders>
              <w:top w:val="single" w:sz="8" w:color="auto"/>
              <w:bottom w:val="single" w:sz="8" w:color="auto"/>
            </w:tcBorders>
            <w:shd w:val="clear" w:color="auto" w:fill="DBDBDB"/>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shd w:val="clear" w:color="auto" w:fill="DBDBDB"/>
          </w:tcPr>
          <w:p>
            <w:pPr>
              <w:spacing w:after="0"/>
              <w:rPr>
                <w:sz w:val="16"/>
                <w:szCs w:val="16"/>
                <w:color w:val="auto"/>
              </w:rPr>
            </w:pPr>
          </w:p>
        </w:tc>
        <w:tc>
          <w:tcPr>
            <w:tcW w:w="1100" w:type="dxa"/>
            <w:vAlign w:val="bottom"/>
            <w:tcBorders>
              <w:top w:val="single" w:sz="8" w:color="auto"/>
              <w:bottom w:val="single" w:sz="8" w:color="auto"/>
            </w:tcBorders>
            <w:shd w:val="clear" w:color="auto" w:fill="DBDBDB"/>
          </w:tcPr>
          <w:p>
            <w:pPr>
              <w:jc w:val="right"/>
              <w:ind w:right="491"/>
              <w:spacing w:after="0"/>
              <w:rPr>
                <w:sz w:val="20"/>
                <w:szCs w:val="20"/>
                <w:color w:val="auto"/>
              </w:rPr>
            </w:pPr>
            <w:r>
              <w:rPr>
                <w:rFonts w:ascii="Arial" w:cs="Arial" w:eastAsia="Arial" w:hAnsi="Arial"/>
                <w:sz w:val="14"/>
                <w:szCs w:val="14"/>
                <w:b w:val="1"/>
                <w:bCs w:val="1"/>
                <w:color w:val="257ACB"/>
              </w:rPr>
              <w:t>2024</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r>
      <w:tr>
        <w:trPr>
          <w:trHeight w:val="180"/>
        </w:trPr>
        <w:tc>
          <w:tcPr>
            <w:tcW w:w="518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900" w:type="dxa"/>
            <w:vAlign w:val="bottom"/>
            <w:shd w:val="clear" w:color="auto" w:fill="DBDBDB"/>
          </w:tcPr>
          <w:p>
            <w:pPr>
              <w:jc w:val="right"/>
              <w:ind w:right="731"/>
              <w:spacing w:after="0"/>
              <w:rPr>
                <w:sz w:val="20"/>
                <w:szCs w:val="20"/>
                <w:color w:val="auto"/>
              </w:rPr>
            </w:pPr>
            <w:r>
              <w:rPr>
                <w:rFonts w:ascii="Arial" w:cs="Arial" w:eastAsia="Arial" w:hAnsi="Arial"/>
                <w:sz w:val="14"/>
                <w:szCs w:val="14"/>
                <w:color w:val="026DCE"/>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026DCE"/>
                <w:w w:val="98"/>
              </w:rPr>
              <w:t>1,832.6</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1,832.4</w:t>
            </w:r>
          </w:p>
        </w:tc>
        <w:tc>
          <w:tcPr>
            <w:tcW w:w="100" w:type="dxa"/>
            <w:vAlign w:val="bottom"/>
          </w:tcPr>
          <w:p>
            <w:pPr>
              <w:spacing w:after="0"/>
              <w:rPr>
                <w:sz w:val="15"/>
                <w:szCs w:val="15"/>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7,213.5</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7,246.7</w:t>
            </w:r>
          </w:p>
        </w:tc>
      </w:tr>
      <w:tr>
        <w:trPr>
          <w:trHeight w:val="194"/>
        </w:trPr>
        <w:tc>
          <w:tcPr>
            <w:tcW w:w="5180" w:type="dxa"/>
            <w:vAlign w:val="bottom"/>
            <w:gridSpan w:val="2"/>
          </w:tcPr>
          <w:p>
            <w:pPr>
              <w:ind w:left="20"/>
              <w:spacing w:after="0"/>
              <w:rPr>
                <w:sz w:val="20"/>
                <w:szCs w:val="20"/>
                <w:color w:val="auto"/>
              </w:rPr>
            </w:pPr>
            <w:r>
              <w:rPr>
                <w:rFonts w:ascii="Arial" w:cs="Arial" w:eastAsia="Arial" w:hAnsi="Arial"/>
                <w:sz w:val="14"/>
                <w:szCs w:val="14"/>
                <w:color w:val="auto"/>
              </w:rPr>
              <w:t>OCREVUS royalties</w:t>
            </w:r>
          </w:p>
        </w:tc>
        <w:tc>
          <w:tcPr>
            <w:tcW w:w="90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353.7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338.0</w:t>
            </w:r>
          </w:p>
        </w:tc>
        <w:tc>
          <w:tcPr>
            <w:tcW w:w="100" w:type="dxa"/>
            <w:vAlign w:val="bottom"/>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1,339.5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1,266.2</w:t>
            </w:r>
          </w:p>
        </w:tc>
      </w:tr>
      <w:tr>
        <w:trPr>
          <w:trHeight w:val="194"/>
        </w:trPr>
        <w:tc>
          <w:tcPr>
            <w:tcW w:w="5180" w:type="dxa"/>
            <w:vAlign w:val="bottom"/>
            <w:gridSpan w:val="2"/>
          </w:tcPr>
          <w:p>
            <w:pPr>
              <w:ind w:left="20"/>
              <w:spacing w:after="0"/>
              <w:rPr>
                <w:sz w:val="20"/>
                <w:szCs w:val="20"/>
                <w:color w:val="auto"/>
              </w:rPr>
            </w:pPr>
            <w:r>
              <w:rPr>
                <w:rFonts w:ascii="Arial" w:cs="Arial" w:eastAsia="Arial" w:hAnsi="Arial"/>
                <w:sz w:val="14"/>
                <w:szCs w:val="14"/>
                <w:color w:val="auto"/>
              </w:rPr>
              <w:t>RITUXAN/GAZYVA</w:t>
            </w:r>
            <w:r>
              <w:rPr>
                <w:rFonts w:ascii="Arial" w:cs="Arial" w:eastAsia="Arial" w:hAnsi="Arial"/>
                <w:sz w:val="8"/>
                <w:szCs w:val="8"/>
                <w:color w:val="auto"/>
              </w:rPr>
              <w:t>®</w:t>
            </w:r>
            <w:r>
              <w:rPr>
                <w:rFonts w:ascii="Arial" w:cs="Arial" w:eastAsia="Arial" w:hAnsi="Arial"/>
                <w:sz w:val="14"/>
                <w:szCs w:val="14"/>
                <w:color w:val="auto"/>
              </w:rPr>
              <w:t>/LUNSUMIO™ revenue</w:t>
            </w:r>
          </w:p>
        </w:tc>
        <w:tc>
          <w:tcPr>
            <w:tcW w:w="90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106.7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392.0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409.4</w:t>
            </w:r>
          </w:p>
        </w:tc>
      </w:tr>
      <w:tr>
        <w:trPr>
          <w:trHeight w:val="194"/>
        </w:trPr>
        <w:tc>
          <w:tcPr>
            <w:tcW w:w="5180" w:type="dxa"/>
            <w:vAlign w:val="bottom"/>
            <w:gridSpan w:val="2"/>
          </w:tcPr>
          <w:p>
            <w:pPr>
              <w:ind w:left="20"/>
              <w:spacing w:after="0"/>
              <w:rPr>
                <w:sz w:val="20"/>
                <w:szCs w:val="20"/>
                <w:color w:val="auto"/>
              </w:rPr>
            </w:pPr>
            <w:r>
              <w:rPr>
                <w:rFonts w:ascii="Arial" w:cs="Arial" w:eastAsia="Arial" w:hAnsi="Arial"/>
                <w:sz w:val="14"/>
                <w:szCs w:val="14"/>
                <w:color w:val="auto"/>
              </w:rPr>
              <w:t>Other revenues from anti-CD20 programs</w:t>
            </w:r>
          </w:p>
        </w:tc>
        <w:tc>
          <w:tcPr>
            <w:tcW w:w="90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14.0</w:t>
            </w:r>
          </w:p>
        </w:tc>
      </w:tr>
      <w:tr>
        <w:trPr>
          <w:trHeight w:val="194"/>
        </w:trPr>
        <w:tc>
          <w:tcPr>
            <w:tcW w:w="5180" w:type="dxa"/>
            <w:vAlign w:val="bottom"/>
            <w:gridSpan w:val="2"/>
          </w:tcPr>
          <w:p>
            <w:pPr>
              <w:ind w:left="20"/>
              <w:spacing w:after="0"/>
              <w:rPr>
                <w:sz w:val="20"/>
                <w:szCs w:val="20"/>
                <w:color w:val="auto"/>
              </w:rPr>
            </w:pPr>
            <w:r>
              <w:rPr>
                <w:rFonts w:ascii="Arial" w:cs="Arial" w:eastAsia="Arial" w:hAnsi="Arial"/>
                <w:sz w:val="14"/>
                <w:szCs w:val="14"/>
                <w:color w:val="auto"/>
              </w:rPr>
              <w:t>Alzheimer's collaboration revenue</w:t>
            </w:r>
          </w:p>
        </w:tc>
        <w:tc>
          <w:tcPr>
            <w:tcW w:w="90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59.9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198"/>
        </w:trPr>
        <w:tc>
          <w:tcPr>
            <w:tcW w:w="518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900" w:type="dxa"/>
            <w:vAlign w:val="bottom"/>
            <w:tcBorders>
              <w:bottom w:val="single" w:sz="8" w:color="auto"/>
            </w:tcBorders>
            <w:shd w:val="clear" w:color="auto" w:fill="DBDBDB"/>
          </w:tcPr>
          <w:p>
            <w:pPr>
              <w:spacing w:after="0"/>
              <w:rPr>
                <w:sz w:val="17"/>
                <w:szCs w:val="17"/>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130.2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652.6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899.3</w:t>
            </w:r>
          </w:p>
        </w:tc>
      </w:tr>
      <w:tr>
        <w:trPr>
          <w:trHeight w:val="211"/>
        </w:trPr>
        <w:tc>
          <w:tcPr>
            <w:tcW w:w="5180" w:type="dxa"/>
            <w:vAlign w:val="bottom"/>
            <w:gridSpan w:val="2"/>
          </w:tcPr>
          <w:p>
            <w:pPr>
              <w:ind w:left="120"/>
              <w:spacing w:after="0"/>
              <w:rPr>
                <w:sz w:val="20"/>
                <w:szCs w:val="20"/>
                <w:color w:val="auto"/>
              </w:rPr>
            </w:pPr>
            <w:r>
              <w:rPr>
                <w:rFonts w:ascii="Arial" w:cs="Arial" w:eastAsia="Arial" w:hAnsi="Arial"/>
                <w:sz w:val="14"/>
                <w:szCs w:val="14"/>
                <w:color w:val="auto"/>
              </w:rPr>
              <w:t>Total revenue</w:t>
            </w:r>
          </w:p>
        </w:tc>
        <w:tc>
          <w:tcPr>
            <w:tcW w:w="900" w:type="dxa"/>
            <w:vAlign w:val="bottom"/>
            <w:shd w:val="clear" w:color="auto" w:fill="DBDBDB"/>
          </w:tcPr>
          <w:p>
            <w:pPr>
              <w:jc w:val="right"/>
              <w:ind w:right="731"/>
              <w:spacing w:after="0"/>
              <w:rPr>
                <w:sz w:val="20"/>
                <w:szCs w:val="20"/>
                <w:color w:val="auto"/>
              </w:rPr>
            </w:pPr>
            <w:r>
              <w:rPr>
                <w:rFonts w:ascii="Arial" w:cs="Arial" w:eastAsia="Arial" w:hAnsi="Arial"/>
                <w:sz w:val="14"/>
                <w:szCs w:val="14"/>
                <w:color w:val="026DCE"/>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026DCE"/>
                <w:w w:val="98"/>
              </w:rPr>
              <w:t>2,454.7</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2,386.3</w:t>
            </w:r>
          </w:p>
        </w:tc>
        <w:tc>
          <w:tcPr>
            <w:tcW w:w="100" w:type="dxa"/>
            <w:vAlign w:val="bottom"/>
          </w:tcPr>
          <w:p>
            <w:pPr>
              <w:spacing w:after="0"/>
              <w:rPr>
                <w:sz w:val="18"/>
                <w:szCs w:val="18"/>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9,675.9</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
              <w:spacing w:after="0"/>
              <w:rPr>
                <w:sz w:val="20"/>
                <w:szCs w:val="20"/>
                <w:color w:val="auto"/>
              </w:rPr>
            </w:pPr>
            <w:r>
              <w:rPr>
                <w:rFonts w:ascii="Arial" w:cs="Arial" w:eastAsia="Arial" w:hAnsi="Arial"/>
                <w:sz w:val="14"/>
                <w:szCs w:val="14"/>
                <w:color w:val="auto"/>
              </w:rPr>
              <w:t>9,835.6</w:t>
            </w: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12</w:t>
      </w:r>
    </w:p>
    <w:p>
      <w:pPr>
        <w:sectPr>
          <w:pgSz w:w="11900" w:h="16838" w:orient="portrait"/>
          <w:cols w:equalWidth="0" w:num="1">
            <w:col w:w="11240"/>
          </w:cols>
          <w:pgMar w:left="320" w:top="87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1"/>
          <w:szCs w:val="21"/>
          <w:b w:val="1"/>
          <w:bCs w:val="1"/>
          <w:color w:val="1C5A7D"/>
        </w:rPr>
        <w:t>TABLE 4</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GAAP TO NON-GAAP RECONCILIATION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OPERATING EXPENSE, OTHER (INCOME) EXPENSE, NET, AND INCOME TAX EXPENSE</w:t>
      </w:r>
    </w:p>
    <w:p>
      <w:pPr>
        <w:jc w:val="center"/>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7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supplement our GAAP consolidated financial statements and GAAP financial measures with other financial measures, such as adjusted net income, adjusted diluted earnings per share, revenue change at constant currency, which excludes the impact of changes in foreign exchange rates and hedging gains or losses, and free cash flow, which is defined as net cash flow from operations less capital expenditures.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9"/>
              </w:rPr>
              <w:t>For the Three Months Ended</w:t>
            </w:r>
          </w:p>
        </w:tc>
        <w:tc>
          <w:tcPr>
            <w:tcW w:w="100" w:type="dxa"/>
            <w:vAlign w:val="bottom"/>
          </w:tcPr>
          <w:p>
            <w:pPr>
              <w:spacing w:after="0"/>
              <w:rPr>
                <w:sz w:val="14"/>
                <w:szCs w:val="14"/>
                <w:color w:val="auto"/>
              </w:rPr>
            </w:pPr>
          </w:p>
        </w:tc>
        <w:tc>
          <w:tcPr>
            <w:tcW w:w="208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7"/>
              </w:rPr>
              <w:t>For the Twelve Months Ended</w:t>
            </w:r>
          </w:p>
        </w:tc>
      </w:tr>
      <w:tr>
        <w:trPr>
          <w:trHeight w:val="178"/>
        </w:trPr>
        <w:tc>
          <w:tcPr>
            <w:tcW w:w="6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5"/>
                <w:szCs w:val="15"/>
                <w:color w:val="auto"/>
              </w:rPr>
            </w:pPr>
          </w:p>
        </w:tc>
        <w:tc>
          <w:tcPr>
            <w:tcW w:w="20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6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shd w:val="clear" w:color="auto" w:fill="DBDBDB"/>
          </w:tcPr>
          <w:p>
            <w:pPr>
              <w:spacing w:after="0"/>
              <w:rPr>
                <w:sz w:val="16"/>
                <w:szCs w:val="16"/>
                <w:color w:val="auto"/>
              </w:rPr>
            </w:pPr>
          </w:p>
        </w:tc>
        <w:tc>
          <w:tcPr>
            <w:tcW w:w="940" w:type="dxa"/>
            <w:vAlign w:val="bottom"/>
            <w:tcBorders>
              <w:top w:val="single" w:sz="8" w:color="auto"/>
              <w:bottom w:val="single" w:sz="8" w:color="auto"/>
            </w:tcBorders>
            <w:shd w:val="clear" w:color="auto" w:fill="DBDBDB"/>
          </w:tcPr>
          <w:p>
            <w:pPr>
              <w:jc w:val="right"/>
              <w:ind w:right="311"/>
              <w:spacing w:after="0"/>
              <w:rPr>
                <w:sz w:val="20"/>
                <w:szCs w:val="20"/>
                <w:color w:val="auto"/>
              </w:rPr>
            </w:pPr>
            <w:r>
              <w:rPr>
                <w:rFonts w:ascii="Arial" w:cs="Arial" w:eastAsia="Arial" w:hAnsi="Arial"/>
                <w:sz w:val="14"/>
                <w:szCs w:val="14"/>
                <w:b w:val="1"/>
                <w:bCs w:val="1"/>
                <w:color w:val="00497F"/>
              </w:rPr>
              <w:t>2024</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BDBDB"/>
          </w:tcPr>
          <w:p>
            <w:pPr>
              <w:spacing w:after="0"/>
              <w:rPr>
                <w:sz w:val="16"/>
                <w:szCs w:val="16"/>
                <w:color w:val="auto"/>
              </w:rPr>
            </w:pPr>
          </w:p>
        </w:tc>
        <w:tc>
          <w:tcPr>
            <w:tcW w:w="940" w:type="dxa"/>
            <w:vAlign w:val="bottom"/>
            <w:tcBorders>
              <w:top w:val="single" w:sz="8" w:color="auto"/>
              <w:bottom w:val="single" w:sz="8" w:color="auto"/>
            </w:tcBorders>
            <w:shd w:val="clear" w:color="auto" w:fill="DBDBDB"/>
          </w:tcPr>
          <w:p>
            <w:pPr>
              <w:jc w:val="right"/>
              <w:ind w:right="291"/>
              <w:spacing w:after="0"/>
              <w:rPr>
                <w:sz w:val="20"/>
                <w:szCs w:val="20"/>
                <w:color w:val="auto"/>
              </w:rPr>
            </w:pPr>
            <w:r>
              <w:rPr>
                <w:rFonts w:ascii="Arial" w:cs="Arial" w:eastAsia="Arial" w:hAnsi="Arial"/>
                <w:sz w:val="14"/>
                <w:szCs w:val="14"/>
                <w:b w:val="1"/>
                <w:bCs w:val="1"/>
                <w:color w:val="00497F"/>
              </w:rPr>
              <w:t>2024</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2023</w:t>
            </w:r>
          </w:p>
        </w:tc>
      </w:tr>
      <w:tr>
        <w:trPr>
          <w:trHeight w:val="186"/>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 of Sales:</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cost of sales, 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583.5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618.3</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2,310.4</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2,533.4</w:t>
            </w:r>
          </w:p>
        </w:tc>
      </w:tr>
      <w:tr>
        <w:trPr>
          <w:trHeight w:val="198"/>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amortization of Reata inventory fair value step-up</w:t>
            </w:r>
          </w:p>
        </w:tc>
        <w:tc>
          <w:tcPr>
            <w:tcW w:w="14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43.0</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173.5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cost of sales, Non-GAAP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540.5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586.8</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2,136.9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2,501.9</w:t>
            </w:r>
          </w:p>
        </w:tc>
      </w:tr>
      <w:tr>
        <w:trPr>
          <w:trHeight w:val="65"/>
        </w:trPr>
        <w:tc>
          <w:tcPr>
            <w:tcW w:w="6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r>
      <w:tr>
        <w:trPr>
          <w:trHeight w:val="185"/>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Research and Development Expense:</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research and development expense, 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532.3</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570.9</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2,041.8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2,462.0</w:t>
            </w:r>
          </w:p>
        </w:tc>
      </w:tr>
      <w:tr>
        <w:trPr>
          <w:trHeight w:val="194"/>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amortization of Reata inventory fair value step-up</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 xml:space="preserve">Less: acceleration of share-based compensation expense and related taxes </w:t>
            </w:r>
            <w:r>
              <w:rPr>
                <w:rFonts w:ascii="Arial" w:cs="Arial" w:eastAsia="Arial" w:hAnsi="Arial"/>
                <w:sz w:val="8"/>
                <w:szCs w:val="8"/>
                <w:color w:val="auto"/>
              </w:rPr>
              <w:t>A</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197.0</w:t>
            </w:r>
          </w:p>
        </w:tc>
      </w:tr>
      <w:tr>
        <w:trPr>
          <w:trHeight w:val="194"/>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restructuring charges and other cost saving initiatives</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8"/>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other</w:t>
            </w:r>
          </w:p>
        </w:tc>
        <w:tc>
          <w:tcPr>
            <w:tcW w:w="14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research and development expense, Non-GAAP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528.2</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568.1</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1,929.7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2,261.5</w:t>
            </w:r>
          </w:p>
        </w:tc>
      </w:tr>
      <w:tr>
        <w:trPr>
          <w:trHeight w:val="65"/>
        </w:trPr>
        <w:tc>
          <w:tcPr>
            <w:tcW w:w="6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r>
      <w:tr>
        <w:trPr>
          <w:trHeight w:val="185"/>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Selling, General and Administrative Expense:</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selling, general and administrative, 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680.0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608.5</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2,403.7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2,549.7</w:t>
            </w:r>
          </w:p>
        </w:tc>
      </w:tr>
      <w:tr>
        <w:trPr>
          <w:trHeight w:val="194"/>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 xml:space="preserve">Less: acceleration of share-based compensation expense and related taxes </w:t>
            </w:r>
            <w:r>
              <w:rPr>
                <w:rFonts w:ascii="Arial" w:cs="Arial" w:eastAsia="Arial" w:hAnsi="Arial"/>
                <w:sz w:val="8"/>
                <w:szCs w:val="8"/>
                <w:color w:val="auto"/>
              </w:rPr>
              <w:t>A</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196.4</w:t>
            </w:r>
          </w:p>
        </w:tc>
      </w:tr>
      <w:tr>
        <w:trPr>
          <w:trHeight w:val="194"/>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acquisition-related transaction and integration costs</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194"/>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restructuring charges and other cost saving initiatives</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198"/>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other</w:t>
            </w:r>
          </w:p>
        </w:tc>
        <w:tc>
          <w:tcPr>
            <w:tcW w:w="14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(0.3)</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9.0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selling, general and administrative, Non-GAAP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672.5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587.9</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2,339.5</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2,277.3</w:t>
            </w:r>
          </w:p>
        </w:tc>
      </w:tr>
      <w:tr>
        <w:trPr>
          <w:trHeight w:val="65"/>
        </w:trPr>
        <w:tc>
          <w:tcPr>
            <w:tcW w:w="6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r>
      <w:tr>
        <w:trPr>
          <w:trHeight w:val="185"/>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and Impairment of Acquired Intangible Assets:</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amortization and impairment of acquired intangible assets, 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151.2</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446.7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240.6</w:t>
            </w:r>
          </w:p>
        </w:tc>
      </w:tr>
      <w:tr>
        <w:trPr>
          <w:trHeight w:val="194"/>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impairment charges</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60.2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amortization of acquired intangible assets</w:t>
            </w:r>
          </w:p>
        </w:tc>
        <w:tc>
          <w:tcPr>
            <w:tcW w:w="14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98.5</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341.7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amortization and impairment of acquired intangible assets, Non-GAAP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12.7</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44.8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34.6</w:t>
            </w:r>
          </w:p>
        </w:tc>
      </w:tr>
      <w:tr>
        <w:trPr>
          <w:trHeight w:val="65"/>
        </w:trPr>
        <w:tc>
          <w:tcPr>
            <w:tcW w:w="6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r>
      <w:tr>
        <w:trPr>
          <w:trHeight w:val="185"/>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(Income) Expense, net:</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other (income) expense, net, 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149.9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343.6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315.5</w:t>
            </w:r>
          </w:p>
        </w:tc>
      </w:tr>
      <w:tr>
        <w:trPr>
          <w:trHeight w:val="194"/>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(gain) loss on equity security investments</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78.5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100.4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274.2</w:t>
            </w:r>
          </w:p>
        </w:tc>
      </w:tr>
      <w:tr>
        <w:trPr>
          <w:trHeight w:val="194"/>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(gain) loss on sale of equity interest in Samsung Bioepis and other investments</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198"/>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other</w:t>
            </w:r>
          </w:p>
        </w:tc>
        <w:tc>
          <w:tcPr>
            <w:tcW w:w="14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(0.3)</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other (income) expense, net, Non-GAAP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71.7</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243.2</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65"/>
        </w:trPr>
        <w:tc>
          <w:tcPr>
            <w:tcW w:w="6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r>
      <w:tr>
        <w:trPr>
          <w:trHeight w:val="185"/>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1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income tax (benefit) expense, 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24.7</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273.8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135.3</w:t>
            </w:r>
          </w:p>
        </w:tc>
      </w:tr>
      <w:tr>
        <w:trPr>
          <w:trHeight w:val="198"/>
        </w:trPr>
        <w:tc>
          <w:tcPr>
            <w:tcW w:w="6700" w:type="dxa"/>
            <w:vAlign w:val="bottom"/>
            <w:gridSpan w:val="2"/>
          </w:tcPr>
          <w:p>
            <w:pPr>
              <w:ind w:left="220"/>
              <w:spacing w:after="0"/>
              <w:rPr>
                <w:sz w:val="20"/>
                <w:szCs w:val="20"/>
                <w:color w:val="auto"/>
              </w:rPr>
            </w:pPr>
            <w:r>
              <w:rPr>
                <w:rFonts w:ascii="Arial" w:cs="Arial" w:eastAsia="Arial" w:hAnsi="Arial"/>
                <w:sz w:val="14"/>
                <w:szCs w:val="14"/>
                <w:color w:val="auto"/>
              </w:rPr>
              <w:t>Less: income tax effect related to Non-GAAP reconciling items</w:t>
            </w:r>
          </w:p>
        </w:tc>
        <w:tc>
          <w:tcPr>
            <w:tcW w:w="14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(45.1)</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(138.3)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(248.3)</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Total income tax (benefit) expense, Non-GAAP</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69.8</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412.1</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383.6</w:t>
            </w:r>
          </w:p>
        </w:tc>
      </w:tr>
      <w:tr>
        <w:trPr>
          <w:trHeight w:val="65"/>
        </w:trPr>
        <w:tc>
          <w:tcPr>
            <w:tcW w:w="6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shd w:val="clear" w:color="auto" w:fill="DBDBDB"/>
          </w:tcPr>
          <w:p>
            <w:pPr>
              <w:spacing w:after="0"/>
              <w:rPr>
                <w:sz w:val="5"/>
                <w:szCs w:val="5"/>
                <w:color w:val="auto"/>
              </w:rPr>
            </w:pPr>
          </w:p>
        </w:tc>
        <w:tc>
          <w:tcPr>
            <w:tcW w:w="94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13</w:t>
      </w:r>
    </w:p>
    <w:p>
      <w:pPr>
        <w:sectPr>
          <w:pgSz w:w="11900" w:h="16838" w:orient="portrait"/>
          <w:cols w:equalWidth="0" w:num="1">
            <w:col w:w="11240"/>
          </w:cols>
          <w:pgMar w:left="320" w:top="1019" w:right="339" w:bottom="1440" w:gutter="0" w:footer="0" w:header="0"/>
        </w:sectPr>
      </w:pPr>
    </w:p>
    <w:bookmarkStart w:id="16" w:name="page17"/>
    <w:bookmarkEnd w:id="16"/>
    <w:p>
      <w:pPr>
        <w:ind w:left="4920"/>
        <w:spacing w:after="0"/>
        <w:rPr>
          <w:sz w:val="20"/>
          <w:szCs w:val="20"/>
          <w:color w:val="auto"/>
        </w:rPr>
      </w:pPr>
      <w:r>
        <w:rPr>
          <w:rFonts w:ascii="Arial" w:cs="Arial" w:eastAsia="Arial" w:hAnsi="Arial"/>
          <w:sz w:val="21"/>
          <w:szCs w:val="21"/>
          <w:b w:val="1"/>
          <w:bCs w:val="1"/>
          <w:color w:val="1C5A7D"/>
        </w:rPr>
        <w:t>TABLE 4 (continued)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GAAP TO NON-GAAP RECONCILIATION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EFFECTIVE TAX RATE, NET INCOME ATTRIBUTABLE TO BIOGEN INC. &amp; DILUTED EPS</w:t>
      </w:r>
    </w:p>
    <w:p>
      <w:pPr>
        <w:jc w:val="center"/>
        <w:spacing w:after="0"/>
        <w:rPr>
          <w:sz w:val="20"/>
          <w:szCs w:val="20"/>
          <w:color w:val="auto"/>
        </w:rPr>
      </w:pPr>
      <w:r>
        <w:rPr>
          <w:rFonts w:ascii="Arial" w:cs="Arial" w:eastAsia="Arial" w:hAnsi="Arial"/>
          <w:sz w:val="17"/>
          <w:szCs w:val="17"/>
          <w:b w:val="1"/>
          <w:bCs w:val="1"/>
          <w:i w:val="1"/>
          <w:iCs w:val="1"/>
          <w:color w:val="1C5A7D"/>
        </w:rPr>
        <w:t>(unaudited, in millions, except effective tax rate)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200" w:type="dxa"/>
            <w:vAlign w:val="bottom"/>
            <w:gridSpan w:val="5"/>
          </w:tcPr>
          <w:p>
            <w:pPr>
              <w:jc w:val="right"/>
              <w:ind w:right="131"/>
              <w:spacing w:after="0"/>
              <w:rPr>
                <w:sz w:val="20"/>
                <w:szCs w:val="20"/>
                <w:color w:val="auto"/>
              </w:rPr>
            </w:pPr>
            <w:r>
              <w:rPr>
                <w:rFonts w:ascii="Arial" w:cs="Arial" w:eastAsia="Arial" w:hAnsi="Arial"/>
                <w:sz w:val="14"/>
                <w:szCs w:val="14"/>
                <w:b w:val="1"/>
                <w:bCs w:val="1"/>
                <w:color w:val="auto"/>
                <w:w w:val="99"/>
              </w:rPr>
              <w:t>For the Twelve Months Ended</w:t>
            </w:r>
          </w:p>
        </w:tc>
      </w:tr>
      <w:tr>
        <w:trPr>
          <w:trHeight w:val="181"/>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r>
      <w:tr>
        <w:trPr>
          <w:trHeight w:val="186"/>
        </w:trPr>
        <w:tc>
          <w:tcPr>
            <w:tcW w:w="6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jc w:val="right"/>
              <w:ind w:right="211"/>
              <w:spacing w:after="0"/>
              <w:rPr>
                <w:sz w:val="20"/>
                <w:szCs w:val="20"/>
                <w:color w:val="auto"/>
              </w:rPr>
            </w:pPr>
            <w:r>
              <w:rPr>
                <w:rFonts w:ascii="Arial" w:cs="Arial" w:eastAsia="Arial" w:hAnsi="Arial"/>
                <w:sz w:val="14"/>
                <w:szCs w:val="14"/>
                <w:b w:val="1"/>
                <w:bCs w:val="1"/>
                <w:color w:val="00497F"/>
              </w:rPr>
              <w:t>2024</w:t>
            </w:r>
          </w:p>
        </w:tc>
        <w:tc>
          <w:tcPr>
            <w:tcW w:w="140" w:type="dxa"/>
            <w:vAlign w:val="bottom"/>
            <w:tcBorders>
              <w:bottom w:val="single" w:sz="8" w:color="auto"/>
            </w:tcBorders>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840" w:type="dxa"/>
            <w:vAlign w:val="bottom"/>
            <w:tcBorders>
              <w:bottom w:val="single" w:sz="8" w:color="auto"/>
            </w:tcBorders>
            <w:shd w:val="clear" w:color="auto" w:fill="DBDBDB"/>
          </w:tcPr>
          <w:p>
            <w:pPr>
              <w:jc w:val="right"/>
              <w:ind w:right="211"/>
              <w:spacing w:after="0"/>
              <w:rPr>
                <w:sz w:val="20"/>
                <w:szCs w:val="20"/>
                <w:color w:val="auto"/>
              </w:rPr>
            </w:pPr>
            <w:r>
              <w:rPr>
                <w:rFonts w:ascii="Arial" w:cs="Arial" w:eastAsia="Arial" w:hAnsi="Arial"/>
                <w:sz w:val="14"/>
                <w:szCs w:val="14"/>
                <w:b w:val="1"/>
                <w:bCs w:val="1"/>
                <w:color w:val="00497F"/>
              </w:rPr>
              <w:t>2024</w:t>
            </w:r>
          </w:p>
        </w:tc>
        <w:tc>
          <w:tcPr>
            <w:tcW w:w="140" w:type="dxa"/>
            <w:vAlign w:val="bottom"/>
            <w:tcBorders>
              <w:bottom w:val="single" w:sz="8" w:color="auto"/>
            </w:tcBorders>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2023</w:t>
            </w:r>
          </w:p>
        </w:tc>
      </w:tr>
      <w:tr>
        <w:trPr>
          <w:trHeight w:val="186"/>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Tax Rate:</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Total effective tax rate, GAAP</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8.5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79"/>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14.7 %</w:t>
            </w: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14.4</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79"/>
              </w:rPr>
              <w:t>%</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10.4 %</w:t>
            </w:r>
          </w:p>
        </w:tc>
      </w:tr>
      <w:tr>
        <w:trPr>
          <w:trHeight w:val="198"/>
        </w:trPr>
        <w:tc>
          <w:tcPr>
            <w:tcW w:w="6360" w:type="dxa"/>
            <w:vAlign w:val="bottom"/>
            <w:gridSpan w:val="2"/>
          </w:tcPr>
          <w:p>
            <w:pPr>
              <w:ind w:left="220"/>
              <w:spacing w:after="0"/>
              <w:rPr>
                <w:sz w:val="20"/>
                <w:szCs w:val="20"/>
                <w:color w:val="auto"/>
              </w:rPr>
            </w:pPr>
            <w:r>
              <w:rPr>
                <w:rFonts w:ascii="Arial" w:cs="Arial" w:eastAsia="Arial" w:hAnsi="Arial"/>
                <w:sz w:val="14"/>
                <w:szCs w:val="14"/>
                <w:color w:val="auto"/>
              </w:rPr>
              <w:t>Less: impact of GAAP to Non-GAAP adjustments</w:t>
            </w:r>
          </w:p>
        </w:tc>
        <w:tc>
          <w:tcPr>
            <w:tcW w:w="20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(3.7)</w:t>
            </w:r>
          </w:p>
        </w:tc>
        <w:tc>
          <w:tcPr>
            <w:tcW w:w="14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(0.2)</w:t>
            </w:r>
          </w:p>
        </w:tc>
        <w:tc>
          <w:tcPr>
            <w:tcW w:w="14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(4.8)</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Total effective tax rate, Non-GAAP</w:t>
            </w:r>
          </w:p>
        </w:tc>
        <w:tc>
          <w:tcPr>
            <w:tcW w:w="2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12.2</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w w:val="79"/>
              </w:rPr>
              <w:t>%</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17.0 %</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14.6</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w w:val="79"/>
              </w:rPr>
              <w:t>%</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15.2 %</w:t>
            </w:r>
          </w:p>
        </w:tc>
      </w:tr>
      <w:tr>
        <w:trPr>
          <w:trHeight w:val="65"/>
        </w:trPr>
        <w:tc>
          <w:tcPr>
            <w:tcW w:w="6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shd w:val="clear" w:color="auto" w:fill="DBDBDB"/>
          </w:tcPr>
          <w:p>
            <w:pPr>
              <w:spacing w:after="0"/>
              <w:rPr>
                <w:sz w:val="5"/>
                <w:szCs w:val="5"/>
                <w:color w:val="auto"/>
              </w:rPr>
            </w:pPr>
          </w:p>
        </w:tc>
        <w:tc>
          <w:tcPr>
            <w:tcW w:w="820" w:type="dxa"/>
            <w:vAlign w:val="bottom"/>
            <w:tcBorders>
              <w:bottom w:val="single" w:sz="8" w:color="auto"/>
            </w:tcBorders>
            <w:shd w:val="clear" w:color="auto" w:fill="DBDBDB"/>
          </w:tcPr>
          <w:p>
            <w:pPr>
              <w:spacing w:after="0"/>
              <w:rPr>
                <w:sz w:val="5"/>
                <w:szCs w:val="5"/>
                <w:color w:val="auto"/>
              </w:rPr>
            </w:pPr>
          </w:p>
        </w:tc>
        <w:tc>
          <w:tcPr>
            <w:tcW w:w="140" w:type="dxa"/>
            <w:vAlign w:val="bottom"/>
            <w:tcBorders>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shd w:val="clear" w:color="auto" w:fill="DBDBDB"/>
          </w:tcPr>
          <w:p>
            <w:pPr>
              <w:spacing w:after="0"/>
              <w:rPr>
                <w:sz w:val="5"/>
                <w:szCs w:val="5"/>
                <w:color w:val="auto"/>
              </w:rPr>
            </w:pPr>
          </w:p>
        </w:tc>
        <w:tc>
          <w:tcPr>
            <w:tcW w:w="840" w:type="dxa"/>
            <w:vAlign w:val="bottom"/>
            <w:tcBorders>
              <w:bottom w:val="single" w:sz="8" w:color="auto"/>
            </w:tcBorders>
            <w:shd w:val="clear" w:color="auto" w:fill="DBDBDB"/>
          </w:tcPr>
          <w:p>
            <w:pPr>
              <w:spacing w:after="0"/>
              <w:rPr>
                <w:sz w:val="5"/>
                <w:szCs w:val="5"/>
                <w:color w:val="auto"/>
              </w:rPr>
            </w:pPr>
          </w:p>
        </w:tc>
        <w:tc>
          <w:tcPr>
            <w:tcW w:w="140" w:type="dxa"/>
            <w:vAlign w:val="bottom"/>
            <w:tcBorders>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185"/>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Attributable to Biogen Inc.:</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Total net income attributable to Biogen Inc., GAAP</w:t>
            </w:r>
          </w:p>
        </w:tc>
        <w:tc>
          <w:tcPr>
            <w:tcW w:w="20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00497F"/>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266.8</w:t>
            </w:r>
          </w:p>
        </w:tc>
        <w:tc>
          <w:tcPr>
            <w:tcW w:w="140" w:type="dxa"/>
            <w:vAlign w:val="bottom"/>
            <w:shd w:val="clear" w:color="auto" w:fill="DBDBDB"/>
          </w:tcPr>
          <w:p>
            <w:pPr>
              <w:spacing w:after="0"/>
              <w:rPr>
                <w:sz w:val="16"/>
                <w:szCs w:val="16"/>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249.7</w:t>
            </w:r>
          </w:p>
        </w:tc>
        <w:tc>
          <w:tcPr>
            <w:tcW w:w="100" w:type="dxa"/>
            <w:vAlign w:val="bottom"/>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1,632.2</w:t>
            </w:r>
          </w:p>
        </w:tc>
        <w:tc>
          <w:tcPr>
            <w:tcW w:w="140" w:type="dxa"/>
            <w:vAlign w:val="bottom"/>
            <w:shd w:val="clear" w:color="auto" w:fill="DBDBDB"/>
          </w:tcPr>
          <w:p>
            <w:pPr>
              <w:spacing w:after="0"/>
              <w:rPr>
                <w:sz w:val="16"/>
                <w:szCs w:val="16"/>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1,161.1</w:t>
            </w:r>
          </w:p>
        </w:tc>
      </w:tr>
      <w:tr>
        <w:trPr>
          <w:trHeight w:val="194"/>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Plus: amortization of Reata inventory fair value step-up</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43.0</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220.7</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31.5</w:t>
            </w:r>
          </w:p>
        </w:tc>
      </w:tr>
      <w:tr>
        <w:trPr>
          <w:trHeight w:val="207"/>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 xml:space="preserve">Plus: acceleration of share-based compensation expense and related taxes </w:t>
            </w:r>
            <w:r>
              <w:rPr>
                <w:rFonts w:ascii="Arial" w:cs="Arial" w:eastAsia="Arial" w:hAnsi="Arial"/>
                <w:sz w:val="17"/>
                <w:szCs w:val="17"/>
                <w:color w:val="auto"/>
                <w:vertAlign w:val="superscript"/>
              </w:rPr>
              <w:t>A</w:t>
            </w:r>
          </w:p>
        </w:tc>
        <w:tc>
          <w:tcPr>
            <w:tcW w:w="20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40" w:type="dxa"/>
            <w:vAlign w:val="bottom"/>
            <w:shd w:val="clear" w:color="auto" w:fill="DBDBDB"/>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56.4</w:t>
            </w:r>
          </w:p>
        </w:tc>
        <w:tc>
          <w:tcPr>
            <w:tcW w:w="140" w:type="dxa"/>
            <w:vAlign w:val="bottom"/>
            <w:shd w:val="clear" w:color="auto" w:fill="DBDBDB"/>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393.4</w:t>
            </w:r>
          </w:p>
        </w:tc>
      </w:tr>
      <w:tr>
        <w:trPr>
          <w:trHeight w:val="181"/>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Plus: impairment charges</w:t>
            </w:r>
          </w:p>
        </w:tc>
        <w:tc>
          <w:tcPr>
            <w:tcW w:w="20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40.0</w:t>
            </w:r>
          </w:p>
        </w:tc>
        <w:tc>
          <w:tcPr>
            <w:tcW w:w="140" w:type="dxa"/>
            <w:vAlign w:val="bottom"/>
            <w:shd w:val="clear" w:color="auto" w:fill="DBDBDB"/>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60.2</w:t>
            </w:r>
          </w:p>
        </w:tc>
        <w:tc>
          <w:tcPr>
            <w:tcW w:w="140" w:type="dxa"/>
            <w:vAlign w:val="bottom"/>
            <w:shd w:val="clear" w:color="auto" w:fill="DBDBDB"/>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w:t>
            </w:r>
          </w:p>
        </w:tc>
      </w:tr>
      <w:tr>
        <w:trPr>
          <w:trHeight w:val="194"/>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Plus: acquisition-related transaction and integration costs</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4.9</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20.3</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35.0</w:t>
            </w:r>
          </w:p>
        </w:tc>
      </w:tr>
      <w:tr>
        <w:trPr>
          <w:trHeight w:val="194"/>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Plus: amortization of acquired intangible assets</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98.5</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341.7</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206.0</w:t>
            </w:r>
          </w:p>
        </w:tc>
      </w:tr>
      <w:tr>
        <w:trPr>
          <w:trHeight w:val="194"/>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Plus: restructuring charges and other cost saving initiatives</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12.4</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75.0</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247.7</w:t>
            </w:r>
          </w:p>
        </w:tc>
      </w:tr>
      <w:tr>
        <w:trPr>
          <w:trHeight w:val="194"/>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Plus: (gain) loss on fair value remeasurement of contingent consideration</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3.9</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27.7</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w:t>
            </w:r>
          </w:p>
        </w:tc>
      </w:tr>
      <w:tr>
        <w:trPr>
          <w:trHeight w:val="194"/>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Plus: (gain) loss on equity security investments</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78.5</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100.4</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274.2</w:t>
            </w:r>
          </w:p>
        </w:tc>
      </w:tr>
      <w:tr>
        <w:trPr>
          <w:trHeight w:val="194"/>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Plus: (gain) loss on sale of equity interest in Samsung Bioepis and other investments</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15.2</w:t>
            </w:r>
          </w:p>
        </w:tc>
      </w:tr>
      <w:tr>
        <w:trPr>
          <w:trHeight w:val="194"/>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Plus: income tax effect related to Non-GAAP reconciling items</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(45.1)</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71"/>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(138.3)</w:t>
            </w: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(248.3)</w:t>
            </w:r>
          </w:p>
        </w:tc>
      </w:tr>
      <w:tr>
        <w:trPr>
          <w:trHeight w:val="198"/>
        </w:trPr>
        <w:tc>
          <w:tcPr>
            <w:tcW w:w="6360" w:type="dxa"/>
            <w:vAlign w:val="bottom"/>
            <w:gridSpan w:val="2"/>
          </w:tcPr>
          <w:p>
            <w:pPr>
              <w:ind w:left="120"/>
              <w:spacing w:after="0"/>
              <w:rPr>
                <w:sz w:val="20"/>
                <w:szCs w:val="20"/>
                <w:color w:val="auto"/>
              </w:rPr>
            </w:pPr>
            <w:r>
              <w:rPr>
                <w:rFonts w:ascii="Arial" w:cs="Arial" w:eastAsia="Arial" w:hAnsi="Arial"/>
                <w:sz w:val="14"/>
                <w:szCs w:val="14"/>
                <w:color w:val="auto"/>
              </w:rPr>
              <w:t>Plus: other</w:t>
            </w:r>
          </w:p>
        </w:tc>
        <w:tc>
          <w:tcPr>
            <w:tcW w:w="20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(0.5)</w:t>
            </w:r>
          </w:p>
        </w:tc>
        <w:tc>
          <w:tcPr>
            <w:tcW w:w="14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7.6</w:t>
            </w:r>
          </w:p>
        </w:tc>
        <w:tc>
          <w:tcPr>
            <w:tcW w:w="14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28.0</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Total net income attributable to Biogen Inc., Non-GAAP</w:t>
            </w:r>
          </w:p>
        </w:tc>
        <w:tc>
          <w:tcPr>
            <w:tcW w:w="20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00497F"/>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502.4</w:t>
            </w:r>
          </w:p>
        </w:tc>
        <w:tc>
          <w:tcPr>
            <w:tcW w:w="140" w:type="dxa"/>
            <w:vAlign w:val="bottom"/>
            <w:shd w:val="clear" w:color="auto" w:fill="DBDBDB"/>
          </w:tcPr>
          <w:p>
            <w:pPr>
              <w:spacing w:after="0"/>
              <w:rPr>
                <w:sz w:val="19"/>
                <w:szCs w:val="19"/>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430.3</w:t>
            </w:r>
          </w:p>
        </w:tc>
        <w:tc>
          <w:tcPr>
            <w:tcW w:w="100" w:type="dxa"/>
            <w:vAlign w:val="bottom"/>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2,403.9</w:t>
            </w:r>
          </w:p>
        </w:tc>
        <w:tc>
          <w:tcPr>
            <w:tcW w:w="140" w:type="dxa"/>
            <w:vAlign w:val="bottom"/>
            <w:shd w:val="clear" w:color="auto" w:fill="DBDBDB"/>
          </w:tcPr>
          <w:p>
            <w:pPr>
              <w:spacing w:after="0"/>
              <w:rPr>
                <w:sz w:val="19"/>
                <w:szCs w:val="19"/>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2,143.8</w:t>
            </w:r>
          </w:p>
        </w:tc>
      </w:tr>
      <w:tr>
        <w:trPr>
          <w:trHeight w:val="65"/>
        </w:trPr>
        <w:tc>
          <w:tcPr>
            <w:tcW w:w="6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top w:val="single" w:sz="8" w:color="auto"/>
              <w:bottom w:val="single" w:sz="8" w:color="auto"/>
            </w:tcBorders>
            <w:shd w:val="clear" w:color="auto" w:fill="DBDBDB"/>
          </w:tcPr>
          <w:p>
            <w:pPr>
              <w:spacing w:after="0"/>
              <w:rPr>
                <w:sz w:val="5"/>
                <w:szCs w:val="5"/>
                <w:color w:val="auto"/>
              </w:rPr>
            </w:pPr>
          </w:p>
        </w:tc>
        <w:tc>
          <w:tcPr>
            <w:tcW w:w="820" w:type="dxa"/>
            <w:vAlign w:val="bottom"/>
            <w:tcBorders>
              <w:top w:val="single" w:sz="8" w:color="auto"/>
              <w:bottom w:val="single" w:sz="8" w:color="auto"/>
            </w:tcBorders>
            <w:shd w:val="clear" w:color="auto" w:fill="DBDBDB"/>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74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top w:val="single" w:sz="8" w:color="auto"/>
              <w:bottom w:val="single" w:sz="8" w:color="auto"/>
            </w:tcBorders>
            <w:shd w:val="clear" w:color="auto" w:fill="DBDBDB"/>
          </w:tcPr>
          <w:p>
            <w:pPr>
              <w:spacing w:after="0"/>
              <w:rPr>
                <w:sz w:val="5"/>
                <w:szCs w:val="5"/>
                <w:color w:val="auto"/>
              </w:rPr>
            </w:pPr>
          </w:p>
        </w:tc>
        <w:tc>
          <w:tcPr>
            <w:tcW w:w="840" w:type="dxa"/>
            <w:vAlign w:val="bottom"/>
            <w:tcBorders>
              <w:top w:val="single" w:sz="8" w:color="auto"/>
              <w:bottom w:val="single" w:sz="8" w:color="auto"/>
            </w:tcBorders>
            <w:shd w:val="clear" w:color="auto" w:fill="DBDBDB"/>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r>
      <w:tr>
        <w:trPr>
          <w:trHeight w:val="185"/>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2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Total diluted earnings (loss) per share, GAAP</w:t>
            </w:r>
          </w:p>
        </w:tc>
        <w:tc>
          <w:tcPr>
            <w:tcW w:w="20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00497F"/>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1.83</w:t>
            </w:r>
          </w:p>
        </w:tc>
        <w:tc>
          <w:tcPr>
            <w:tcW w:w="140" w:type="dxa"/>
            <w:vAlign w:val="bottom"/>
            <w:shd w:val="clear" w:color="auto" w:fill="DBDBDB"/>
          </w:tcPr>
          <w:p>
            <w:pPr>
              <w:spacing w:after="0"/>
              <w:rPr>
                <w:sz w:val="16"/>
                <w:szCs w:val="16"/>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11.18</w:t>
            </w:r>
          </w:p>
        </w:tc>
        <w:tc>
          <w:tcPr>
            <w:tcW w:w="140" w:type="dxa"/>
            <w:vAlign w:val="bottom"/>
            <w:shd w:val="clear" w:color="auto" w:fill="DBDBDB"/>
          </w:tcPr>
          <w:p>
            <w:pPr>
              <w:spacing w:after="0"/>
              <w:rPr>
                <w:sz w:val="16"/>
                <w:szCs w:val="16"/>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7.97</w:t>
            </w:r>
          </w:p>
        </w:tc>
      </w:tr>
      <w:tr>
        <w:trPr>
          <w:trHeight w:val="198"/>
        </w:trPr>
        <w:tc>
          <w:tcPr>
            <w:tcW w:w="6360" w:type="dxa"/>
            <w:vAlign w:val="bottom"/>
            <w:gridSpan w:val="2"/>
          </w:tcPr>
          <w:p>
            <w:pPr>
              <w:ind w:left="220"/>
              <w:spacing w:after="0"/>
              <w:rPr>
                <w:sz w:val="20"/>
                <w:szCs w:val="20"/>
                <w:color w:val="auto"/>
              </w:rPr>
            </w:pPr>
            <w:r>
              <w:rPr>
                <w:rFonts w:ascii="Arial" w:cs="Arial" w:eastAsia="Arial" w:hAnsi="Arial"/>
                <w:sz w:val="14"/>
                <w:szCs w:val="14"/>
                <w:color w:val="auto"/>
              </w:rPr>
              <w:t>(Less) Plus: adjustments to GAAP net income attributable to Biogen Inc. (as detailed above)</w:t>
            </w:r>
          </w:p>
        </w:tc>
        <w:tc>
          <w:tcPr>
            <w:tcW w:w="20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1.61</w:t>
            </w:r>
          </w:p>
        </w:tc>
        <w:tc>
          <w:tcPr>
            <w:tcW w:w="14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5.29</w:t>
            </w:r>
          </w:p>
        </w:tc>
        <w:tc>
          <w:tcPr>
            <w:tcW w:w="14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6.75</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Total diluted earnings per share, Non-GAAP</w:t>
            </w:r>
          </w:p>
        </w:tc>
        <w:tc>
          <w:tcPr>
            <w:tcW w:w="20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00497F"/>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3.44</w:t>
            </w:r>
          </w:p>
        </w:tc>
        <w:tc>
          <w:tcPr>
            <w:tcW w:w="140" w:type="dxa"/>
            <w:vAlign w:val="bottom"/>
            <w:shd w:val="clear" w:color="auto" w:fill="DBDBDB"/>
          </w:tcPr>
          <w:p>
            <w:pPr>
              <w:spacing w:after="0"/>
              <w:rPr>
                <w:sz w:val="19"/>
                <w:szCs w:val="19"/>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16.47</w:t>
            </w:r>
          </w:p>
        </w:tc>
        <w:tc>
          <w:tcPr>
            <w:tcW w:w="140" w:type="dxa"/>
            <w:vAlign w:val="bottom"/>
            <w:shd w:val="clear" w:color="auto" w:fill="DBDBDB"/>
          </w:tcPr>
          <w:p>
            <w:pPr>
              <w:spacing w:after="0"/>
              <w:rPr>
                <w:sz w:val="19"/>
                <w:szCs w:val="19"/>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14.72</w:t>
            </w:r>
          </w:p>
        </w:tc>
      </w:tr>
      <w:tr>
        <w:trPr>
          <w:trHeight w:val="65"/>
        </w:trPr>
        <w:tc>
          <w:tcPr>
            <w:tcW w:w="6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top w:val="single" w:sz="8" w:color="auto"/>
              <w:bottom w:val="single" w:sz="8" w:color="auto"/>
            </w:tcBorders>
            <w:shd w:val="clear" w:color="auto" w:fill="DBDBDB"/>
          </w:tcPr>
          <w:p>
            <w:pPr>
              <w:spacing w:after="0"/>
              <w:rPr>
                <w:sz w:val="5"/>
                <w:szCs w:val="5"/>
                <w:color w:val="auto"/>
              </w:rPr>
            </w:pPr>
          </w:p>
        </w:tc>
        <w:tc>
          <w:tcPr>
            <w:tcW w:w="820" w:type="dxa"/>
            <w:vAlign w:val="bottom"/>
            <w:tcBorders>
              <w:top w:val="single" w:sz="8" w:color="auto"/>
              <w:bottom w:val="single" w:sz="8" w:color="auto"/>
            </w:tcBorders>
            <w:shd w:val="clear" w:color="auto" w:fill="DBDBDB"/>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74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top w:val="single" w:sz="8" w:color="auto"/>
              <w:bottom w:val="single" w:sz="8" w:color="auto"/>
            </w:tcBorders>
            <w:shd w:val="clear" w:color="auto" w:fill="DBDBDB"/>
          </w:tcPr>
          <w:p>
            <w:pPr>
              <w:spacing w:after="0"/>
              <w:rPr>
                <w:sz w:val="5"/>
                <w:szCs w:val="5"/>
                <w:color w:val="auto"/>
              </w:rPr>
            </w:pPr>
          </w:p>
        </w:tc>
        <w:tc>
          <w:tcPr>
            <w:tcW w:w="840" w:type="dxa"/>
            <w:vAlign w:val="bottom"/>
            <w:tcBorders>
              <w:top w:val="single" w:sz="8" w:color="auto"/>
              <w:bottom w:val="single" w:sz="8" w:color="auto"/>
            </w:tcBorders>
            <w:shd w:val="clear" w:color="auto" w:fill="DBDBDB"/>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r>
    </w:tbl>
    <w:p>
      <w:pPr>
        <w:spacing w:after="0" w:line="156" w:lineRule="exact"/>
        <w:rPr>
          <w:sz w:val="20"/>
          <w:szCs w:val="20"/>
          <w:color w:val="auto"/>
        </w:rPr>
      </w:pPr>
    </w:p>
    <w:p>
      <w:pPr>
        <w:ind w:right="180" w:firstLine="3"/>
        <w:spacing w:after="0" w:line="224" w:lineRule="auto"/>
        <w:tabs>
          <w:tab w:leader="none" w:pos="95"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Share-based compensation expense reflects the accelerated vesting of awards previously granted to HI-Bio employees as a result of our acquisition of HI-Bio in the third quarter of 2024, as well as the accelerated vesting of awards previously granted to Reata employees as a result of our acquisition of Reata in the third quarter of 2023. A portion of the total consideration to former HI-Bio and Reata employees was deemed to be compensation attributable to the post-acquisition service period and recognized as a charge to selling, general and administrative expense and to research and development expense within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14</w:t>
      </w:r>
    </w:p>
    <w:p>
      <w:pPr>
        <w:sectPr>
          <w:pgSz w:w="11900" w:h="16838" w:orient="portrait"/>
          <w:cols w:equalWidth="0" w:num="1">
            <w:col w:w="11240"/>
          </w:cols>
          <w:pgMar w:left="320" w:top="101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1"/>
          <w:szCs w:val="21"/>
          <w:b w:val="1"/>
          <w:bCs w:val="1"/>
          <w:color w:val="1C5A7D"/>
        </w:rPr>
        <w:t>TABLE 4 (continued)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GAAP TO NON-GAAP RECONCILIATION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REVENUE CHANGE AT CONSTANT CURRENCY</w:t>
      </w:r>
    </w:p>
    <w:p>
      <w:pPr>
        <w:jc w:val="center"/>
        <w:spacing w:after="0"/>
        <w:rPr>
          <w:sz w:val="20"/>
          <w:szCs w:val="20"/>
          <w:color w:val="auto"/>
        </w:rPr>
      </w:pPr>
      <w:r>
        <w:rPr>
          <w:rFonts w:ascii="Arial" w:cs="Arial" w:eastAsia="Arial" w:hAnsi="Arial"/>
          <w:sz w:val="17"/>
          <w:szCs w:val="17"/>
          <w:b w:val="1"/>
          <w:bCs w:val="1"/>
          <w:i w:val="1"/>
          <w:iCs w:val="1"/>
          <w:color w:val="1C5A7D"/>
        </w:rPr>
        <w:t>(unaudited)</w:t>
      </w:r>
    </w:p>
    <w:p>
      <w:pPr>
        <w:spacing w:after="0" w:line="99"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Revenue changes at constant currency are presented excluding the impact of changes in foreign currency exchange rates and hedging gains or losses. Foreign currency revenue values are converted into U.S. Dollars using the exchange rates from the end of the previous calendar year.</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1600" w:type="dxa"/>
            <w:vAlign w:val="bottom"/>
            <w:shd w:val="clear" w:color="auto" w:fill="DBDBDB"/>
          </w:tcPr>
          <w:p>
            <w:pPr>
              <w:jc w:val="center"/>
              <w:ind w:left="602"/>
              <w:spacing w:after="0"/>
              <w:rPr>
                <w:sz w:val="20"/>
                <w:szCs w:val="20"/>
                <w:color w:val="auto"/>
              </w:rPr>
            </w:pPr>
            <w:r>
              <w:rPr>
                <w:rFonts w:ascii="Arial" w:cs="Arial" w:eastAsia="Arial" w:hAnsi="Arial"/>
                <w:sz w:val="16"/>
                <w:szCs w:val="16"/>
                <w:b w:val="1"/>
                <w:bCs w:val="1"/>
                <w:color w:val="00497F"/>
                <w:w w:val="97"/>
              </w:rPr>
              <w:t>Q4 2024</w:t>
            </w:r>
          </w:p>
        </w:tc>
        <w:tc>
          <w:tcPr>
            <w:tcW w:w="5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shd w:val="clear" w:color="auto" w:fill="DBDBDB"/>
          </w:tcPr>
          <w:p>
            <w:pPr>
              <w:jc w:val="center"/>
              <w:spacing w:after="0"/>
              <w:rPr>
                <w:sz w:val="20"/>
                <w:szCs w:val="20"/>
                <w:color w:val="auto"/>
              </w:rPr>
            </w:pPr>
            <w:r>
              <w:rPr>
                <w:rFonts w:ascii="Arial" w:cs="Arial" w:eastAsia="Arial" w:hAnsi="Arial"/>
                <w:sz w:val="16"/>
                <w:szCs w:val="16"/>
                <w:b w:val="1"/>
                <w:bCs w:val="1"/>
                <w:color w:val="00497F"/>
                <w:w w:val="97"/>
              </w:rPr>
              <w:t>YTD 2024</w:t>
            </w:r>
          </w:p>
        </w:tc>
        <w:tc>
          <w:tcPr>
            <w:tcW w:w="0" w:type="dxa"/>
            <w:vAlign w:val="bottom"/>
          </w:tcPr>
          <w:p>
            <w:pPr>
              <w:spacing w:after="0"/>
              <w:rPr>
                <w:sz w:val="1"/>
                <w:szCs w:val="1"/>
                <w:color w:val="auto"/>
              </w:rPr>
            </w:pPr>
          </w:p>
        </w:tc>
      </w:tr>
      <w:tr>
        <w:trPr>
          <w:trHeight w:val="155"/>
        </w:trPr>
        <w:tc>
          <w:tcPr>
            <w:tcW w:w="6600" w:type="dxa"/>
            <w:vAlign w:val="bottom"/>
          </w:tcPr>
          <w:p>
            <w:pPr>
              <w:spacing w:after="0"/>
              <w:rPr>
                <w:sz w:val="13"/>
                <w:szCs w:val="13"/>
                <w:color w:val="auto"/>
              </w:rPr>
            </w:pPr>
          </w:p>
        </w:tc>
        <w:tc>
          <w:tcPr>
            <w:tcW w:w="1600" w:type="dxa"/>
            <w:vAlign w:val="bottom"/>
            <w:shd w:val="clear" w:color="auto" w:fill="DBDBDB"/>
          </w:tcPr>
          <w:p>
            <w:pPr>
              <w:jc w:val="center"/>
              <w:ind w:left="602"/>
              <w:spacing w:after="0" w:line="155" w:lineRule="exact"/>
              <w:rPr>
                <w:sz w:val="20"/>
                <w:szCs w:val="20"/>
                <w:color w:val="auto"/>
              </w:rPr>
            </w:pPr>
            <w:r>
              <w:rPr>
                <w:rFonts w:ascii="Arial" w:cs="Arial" w:eastAsia="Arial" w:hAnsi="Arial"/>
                <w:sz w:val="16"/>
                <w:szCs w:val="16"/>
                <w:b w:val="1"/>
                <w:bCs w:val="1"/>
                <w:color w:val="00497F"/>
                <w:w w:val="89"/>
              </w:rPr>
              <w:t>vs.</w:t>
            </w:r>
          </w:p>
        </w:tc>
        <w:tc>
          <w:tcPr>
            <w:tcW w:w="52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2"/>
            <w:shd w:val="clear" w:color="auto" w:fill="DBDBDB"/>
          </w:tcPr>
          <w:p>
            <w:pPr>
              <w:jc w:val="center"/>
              <w:spacing w:after="0" w:line="155" w:lineRule="exact"/>
              <w:rPr>
                <w:sz w:val="20"/>
                <w:szCs w:val="20"/>
                <w:color w:val="auto"/>
              </w:rPr>
            </w:pPr>
            <w:r>
              <w:rPr>
                <w:rFonts w:ascii="Arial" w:cs="Arial" w:eastAsia="Arial" w:hAnsi="Arial"/>
                <w:sz w:val="16"/>
                <w:szCs w:val="16"/>
                <w:b w:val="1"/>
                <w:bCs w:val="1"/>
                <w:color w:val="00497F"/>
                <w:w w:val="89"/>
              </w:rPr>
              <w:t>vs.</w:t>
            </w:r>
          </w:p>
        </w:tc>
        <w:tc>
          <w:tcPr>
            <w:tcW w:w="0" w:type="dxa"/>
            <w:vAlign w:val="bottom"/>
          </w:tcPr>
          <w:p>
            <w:pPr>
              <w:spacing w:after="0"/>
              <w:rPr>
                <w:sz w:val="1"/>
                <w:szCs w:val="1"/>
                <w:color w:val="auto"/>
              </w:rPr>
            </w:pPr>
          </w:p>
        </w:tc>
      </w:tr>
      <w:tr>
        <w:trPr>
          <w:trHeight w:val="207"/>
        </w:trPr>
        <w:tc>
          <w:tcPr>
            <w:tcW w:w="6600" w:type="dxa"/>
            <w:vAlign w:val="bottom"/>
            <w:vMerge w:val="restart"/>
          </w:tcPr>
          <w:p>
            <w:pPr>
              <w:spacing w:after="0"/>
              <w:rPr>
                <w:sz w:val="20"/>
                <w:szCs w:val="20"/>
                <w:color w:val="auto"/>
              </w:rPr>
            </w:pPr>
            <w:r>
              <w:rPr>
                <w:rFonts w:ascii="Arial" w:cs="Arial" w:eastAsia="Arial" w:hAnsi="Arial"/>
                <w:sz w:val="16"/>
                <w:szCs w:val="16"/>
                <w:b w:val="1"/>
                <w:bCs w:val="1"/>
                <w:color w:val="auto"/>
              </w:rPr>
              <w:t>Total Revenue:</w:t>
            </w:r>
          </w:p>
        </w:tc>
        <w:tc>
          <w:tcPr>
            <w:tcW w:w="1600" w:type="dxa"/>
            <w:vAlign w:val="bottom"/>
            <w:tcBorders>
              <w:bottom w:val="single" w:sz="8" w:color="auto"/>
            </w:tcBorders>
            <w:shd w:val="clear" w:color="auto" w:fill="DBDBDB"/>
          </w:tcPr>
          <w:p>
            <w:pPr>
              <w:jc w:val="center"/>
              <w:ind w:left="602"/>
              <w:spacing w:after="0"/>
              <w:rPr>
                <w:sz w:val="20"/>
                <w:szCs w:val="20"/>
                <w:color w:val="auto"/>
              </w:rPr>
            </w:pPr>
            <w:r>
              <w:rPr>
                <w:rFonts w:ascii="Arial" w:cs="Arial" w:eastAsia="Arial" w:hAnsi="Arial"/>
                <w:sz w:val="16"/>
                <w:szCs w:val="16"/>
                <w:b w:val="1"/>
                <w:bCs w:val="1"/>
                <w:color w:val="00497F"/>
                <w:w w:val="97"/>
              </w:rPr>
              <w:t>Q4 2023</w:t>
            </w:r>
          </w:p>
        </w:tc>
        <w:tc>
          <w:tcPr>
            <w:tcW w:w="52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6"/>
                <w:szCs w:val="16"/>
                <w:b w:val="1"/>
                <w:bCs w:val="1"/>
                <w:color w:val="00497F"/>
                <w:w w:val="97"/>
              </w:rPr>
              <w:t>YTD 2023</w:t>
            </w:r>
          </w:p>
        </w:tc>
        <w:tc>
          <w:tcPr>
            <w:tcW w:w="0" w:type="dxa"/>
            <w:vAlign w:val="bottom"/>
          </w:tcPr>
          <w:p>
            <w:pPr>
              <w:spacing w:after="0"/>
              <w:rPr>
                <w:sz w:val="1"/>
                <w:szCs w:val="1"/>
                <w:color w:val="auto"/>
              </w:rPr>
            </w:pPr>
          </w:p>
        </w:tc>
      </w:tr>
      <w:tr>
        <w:trPr>
          <w:trHeight w:val="187"/>
        </w:trPr>
        <w:tc>
          <w:tcPr>
            <w:tcW w:w="6600" w:type="dxa"/>
            <w:vAlign w:val="bottom"/>
            <w:vMerge w:val="continue"/>
          </w:tcPr>
          <w:p>
            <w:pPr>
              <w:spacing w:after="0"/>
              <w:rPr>
                <w:sz w:val="16"/>
                <w:szCs w:val="16"/>
                <w:color w:val="auto"/>
              </w:rPr>
            </w:pPr>
          </w:p>
        </w:tc>
        <w:tc>
          <w:tcPr>
            <w:tcW w:w="160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6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60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2.9</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2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(1.6)%</w:t>
            </w:r>
          </w:p>
        </w:tc>
        <w:tc>
          <w:tcPr>
            <w:tcW w:w="0" w:type="dxa"/>
            <w:vAlign w:val="bottom"/>
          </w:tcPr>
          <w:p>
            <w:pPr>
              <w:spacing w:after="0"/>
              <w:rPr>
                <w:sz w:val="1"/>
                <w:szCs w:val="1"/>
                <w:color w:val="auto"/>
              </w:rPr>
            </w:pPr>
          </w:p>
        </w:tc>
      </w:tr>
      <w:tr>
        <w:trPr>
          <w:trHeight w:val="205"/>
        </w:trPr>
        <w:tc>
          <w:tcPr>
            <w:tcW w:w="66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600" w:type="dxa"/>
            <w:vAlign w:val="bottom"/>
            <w:tcBorders>
              <w:bottom w:val="single" w:sz="8" w:color="auto"/>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0.5</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60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2.4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Arial" w:cs="Arial" w:eastAsia="Arial" w:hAnsi="Arial"/>
                <w:sz w:val="16"/>
                <w:szCs w:val="16"/>
                <w:color w:val="00497F"/>
              </w:rPr>
              <w:t>(1.6)%</w:t>
            </w:r>
          </w:p>
        </w:tc>
        <w:tc>
          <w:tcPr>
            <w:tcW w:w="0" w:type="dxa"/>
            <w:vAlign w:val="bottom"/>
          </w:tcPr>
          <w:p>
            <w:pPr>
              <w:spacing w:after="0"/>
              <w:rPr>
                <w:sz w:val="1"/>
                <w:szCs w:val="1"/>
                <w:color w:val="auto"/>
              </w:rPr>
            </w:pPr>
          </w:p>
        </w:tc>
      </w:tr>
      <w:tr>
        <w:trPr>
          <w:trHeight w:val="259"/>
        </w:trPr>
        <w:tc>
          <w:tcPr>
            <w:tcW w:w="6600" w:type="dxa"/>
            <w:vAlign w:val="bottom"/>
          </w:tcPr>
          <w:p>
            <w:pPr>
              <w:spacing w:after="0"/>
              <w:rPr>
                <w:sz w:val="20"/>
                <w:szCs w:val="20"/>
                <w:color w:val="auto"/>
              </w:rPr>
            </w:pPr>
            <w:r>
              <w:rPr>
                <w:rFonts w:ascii="Arial" w:cs="Arial" w:eastAsia="Arial" w:hAnsi="Arial"/>
                <w:sz w:val="16"/>
                <w:szCs w:val="16"/>
                <w:color w:val="auto"/>
              </w:rPr>
              <w:t>Total Product Revenue, Net:</w:t>
            </w:r>
          </w:p>
        </w:tc>
        <w:tc>
          <w:tcPr>
            <w:tcW w:w="16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600" w:type="dxa"/>
            <w:vAlign w:val="bottom"/>
            <w:shd w:val="clear" w:color="auto" w:fill="DBDBDB"/>
          </w:tcPr>
          <w:p>
            <w:pPr>
              <w:spacing w:after="0"/>
              <w:rPr>
                <w:sz w:val="18"/>
                <w:szCs w:val="18"/>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8"/>
                <w:szCs w:val="18"/>
                <w:color w:val="auto"/>
              </w:rPr>
            </w:pPr>
          </w:p>
        </w:tc>
        <w:tc>
          <w:tcPr>
            <w:tcW w:w="2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(0.5)%</w:t>
            </w:r>
          </w:p>
        </w:tc>
        <w:tc>
          <w:tcPr>
            <w:tcW w:w="0" w:type="dxa"/>
            <w:vAlign w:val="bottom"/>
          </w:tcPr>
          <w:p>
            <w:pPr>
              <w:spacing w:after="0"/>
              <w:rPr>
                <w:sz w:val="1"/>
                <w:szCs w:val="1"/>
                <w:color w:val="auto"/>
              </w:rPr>
            </w:pPr>
          </w:p>
        </w:tc>
      </w:tr>
      <w:tr>
        <w:trPr>
          <w:trHeight w:val="205"/>
        </w:trPr>
        <w:tc>
          <w:tcPr>
            <w:tcW w:w="66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0.4</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(0.2)</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6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00497F"/>
              </w:rPr>
              <w:t>(0.4)%</w:t>
            </w:r>
          </w:p>
        </w:tc>
        <w:tc>
          <w:tcPr>
            <w:tcW w:w="10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Arial" w:cs="Arial" w:eastAsia="Arial" w:hAnsi="Arial"/>
                <w:sz w:val="16"/>
                <w:szCs w:val="16"/>
                <w:color w:val="00497F"/>
              </w:rPr>
              <w:t>(0.3)%</w:t>
            </w:r>
          </w:p>
        </w:tc>
        <w:tc>
          <w:tcPr>
            <w:tcW w:w="0" w:type="dxa"/>
            <w:vAlign w:val="bottom"/>
          </w:tcPr>
          <w:p>
            <w:pPr>
              <w:spacing w:after="0"/>
              <w:rPr>
                <w:sz w:val="1"/>
                <w:szCs w:val="1"/>
                <w:color w:val="auto"/>
              </w:rPr>
            </w:pPr>
          </w:p>
        </w:tc>
      </w:tr>
      <w:tr>
        <w:trPr>
          <w:trHeight w:val="260"/>
        </w:trPr>
        <w:tc>
          <w:tcPr>
            <w:tcW w:w="6600" w:type="dxa"/>
            <w:vAlign w:val="bottom"/>
          </w:tcPr>
          <w:p>
            <w:pPr>
              <w:spacing w:after="0"/>
              <w:rPr>
                <w:sz w:val="20"/>
                <w:szCs w:val="20"/>
                <w:color w:val="auto"/>
              </w:rPr>
            </w:pPr>
            <w:r>
              <w:rPr>
                <w:rFonts w:ascii="Arial" w:cs="Arial" w:eastAsia="Arial" w:hAnsi="Arial"/>
                <w:sz w:val="16"/>
                <w:szCs w:val="16"/>
                <w:b w:val="1"/>
                <w:bCs w:val="1"/>
                <w:color w:val="auto"/>
              </w:rPr>
              <w:t>Total MS Product Revenue:</w:t>
            </w:r>
          </w:p>
        </w:tc>
        <w:tc>
          <w:tcPr>
            <w:tcW w:w="16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6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600" w:type="dxa"/>
            <w:vAlign w:val="bottom"/>
            <w:shd w:val="clear" w:color="auto" w:fill="DBDBDB"/>
          </w:tcPr>
          <w:p>
            <w:pPr>
              <w:spacing w:after="0"/>
              <w:rPr>
                <w:sz w:val="17"/>
                <w:szCs w:val="17"/>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(8.4)%</w:t>
            </w:r>
          </w:p>
        </w:tc>
        <w:tc>
          <w:tcPr>
            <w:tcW w:w="100" w:type="dxa"/>
            <w:vAlign w:val="bottom"/>
          </w:tcPr>
          <w:p>
            <w:pPr>
              <w:spacing w:after="0"/>
              <w:rPr>
                <w:sz w:val="17"/>
                <w:szCs w:val="17"/>
                <w:color w:val="auto"/>
              </w:rPr>
            </w:pPr>
          </w:p>
        </w:tc>
        <w:tc>
          <w:tcPr>
            <w:tcW w:w="2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(6.7)%</w:t>
            </w:r>
          </w:p>
        </w:tc>
        <w:tc>
          <w:tcPr>
            <w:tcW w:w="0" w:type="dxa"/>
            <w:vAlign w:val="bottom"/>
          </w:tcPr>
          <w:p>
            <w:pPr>
              <w:spacing w:after="0"/>
              <w:rPr>
                <w:sz w:val="1"/>
                <w:szCs w:val="1"/>
                <w:color w:val="auto"/>
              </w:rPr>
            </w:pPr>
          </w:p>
        </w:tc>
      </w:tr>
      <w:tr>
        <w:trPr>
          <w:trHeight w:val="205"/>
        </w:trPr>
        <w:tc>
          <w:tcPr>
            <w:tcW w:w="66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0.7</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0.1</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6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00497F"/>
              </w:rPr>
              <w:t>(9.1)%</w:t>
            </w:r>
          </w:p>
        </w:tc>
        <w:tc>
          <w:tcPr>
            <w:tcW w:w="10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Arial" w:cs="Arial" w:eastAsia="Arial" w:hAnsi="Arial"/>
                <w:sz w:val="16"/>
                <w:szCs w:val="16"/>
                <w:color w:val="00497F"/>
              </w:rPr>
              <w:t>(6.8)%</w:t>
            </w:r>
          </w:p>
        </w:tc>
        <w:tc>
          <w:tcPr>
            <w:tcW w:w="0" w:type="dxa"/>
            <w:vAlign w:val="bottom"/>
          </w:tcPr>
          <w:p>
            <w:pPr>
              <w:spacing w:after="0"/>
              <w:rPr>
                <w:sz w:val="1"/>
                <w:szCs w:val="1"/>
                <w:color w:val="auto"/>
              </w:rPr>
            </w:pPr>
          </w:p>
        </w:tc>
      </w:tr>
      <w:tr>
        <w:trPr>
          <w:trHeight w:val="260"/>
        </w:trPr>
        <w:tc>
          <w:tcPr>
            <w:tcW w:w="6600" w:type="dxa"/>
            <w:vAlign w:val="bottom"/>
          </w:tcPr>
          <w:p>
            <w:pPr>
              <w:spacing w:after="0"/>
              <w:rPr>
                <w:sz w:val="20"/>
                <w:szCs w:val="20"/>
                <w:color w:val="auto"/>
              </w:rPr>
            </w:pPr>
            <w:r>
              <w:rPr>
                <w:rFonts w:ascii="Arial" w:cs="Arial" w:eastAsia="Arial" w:hAnsi="Arial"/>
                <w:sz w:val="16"/>
                <w:szCs w:val="16"/>
                <w:b w:val="1"/>
                <w:bCs w:val="1"/>
                <w:color w:val="auto"/>
              </w:rPr>
              <w:t>Total Rare Disease Revenue</w:t>
            </w:r>
          </w:p>
        </w:tc>
        <w:tc>
          <w:tcPr>
            <w:tcW w:w="16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6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60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13.5</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10.3</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66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600" w:type="dxa"/>
            <w:vAlign w:val="bottom"/>
            <w:tcBorders>
              <w:bottom w:val="single" w:sz="8" w:color="auto"/>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(1.3)</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(1.2)</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60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14.8</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11.5</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6600" w:type="dxa"/>
            <w:vAlign w:val="bottom"/>
          </w:tcPr>
          <w:p>
            <w:pPr>
              <w:spacing w:after="0"/>
              <w:rPr>
                <w:sz w:val="20"/>
                <w:szCs w:val="20"/>
                <w:color w:val="auto"/>
              </w:rPr>
            </w:pPr>
            <w:r>
              <w:rPr>
                <w:rFonts w:ascii="Arial" w:cs="Arial" w:eastAsia="Arial" w:hAnsi="Arial"/>
                <w:sz w:val="16"/>
                <w:szCs w:val="16"/>
                <w:b w:val="1"/>
                <w:bCs w:val="1"/>
                <w:color w:val="auto"/>
              </w:rPr>
              <w:t>Total Biosimilars Product Revenue:</w:t>
            </w:r>
          </w:p>
        </w:tc>
        <w:tc>
          <w:tcPr>
            <w:tcW w:w="16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6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60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7.1</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3.0</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66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600" w:type="dxa"/>
            <w:vAlign w:val="bottom"/>
            <w:tcBorders>
              <w:bottom w:val="single" w:sz="8" w:color="auto"/>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3.0</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1.1</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60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4.1</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1.9</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6600" w:type="dxa"/>
            <w:vAlign w:val="bottom"/>
          </w:tcPr>
          <w:p>
            <w:pPr>
              <w:spacing w:after="0"/>
              <w:rPr>
                <w:sz w:val="20"/>
                <w:szCs w:val="20"/>
                <w:color w:val="auto"/>
              </w:rPr>
            </w:pPr>
            <w:r>
              <w:rPr>
                <w:rFonts w:ascii="Arial" w:cs="Arial" w:eastAsia="Arial" w:hAnsi="Arial"/>
                <w:sz w:val="16"/>
                <w:szCs w:val="16"/>
                <w:b w:val="1"/>
                <w:bCs w:val="1"/>
                <w:color w:val="auto"/>
              </w:rPr>
              <w:t>Total Revenue from Anti-CD20 Therapeutic Programs:</w:t>
            </w:r>
          </w:p>
        </w:tc>
        <w:tc>
          <w:tcPr>
            <w:tcW w:w="16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6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60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6.7</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3.6</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66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600" w:type="dxa"/>
            <w:vAlign w:val="bottom"/>
            <w:tcBorders>
              <w:bottom w:val="single" w:sz="8" w:color="auto"/>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0.1</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60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6.7</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3.5</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6600" w:type="dxa"/>
            <w:vAlign w:val="bottom"/>
          </w:tcPr>
          <w:p>
            <w:pPr>
              <w:spacing w:after="0"/>
              <w:rPr>
                <w:sz w:val="20"/>
                <w:szCs w:val="20"/>
                <w:color w:val="auto"/>
              </w:rPr>
            </w:pPr>
            <w:r>
              <w:rPr>
                <w:rFonts w:ascii="Arial" w:cs="Arial" w:eastAsia="Arial" w:hAnsi="Arial"/>
                <w:sz w:val="16"/>
                <w:szCs w:val="16"/>
                <w:b w:val="1"/>
                <w:bCs w:val="1"/>
                <w:color w:val="auto"/>
              </w:rPr>
              <w:t>Total Contract Manufacturing, Royalty and Other Revenue:</w:t>
            </w:r>
          </w:p>
        </w:tc>
        <w:tc>
          <w:tcPr>
            <w:tcW w:w="16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6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60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11.6</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2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(27.4)%</w:t>
            </w:r>
          </w:p>
        </w:tc>
        <w:tc>
          <w:tcPr>
            <w:tcW w:w="0" w:type="dxa"/>
            <w:vAlign w:val="bottom"/>
          </w:tcPr>
          <w:p>
            <w:pPr>
              <w:spacing w:after="0"/>
              <w:rPr>
                <w:sz w:val="1"/>
                <w:szCs w:val="1"/>
                <w:color w:val="auto"/>
              </w:rPr>
            </w:pPr>
          </w:p>
        </w:tc>
      </w:tr>
      <w:tr>
        <w:trPr>
          <w:trHeight w:val="205"/>
        </w:trPr>
        <w:tc>
          <w:tcPr>
            <w:tcW w:w="66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600" w:type="dxa"/>
            <w:vAlign w:val="bottom"/>
            <w:tcBorders>
              <w:bottom w:val="single" w:sz="8" w:color="auto"/>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2.5</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1.1</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60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9.1</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Arial" w:cs="Arial" w:eastAsia="Arial" w:hAnsi="Arial"/>
                <w:sz w:val="16"/>
                <w:szCs w:val="16"/>
                <w:color w:val="00497F"/>
              </w:rPr>
              <w:t>(28.5)%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-3802380</wp:posOffset>
            </wp:positionV>
            <wp:extent cx="1429385"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9385" cy="40259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-3235960</wp:posOffset>
            </wp:positionV>
            <wp:extent cx="2932430" cy="402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32430" cy="40259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-2668905</wp:posOffset>
            </wp:positionV>
            <wp:extent cx="2932430" cy="40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32430" cy="402590"/>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-401955</wp:posOffset>
            </wp:positionV>
            <wp:extent cx="1429385" cy="402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9385" cy="4025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15</w:t>
      </w:r>
    </w:p>
    <w:p>
      <w:pPr>
        <w:sectPr>
          <w:pgSz w:w="11900" w:h="16838" w:orient="portrait"/>
          <w:cols w:equalWidth="0" w:num="1">
            <w:col w:w="11240"/>
          </w:cols>
          <w:pgMar w:left="320" w:top="1019" w:right="339" w:bottom="1440" w:gutter="0" w:footer="0" w:header="0"/>
        </w:sectPr>
      </w:pPr>
    </w:p>
    <w:bookmarkStart w:id="18" w:name="page19"/>
    <w:bookmarkEnd w:id="18"/>
    <w:p>
      <w:pPr>
        <w:ind w:left="4920"/>
        <w:spacing w:after="0"/>
        <w:rPr>
          <w:sz w:val="20"/>
          <w:szCs w:val="20"/>
          <w:color w:val="auto"/>
        </w:rPr>
      </w:pPr>
      <w:r>
        <w:rPr>
          <w:rFonts w:ascii="Arial" w:cs="Arial" w:eastAsia="Arial" w:hAnsi="Arial"/>
          <w:sz w:val="21"/>
          <w:szCs w:val="21"/>
          <w:b w:val="1"/>
          <w:bCs w:val="1"/>
          <w:color w:val="1C5A7D"/>
        </w:rPr>
        <w:t>TABLE 4 (continued)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GAAP TO NON-GAAP RECONCILIATION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FREE CASH FLOW</w:t>
      </w:r>
    </w:p>
    <w:p>
      <w:pPr>
        <w:jc w:val="center"/>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99"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We define free cash flow as net cash provided by (used in) operating activities in the period less capital expenditures made in the period. The following table reconciles net cash provided by (used in) operating activities, a GAAP measure, to free cash flow, a Non-GAAP measure.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6"/>
          </w:tcPr>
          <w:p>
            <w:pPr>
              <w:ind w:left="400"/>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6"/>
                <w:szCs w:val="16"/>
                <w:color w:val="auto"/>
              </w:rPr>
            </w:pPr>
          </w:p>
        </w:tc>
        <w:tc>
          <w:tcPr>
            <w:tcW w:w="2540" w:type="dxa"/>
            <w:vAlign w:val="bottom"/>
            <w:gridSpan w:val="4"/>
          </w:tcPr>
          <w:p>
            <w:pPr>
              <w:jc w:val="right"/>
              <w:ind w:right="182"/>
              <w:spacing w:after="0"/>
              <w:rPr>
                <w:sz w:val="20"/>
                <w:szCs w:val="20"/>
                <w:color w:val="auto"/>
              </w:rPr>
            </w:pPr>
            <w:r>
              <w:rPr>
                <w:rFonts w:ascii="Arial" w:cs="Arial" w:eastAsia="Arial" w:hAnsi="Arial"/>
                <w:sz w:val="16"/>
                <w:szCs w:val="16"/>
                <w:b w:val="1"/>
                <w:bCs w:val="1"/>
                <w:color w:val="auto"/>
                <w:w w:val="99"/>
              </w:rPr>
              <w:t>For the Twelve Months Ended</w:t>
            </w:r>
          </w:p>
        </w:tc>
      </w:tr>
      <w:tr>
        <w:trPr>
          <w:trHeight w:val="207"/>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7"/>
              </w:rPr>
              <w:t>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7"/>
                <w:szCs w:val="17"/>
                <w:color w:val="auto"/>
              </w:rPr>
            </w:pPr>
          </w:p>
        </w:tc>
      </w:tr>
      <w:tr>
        <w:trPr>
          <w:trHeight w:val="200"/>
        </w:trPr>
        <w:tc>
          <w:tcPr>
            <w:tcW w:w="5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00497F"/>
              </w:rPr>
              <w:t>2024</w:t>
            </w:r>
          </w:p>
        </w:tc>
        <w:tc>
          <w:tcPr>
            <w:tcW w:w="50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ind w:right="462"/>
              <w:spacing w:after="0"/>
              <w:rPr>
                <w:sz w:val="20"/>
                <w:szCs w:val="20"/>
                <w:color w:val="auto"/>
              </w:rPr>
            </w:pPr>
            <w:r>
              <w:rPr>
                <w:rFonts w:ascii="Arial" w:cs="Arial" w:eastAsia="Arial" w:hAnsi="Arial"/>
                <w:sz w:val="16"/>
                <w:szCs w:val="16"/>
                <w:b w:val="1"/>
                <w:bCs w:val="1"/>
                <w:color w:val="00497F"/>
              </w:rPr>
              <w:t>2024</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2023</w:t>
            </w:r>
          </w:p>
        </w:tc>
      </w:tr>
      <w:tr>
        <w:trPr>
          <w:trHeight w:val="200"/>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100" w:type="dxa"/>
            <w:vAlign w:val="bottom"/>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5"/>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900" w:type="dxa"/>
            <w:vAlign w:val="bottom"/>
            <w:shd w:val="clear" w:color="auto" w:fill="DBDBDB"/>
          </w:tcPr>
          <w:p>
            <w:pPr>
              <w:jc w:val="right"/>
              <w:ind w:right="722"/>
              <w:spacing w:after="0"/>
              <w:rPr>
                <w:sz w:val="20"/>
                <w:szCs w:val="20"/>
                <w:color w:val="auto"/>
              </w:rPr>
            </w:pPr>
            <w:r>
              <w:rPr>
                <w:rFonts w:ascii="Arial" w:cs="Arial" w:eastAsia="Arial" w:hAnsi="Arial"/>
                <w:sz w:val="16"/>
                <w:szCs w:val="16"/>
                <w:color w:val="00497F"/>
                <w:w w:val="89"/>
              </w:rPr>
              <w:t>$</w:t>
            </w:r>
          </w:p>
        </w:tc>
        <w:tc>
          <w:tcPr>
            <w:tcW w:w="5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0497F"/>
                <w:w w:val="99"/>
              </w:rPr>
              <w:t>760.9</w:t>
            </w:r>
          </w:p>
        </w:tc>
        <w:tc>
          <w:tcPr>
            <w:tcW w:w="58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0497F"/>
                <w:w w:val="89"/>
              </w:rPr>
              <w:t>$</w:t>
            </w:r>
          </w:p>
        </w:tc>
        <w:tc>
          <w:tcPr>
            <w:tcW w:w="122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0497F"/>
              </w:rPr>
              <w:t>2,875.5</w:t>
            </w:r>
          </w:p>
        </w:tc>
        <w:tc>
          <w:tcPr>
            <w:tcW w:w="500" w:type="dxa"/>
            <w:vAlign w:val="bottom"/>
            <w:gridSpan w:val="2"/>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1,547.2</w:t>
            </w:r>
          </w:p>
        </w:tc>
      </w:tr>
      <w:tr>
        <w:trPr>
          <w:trHeight w:val="207"/>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0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(18.6)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(652.3)</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(799.2)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(4,101.0)</w:t>
            </w:r>
          </w:p>
        </w:tc>
      </w:tr>
      <w:tr>
        <w:trPr>
          <w:trHeight w:val="208"/>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900" w:type="dxa"/>
            <w:vAlign w:val="bottom"/>
            <w:tcBorders>
              <w:bottom w:val="single" w:sz="8" w:color="auto"/>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00497F"/>
              </w:rPr>
              <w:t>7.9</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(683.5)</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w:t>
            </w:r>
          </w:p>
        </w:tc>
      </w:tr>
      <w:tr>
        <w:trPr>
          <w:trHeight w:val="233"/>
        </w:trPr>
        <w:tc>
          <w:tcPr>
            <w:tcW w:w="5540" w:type="dxa"/>
            <w:vAlign w:val="bottom"/>
            <w:gridSpan w:val="2"/>
          </w:tcPr>
          <w:p>
            <w:pPr>
              <w:ind w:left="220"/>
              <w:spacing w:after="0"/>
              <w:rPr>
                <w:sz w:val="20"/>
                <w:szCs w:val="20"/>
                <w:color w:val="auto"/>
              </w:rPr>
            </w:pPr>
            <w:r>
              <w:rPr>
                <w:rFonts w:ascii="Arial" w:cs="Arial" w:eastAsia="Arial" w:hAnsi="Arial"/>
                <w:sz w:val="16"/>
                <w:szCs w:val="16"/>
                <w:color w:val="auto"/>
              </w:rPr>
              <w:t>Net increase (decrease) in cash and cash equivalents</w:t>
            </w:r>
          </w:p>
        </w:tc>
        <w:tc>
          <w:tcPr>
            <w:tcW w:w="900" w:type="dxa"/>
            <w:vAlign w:val="bottom"/>
            <w:tcBorders>
              <w:bottom w:val="single" w:sz="8" w:color="auto"/>
            </w:tcBorders>
            <w:shd w:val="clear" w:color="auto" w:fill="DBDBDB"/>
          </w:tcPr>
          <w:p>
            <w:pPr>
              <w:jc w:val="right"/>
              <w:ind w:right="722"/>
              <w:spacing w:after="0"/>
              <w:rPr>
                <w:sz w:val="20"/>
                <w:szCs w:val="20"/>
                <w:color w:val="auto"/>
              </w:rPr>
            </w:pPr>
            <w:r>
              <w:rPr>
                <w:rFonts w:ascii="Arial" w:cs="Arial" w:eastAsia="Arial" w:hAnsi="Arial"/>
                <w:sz w:val="16"/>
                <w:szCs w:val="16"/>
                <w:color w:val="00497F"/>
                <w:w w:val="89"/>
              </w:rPr>
              <w:t>$</w:t>
            </w:r>
          </w:p>
        </w:tc>
        <w:tc>
          <w:tcPr>
            <w:tcW w:w="5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00497F"/>
                <w:w w:val="99"/>
              </w:rPr>
              <w:t>750.2</w:t>
            </w:r>
          </w:p>
        </w:tc>
        <w:tc>
          <w:tcPr>
            <w:tcW w:w="80" w:type="dxa"/>
            <w:vAlign w:val="bottom"/>
          </w:tcPr>
          <w:p>
            <w:pPr>
              <w:spacing w:after="0"/>
              <w:rPr>
                <w:sz w:val="20"/>
                <w:szCs w:val="20"/>
                <w:color w:val="auto"/>
              </w:rPr>
            </w:pPr>
          </w:p>
        </w:tc>
        <w:tc>
          <w:tcPr>
            <w:tcW w:w="5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(1,285.9)</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00497F"/>
                <w:w w:val="89"/>
              </w:rPr>
              <w:t>$</w:t>
            </w:r>
          </w:p>
        </w:tc>
        <w:tc>
          <w:tcPr>
            <w:tcW w:w="122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00497F"/>
              </w:rPr>
              <w:t>1,392.8</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(2,404.5)</w:t>
            </w:r>
          </w:p>
        </w:tc>
      </w:tr>
      <w:tr>
        <w:trPr>
          <w:trHeight w:val="438"/>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900" w:type="dxa"/>
            <w:vAlign w:val="bottom"/>
            <w:shd w:val="clear" w:color="auto" w:fill="DBDBDB"/>
          </w:tcPr>
          <w:p>
            <w:pPr>
              <w:jc w:val="right"/>
              <w:ind w:right="722"/>
              <w:spacing w:after="0"/>
              <w:rPr>
                <w:sz w:val="20"/>
                <w:szCs w:val="20"/>
                <w:color w:val="auto"/>
              </w:rPr>
            </w:pPr>
            <w:r>
              <w:rPr>
                <w:rFonts w:ascii="Arial" w:cs="Arial" w:eastAsia="Arial" w:hAnsi="Arial"/>
                <w:sz w:val="16"/>
                <w:szCs w:val="16"/>
                <w:color w:val="00497F"/>
                <w:w w:val="89"/>
              </w:rPr>
              <w:t>$</w:t>
            </w:r>
          </w:p>
        </w:tc>
        <w:tc>
          <w:tcPr>
            <w:tcW w:w="5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0497F"/>
                <w:w w:val="99"/>
              </w:rPr>
              <w:t>760.9</w:t>
            </w:r>
          </w:p>
        </w:tc>
        <w:tc>
          <w:tcPr>
            <w:tcW w:w="58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4"/>
                <w:szCs w:val="24"/>
                <w:color w:val="auto"/>
              </w:rPr>
            </w:pPr>
          </w:p>
        </w:tc>
        <w:tc>
          <w:tcPr>
            <w:tcW w:w="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0497F"/>
                <w:w w:val="89"/>
              </w:rPr>
              <w:t>$</w:t>
            </w:r>
          </w:p>
        </w:tc>
        <w:tc>
          <w:tcPr>
            <w:tcW w:w="122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0497F"/>
              </w:rPr>
              <w:t>2,875.5</w:t>
            </w:r>
          </w:p>
        </w:tc>
        <w:tc>
          <w:tcPr>
            <w:tcW w:w="500" w:type="dxa"/>
            <w:vAlign w:val="bottom"/>
            <w:gridSpan w:val="2"/>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1,547.2</w:t>
            </w:r>
          </w:p>
        </w:tc>
      </w:tr>
      <w:tr>
        <w:trPr>
          <w:trHeight w:val="208"/>
        </w:trPr>
        <w:tc>
          <w:tcPr>
            <w:tcW w:w="5540" w:type="dxa"/>
            <w:vAlign w:val="bottom"/>
            <w:gridSpan w:val="2"/>
          </w:tcPr>
          <w:p>
            <w:pPr>
              <w:ind w:left="220"/>
              <w:spacing w:after="0"/>
              <w:rPr>
                <w:sz w:val="20"/>
                <w:szCs w:val="20"/>
                <w:color w:val="auto"/>
              </w:rPr>
            </w:pPr>
            <w:r>
              <w:rPr>
                <w:rFonts w:ascii="Arial" w:cs="Arial" w:eastAsia="Arial" w:hAnsi="Arial"/>
                <w:sz w:val="16"/>
                <w:szCs w:val="16"/>
                <w:color w:val="auto"/>
              </w:rPr>
              <w:t>Less: Purchases of property, plant and equipment</w:t>
            </w:r>
          </w:p>
        </w:tc>
        <w:tc>
          <w:tcPr>
            <w:tcW w:w="900" w:type="dxa"/>
            <w:vAlign w:val="bottom"/>
            <w:tcBorders>
              <w:bottom w:val="single" w:sz="8" w:color="auto"/>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00497F"/>
              </w:rPr>
              <w:t>39.3</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00497F"/>
              </w:rPr>
              <w:t>153.7</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277.0</w:t>
            </w:r>
          </w:p>
        </w:tc>
      </w:tr>
      <w:tr>
        <w:trPr>
          <w:trHeight w:val="221"/>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900" w:type="dxa"/>
            <w:vAlign w:val="bottom"/>
            <w:shd w:val="clear" w:color="auto" w:fill="DBDBDB"/>
          </w:tcPr>
          <w:p>
            <w:pPr>
              <w:jc w:val="right"/>
              <w:ind w:right="722"/>
              <w:spacing w:after="0"/>
              <w:rPr>
                <w:sz w:val="20"/>
                <w:szCs w:val="20"/>
                <w:color w:val="auto"/>
              </w:rPr>
            </w:pPr>
            <w:r>
              <w:rPr>
                <w:rFonts w:ascii="Arial" w:cs="Arial" w:eastAsia="Arial" w:hAnsi="Arial"/>
                <w:sz w:val="16"/>
                <w:szCs w:val="16"/>
                <w:color w:val="00497F"/>
                <w:w w:val="89"/>
              </w:rPr>
              <w:t>$</w:t>
            </w:r>
          </w:p>
        </w:tc>
        <w:tc>
          <w:tcPr>
            <w:tcW w:w="5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0497F"/>
                <w:w w:val="99"/>
              </w:rPr>
              <w:t>721.6</w:t>
            </w:r>
          </w:p>
        </w:tc>
        <w:tc>
          <w:tcPr>
            <w:tcW w:w="58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0497F"/>
                <w:w w:val="89"/>
              </w:rPr>
              <w:t>$</w:t>
            </w:r>
          </w:p>
        </w:tc>
        <w:tc>
          <w:tcPr>
            <w:tcW w:w="122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0497F"/>
              </w:rPr>
              <w:t>2,721.8</w:t>
            </w:r>
          </w:p>
        </w:tc>
        <w:tc>
          <w:tcPr>
            <w:tcW w:w="500" w:type="dxa"/>
            <w:vAlign w:val="bottom"/>
            <w:gridSpan w:val="2"/>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1,270.2</w:t>
            </w: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16</w:t>
      </w:r>
    </w:p>
    <w:p>
      <w:pPr>
        <w:sectPr>
          <w:pgSz w:w="11900" w:h="16838" w:orient="portrait"/>
          <w:cols w:equalWidth="0" w:num="1">
            <w:col w:w="11240"/>
          </w:cols>
          <w:pgMar w:left="320" w:top="1019" w:right="339" w:bottom="1440" w:gutter="0" w:footer="0" w:header="0"/>
        </w:sectPr>
      </w:pPr>
    </w:p>
    <w:bookmarkStart w:id="19" w:name="page20"/>
    <w:bookmarkEnd w:id="19"/>
    <w:p>
      <w:pPr>
        <w:ind w:left="4080"/>
        <w:spacing w:after="0"/>
        <w:rPr>
          <w:sz w:val="20"/>
          <w:szCs w:val="20"/>
          <w:color w:val="auto"/>
        </w:rPr>
      </w:pPr>
      <w:r>
        <w:rPr>
          <w:rFonts w:ascii="Arial" w:cs="Arial" w:eastAsia="Arial" w:hAnsi="Arial"/>
          <w:sz w:val="21"/>
          <w:szCs w:val="21"/>
          <w:b w:val="1"/>
          <w:bCs w:val="1"/>
          <w:color w:val="2573BA"/>
        </w:rPr>
        <w:t>Use of Non-GAAP Financial Measures</w:t>
      </w:r>
    </w:p>
    <w:p>
      <w:pPr>
        <w:spacing w:after="0" w:line="156" w:lineRule="exact"/>
        <w:rPr>
          <w:sz w:val="20"/>
          <w:szCs w:val="20"/>
          <w:color w:val="auto"/>
        </w:rPr>
      </w:pPr>
    </w:p>
    <w:p>
      <w:pPr>
        <w:jc w:val="both"/>
        <w:ind w:right="280"/>
        <w:spacing w:after="0" w:line="272" w:lineRule="auto"/>
        <w:rPr>
          <w:sz w:val="20"/>
          <w:szCs w:val="20"/>
          <w:color w:val="auto"/>
        </w:rPr>
      </w:pPr>
      <w:r>
        <w:rPr>
          <w:rFonts w:ascii="Arial" w:cs="Arial" w:eastAsia="Arial" w:hAnsi="Arial"/>
          <w:sz w:val="17"/>
          <w:szCs w:val="17"/>
          <w:color w:val="auto"/>
        </w:rPr>
        <w:t>We supplement our GAAP consolidated financial statements and GAAP financial measures with other financial measures, such as adjusted net income, adjusted diluted earnings per share, revenue change at constant currency, which excludes the impact of changes in foreign exchange rates and hedging gains or losses, and free cash flow, which is defined as net cash flow from operations less capital expenditures.</w:t>
      </w:r>
    </w:p>
    <w:p>
      <w:pPr>
        <w:spacing w:after="0" w:line="11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p>
      <w:pPr>
        <w:spacing w:after="0" w:line="112"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Our “Non-GAAP net income attributable to Biogen Inc.” and “Non-GAAP earnings per share - Diluted” financial measures exclude the following items from “GAAP net income attributable to Biogen Inc.” and “GAAP earnings per share - Diluted”: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 Acquisitions and divestitures</w:t>
      </w:r>
    </w:p>
    <w:p>
      <w:pPr>
        <w:spacing w:after="0" w:line="5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exclude transaction, integration and certain other costs related to the acquisition and divestiture of businesses/commercial assets and items associated with the initial consolidation or deconsolidation of variable interest entities. These adjustments include, but are not limited to, the amortization of inventory fair value step-up, amortization and impairment of intangible assets, charges or credits from the fair value remeasurement of our contingent consideration obligations and losses on assets and liabilities held for sale.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 Restructuring, business transformation and other cost saving initiatives</w:t>
      </w:r>
    </w:p>
    <w:p>
      <w:pPr>
        <w:spacing w:after="0" w:line="6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We exclude costs associated with our execution of certain strategies and initiatives to streamline operations, achieve targeted cost reductions, rationalize manufacturing facilities or refocus research and development activities. These costs may include employee separation costs, retention bonuses, facility closing/abandonment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3. (Gain) loss on equity security investments</w:t>
      </w:r>
    </w:p>
    <w:p>
      <w:pPr>
        <w:spacing w:after="0" w:line="50"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We exclude unrealized and realized gains and losses related to our equity security investments as we do not believe that these components of income or expense have a direct correlation to our ongoing or future business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4. Other items</w:t>
      </w:r>
    </w:p>
    <w:p>
      <w:pPr>
        <w:spacing w:after="0" w:line="5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evaluate other items of income and expense on an individual basis and consider both the quantitative and qualitative aspects of the item, including (i) 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earnings per share - diluted.</w:t>
      </w: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447260"/>
        </w:rPr>
        <w:t>17</w:t>
      </w:r>
    </w:p>
    <w:sectPr>
      <w:pgSz w:w="11900" w:h="16838" w:orient="portrait"/>
      <w:cols w:equalWidth="0" w:num="1">
        <w:col w:w="11200"/>
      </w:cols>
      <w:pgMar w:left="320" w:top="96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4"/>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2025-02-12T06:12:20Z</dcterms:created>
  <dcterms:modified xsi:type="dcterms:W3CDTF">2025-02-12T06:12:20Z</dcterms:modified>
</cp:coreProperties>
</file>