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5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4180" w:right="1600" w:hanging="4055"/>
        <w:spacing w:after="0" w:line="400" w:lineRule="auto"/>
        <w:tabs>
          <w:tab w:leader="none" w:pos="381"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-123190</wp:posOffset>
            </wp:positionV>
            <wp:extent cx="934085"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368935"/>
                    </a:xfrm>
                    <a:prstGeom prst="rect">
                      <a:avLst/>
                    </a:prstGeom>
                    <a:noFill/>
                  </pic:spPr>
                </pic:pic>
              </a:graphicData>
            </a:graphic>
          </wp:anchor>
        </w:drawing>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BIOGEN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jc w:val="center"/>
              <w:ind w:left="553"/>
              <w:spacing w:after="0"/>
              <w:rPr>
                <w:sz w:val="20"/>
                <w:szCs w:val="20"/>
                <w:color w:val="auto"/>
              </w:rPr>
            </w:pPr>
            <w:r>
              <w:rPr>
                <w:rFonts w:ascii="Arial" w:cs="Arial" w:eastAsia="Arial" w:hAnsi="Arial"/>
                <w:sz w:val="18"/>
                <w:szCs w:val="18"/>
                <w:b w:val="1"/>
                <w:bCs w:val="1"/>
                <w:color w:val="auto"/>
                <w:w w:val="98"/>
              </w:rPr>
              <w:t>Delaware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jc w:val="right"/>
              <w:ind w:right="1575"/>
              <w:spacing w:after="0"/>
              <w:rPr>
                <w:sz w:val="20"/>
                <w:szCs w:val="20"/>
                <w:color w:val="auto"/>
              </w:rPr>
            </w:pPr>
            <w:r>
              <w:rPr>
                <w:rFonts w:ascii="Arial" w:cs="Arial" w:eastAsia="Arial" w:hAnsi="Arial"/>
                <w:sz w:val="18"/>
                <w:szCs w:val="18"/>
                <w:b w:val="1"/>
                <w:bCs w:val="1"/>
                <w:color w:val="auto"/>
              </w:rPr>
              <w:t>33-0112644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6160" w:type="dxa"/>
            <w:vAlign w:val="bottom"/>
            <w:gridSpan w:val="7"/>
          </w:tcPr>
          <w:p>
            <w:pPr>
              <w:jc w:val="center"/>
              <w:ind w:right="1220"/>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4100" w:type="dxa"/>
            <w:vAlign w:val="bottom"/>
          </w:tcPr>
          <w:p>
            <w:pPr>
              <w:jc w:val="center"/>
              <w:ind w:right="75"/>
              <w:spacing w:after="0"/>
              <w:rPr>
                <w:sz w:val="20"/>
                <w:szCs w:val="20"/>
                <w:color w:val="auto"/>
              </w:rPr>
            </w:pPr>
            <w:r>
              <w:rPr>
                <w:rFonts w:ascii="Arial" w:cs="Arial" w:eastAsia="Arial" w:hAnsi="Arial"/>
                <w:sz w:val="14"/>
                <w:szCs w:val="14"/>
                <w:i w:val="1"/>
                <w:iCs w:val="1"/>
                <w:color w:val="auto"/>
              </w:rPr>
              <w:t>(I.R.S. Employer Identification No.)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86"/>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800" w:type="dxa"/>
            <w:vAlign w:val="bottom"/>
            <w:gridSpan w:val="6"/>
          </w:tcPr>
          <w:p>
            <w:pPr>
              <w:jc w:val="center"/>
              <w:ind w:right="3035"/>
              <w:spacing w:after="0"/>
              <w:rPr>
                <w:sz w:val="20"/>
                <w:szCs w:val="20"/>
                <w:color w:val="auto"/>
              </w:rPr>
            </w:pPr>
            <w:r>
              <w:rPr>
                <w:rFonts w:ascii="Arial" w:cs="Arial" w:eastAsia="Arial" w:hAnsi="Arial"/>
                <w:sz w:val="18"/>
                <w:szCs w:val="18"/>
                <w:b w:val="1"/>
                <w:bCs w:val="1"/>
                <w:color w:val="auto"/>
                <w:w w:val="99"/>
              </w:rPr>
              <w:t>225 Binney Street, Cambridge, MA 02142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700" w:type="dxa"/>
            <w:vAlign w:val="bottom"/>
            <w:gridSpan w:val="5"/>
          </w:tcPr>
          <w:p>
            <w:pPr>
              <w:jc w:val="center"/>
              <w:ind w:left="890"/>
              <w:spacing w:after="0"/>
              <w:rPr>
                <w:sz w:val="20"/>
                <w:szCs w:val="20"/>
                <w:color w:val="auto"/>
              </w:rPr>
            </w:pPr>
            <w:r>
              <w:rPr>
                <w:rFonts w:ascii="Arial" w:cs="Arial" w:eastAsia="Arial" w:hAnsi="Arial"/>
                <w:sz w:val="18"/>
                <w:szCs w:val="18"/>
                <w:b w:val="1"/>
                <w:bCs w:val="1"/>
                <w:color w:val="auto"/>
              </w:rPr>
              <w:t>(617) 679-2000</w:t>
            </w:r>
          </w:p>
        </w:tc>
        <w:tc>
          <w:tcPr>
            <w:tcW w:w="4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80"/>
        </w:trPr>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20" w:type="dxa"/>
            <w:vAlign w:val="bottom"/>
            <w:gridSpan w:val="7"/>
          </w:tcPr>
          <w:p>
            <w:pPr>
              <w:jc w:val="center"/>
              <w:ind w:right="415"/>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9"/>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20" w:type="dxa"/>
            <w:vAlign w:val="bottom"/>
            <w:gridSpan w:val="7"/>
          </w:tcPr>
          <w:p>
            <w:pPr>
              <w:jc w:val="center"/>
              <w:ind w:right="395"/>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9"/>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20" w:type="dxa"/>
            <w:vAlign w:val="bottom"/>
          </w:tcPr>
          <w:p>
            <w:pPr>
              <w:jc w:val="center"/>
              <w:ind w:right="373"/>
              <w:spacing w:after="0"/>
              <w:rPr>
                <w:sz w:val="20"/>
                <w:szCs w:val="20"/>
                <w:color w:val="auto"/>
              </w:rPr>
            </w:pPr>
            <w:r>
              <w:rPr>
                <w:rFonts w:ascii="Arial" w:cs="Arial" w:eastAsia="Arial" w:hAnsi="Arial"/>
                <w:sz w:val="18"/>
                <w:szCs w:val="18"/>
                <w:b w:val="1"/>
                <w:bCs w:val="1"/>
                <w:color w:val="auto"/>
                <w:w w:val="99"/>
              </w:rPr>
              <w:t>Title of Each Class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Trading Symbol(s)</w:t>
            </w:r>
          </w:p>
        </w:tc>
        <w:tc>
          <w:tcPr>
            <w:tcW w:w="4100" w:type="dxa"/>
            <w:vAlign w:val="bottom"/>
          </w:tcPr>
          <w:p>
            <w:pPr>
              <w:ind w:left="240"/>
              <w:spacing w:after="0"/>
              <w:rPr>
                <w:sz w:val="20"/>
                <w:szCs w:val="20"/>
                <w:color w:val="auto"/>
              </w:rPr>
            </w:pPr>
            <w:r>
              <w:rPr>
                <w:rFonts w:ascii="Arial" w:cs="Arial" w:eastAsia="Arial" w:hAnsi="Arial"/>
                <w:sz w:val="18"/>
                <w:szCs w:val="18"/>
                <w:b w:val="1"/>
                <w:bCs w:val="1"/>
                <w:color w:val="auto"/>
              </w:rPr>
              <w:t>Name of Each Exchange Where Registered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320" w:type="dxa"/>
            <w:vAlign w:val="bottom"/>
          </w:tcPr>
          <w:p>
            <w:pPr>
              <w:spacing w:after="0"/>
              <w:rPr>
                <w:sz w:val="20"/>
                <w:szCs w:val="20"/>
                <w:color w:val="auto"/>
              </w:rPr>
            </w:pPr>
          </w:p>
        </w:tc>
        <w:tc>
          <w:tcPr>
            <w:tcW w:w="3460" w:type="dxa"/>
            <w:vAlign w:val="bottom"/>
            <w:tcBorders>
              <w:top w:val="single" w:sz="8" w:color="auto"/>
            </w:tcBorders>
            <w:gridSpan w:val="2"/>
          </w:tcPr>
          <w:p>
            <w:pPr>
              <w:jc w:val="center"/>
              <w:ind w:left="295"/>
              <w:spacing w:after="0"/>
              <w:rPr>
                <w:sz w:val="20"/>
                <w:szCs w:val="20"/>
                <w:color w:val="auto"/>
              </w:rPr>
            </w:pPr>
            <w:r>
              <w:rPr>
                <w:rFonts w:ascii="Arial" w:cs="Arial" w:eastAsia="Arial" w:hAnsi="Arial"/>
                <w:sz w:val="18"/>
                <w:szCs w:val="18"/>
                <w:b w:val="1"/>
                <w:bCs w:val="1"/>
                <w:color w:val="auto"/>
              </w:rPr>
              <w:t>Common Stock, $0.0005 par value</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BIIB</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The Nasdaq Global Select Market</w:t>
            </w:r>
          </w:p>
        </w:tc>
        <w:tc>
          <w:tcPr>
            <w:tcW w:w="3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20" w:type="dxa"/>
            <w:vAlign w:val="bottom"/>
            <w:gridSpan w:val="7"/>
          </w:tcPr>
          <w:p>
            <w:pPr>
              <w:jc w:val="center"/>
              <w:ind w:right="395"/>
              <w:spacing w:after="0"/>
              <w:rPr>
                <w:sz w:val="20"/>
                <w:szCs w:val="20"/>
                <w:color w:val="auto"/>
              </w:rPr>
            </w:pPr>
            <w:r>
              <w:rPr>
                <w:rFonts w:ascii="Arial" w:cs="Arial" w:eastAsia="Arial" w:hAnsi="Arial"/>
                <w:sz w:val="18"/>
                <w:szCs w:val="18"/>
                <w:b w:val="1"/>
                <w:bCs w:val="1"/>
                <w:color w:val="auto"/>
                <w:w w:val="99"/>
              </w:rPr>
              <w:t>Securities registered pursuant to Section 12(g) of the Act: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4"/>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7"/>
              </w:rPr>
              <w:t>None</w:t>
            </w:r>
          </w:p>
        </w:tc>
        <w:tc>
          <w:tcPr>
            <w:tcW w:w="4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260" w:type="dxa"/>
            <w:vAlign w:val="bottom"/>
            <w:gridSpan w:val="8"/>
          </w:tcPr>
          <w:p>
            <w:pPr>
              <w:ind w:left="1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4"/>
              </w:rPr>
              <w:t>No o</w:t>
            </w:r>
          </w:p>
        </w:tc>
      </w:tr>
      <w:tr>
        <w:trPr>
          <w:trHeight w:val="175"/>
        </w:trPr>
        <w:tc>
          <w:tcPr>
            <w:tcW w:w="320" w:type="dxa"/>
            <w:vAlign w:val="bottom"/>
          </w:tcPr>
          <w:p>
            <w:pPr>
              <w:spacing w:after="0"/>
              <w:rPr>
                <w:sz w:val="15"/>
                <w:szCs w:val="15"/>
                <w:color w:val="auto"/>
              </w:rPr>
            </w:pPr>
          </w:p>
        </w:tc>
        <w:tc>
          <w:tcPr>
            <w:tcW w:w="10260" w:type="dxa"/>
            <w:vAlign w:val="bottom"/>
            <w:gridSpan w:val="8"/>
          </w:tcPr>
          <w:p>
            <w:pPr>
              <w:ind w:left="140"/>
              <w:spacing w:after="0" w:line="176" w:lineRule="exact"/>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Act.  Yes o</w:t>
            </w:r>
          </w:p>
        </w:tc>
        <w:tc>
          <w:tcPr>
            <w:tcW w:w="2620" w:type="dxa"/>
            <w:vAlign w:val="bottom"/>
          </w:tcPr>
          <w:p>
            <w:pPr>
              <w:ind w:left="200"/>
              <w:spacing w:after="0"/>
              <w:rPr>
                <w:sz w:val="20"/>
                <w:szCs w:val="20"/>
                <w:color w:val="auto"/>
              </w:rPr>
            </w:pPr>
            <w:r>
              <w:rPr>
                <w:rFonts w:ascii="Arial" w:cs="Arial" w:eastAsia="Arial" w:hAnsi="Arial"/>
                <w:sz w:val="18"/>
                <w:szCs w:val="18"/>
                <w:color w:val="auto"/>
              </w:rPr>
              <w:t>No x</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ind w:right="240" w:firstLine="445"/>
        <w:spacing w:after="0" w:line="21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 w:lineRule="exact"/>
        <w:rPr>
          <w:sz w:val="24"/>
          <w:szCs w:val="24"/>
          <w:color w:val="auto"/>
        </w:rPr>
      </w:pPr>
    </w:p>
    <w:p>
      <w:pPr>
        <w:ind w:firstLine="445"/>
        <w:spacing w:after="0" w:line="215"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w:t>
      </w:r>
    </w:p>
    <w:p>
      <w:pPr>
        <w:spacing w:after="0" w:line="1" w:lineRule="exact"/>
        <w:rPr>
          <w:sz w:val="24"/>
          <w:szCs w:val="24"/>
          <w:color w:val="auto"/>
        </w:rPr>
      </w:pPr>
    </w:p>
    <w:p>
      <w:pPr>
        <w:spacing w:after="0"/>
        <w:tabs>
          <w:tab w:leader="none" w:pos="2540" w:val="left"/>
          <w:tab w:leader="none" w:pos="3360" w:val="left"/>
        </w:tabs>
        <w:rPr>
          <w:sz w:val="20"/>
          <w:szCs w:val="20"/>
          <w:color w:val="auto"/>
        </w:rPr>
      </w:pPr>
      <w:r>
        <w:rPr>
          <w:rFonts w:ascii="Arial" w:cs="Arial" w:eastAsia="Arial" w:hAnsi="Arial"/>
          <w:sz w:val="18"/>
          <w:szCs w:val="18"/>
          <w:color w:val="auto"/>
        </w:rPr>
        <w:t>required to submit such files).</w:t>
        <w:tab/>
        <w:t>Yes x</w:t>
      </w:r>
      <w:r>
        <w:rPr>
          <w:sz w:val="20"/>
          <w:szCs w:val="20"/>
          <w:color w:val="auto"/>
        </w:rPr>
        <w:tab/>
      </w:r>
      <w:r>
        <w:rPr>
          <w:rFonts w:ascii="Arial" w:cs="Arial" w:eastAsia="Arial" w:hAnsi="Arial"/>
          <w:sz w:val="17"/>
          <w:szCs w:val="17"/>
          <w:color w:val="auto"/>
        </w:rPr>
        <w:t>No o</w:t>
      </w:r>
    </w:p>
    <w:p>
      <w:pPr>
        <w:spacing w:after="0" w:line="23" w:lineRule="exact"/>
        <w:rPr>
          <w:sz w:val="24"/>
          <w:szCs w:val="24"/>
          <w:color w:val="auto"/>
        </w:rPr>
      </w:pPr>
    </w:p>
    <w:p>
      <w:pPr>
        <w:ind w:right="420" w:firstLine="445"/>
        <w:spacing w:after="0" w:line="21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x</w:t>
      </w:r>
    </w:p>
    <w:p>
      <w:pPr>
        <w:sectPr>
          <w:pgSz w:w="11900" w:h="16838" w:orient="portrait"/>
          <w:cols w:equalWidth="0" w:num="1">
            <w:col w:w="11220"/>
          </w:cols>
          <w:pgMar w:left="320" w:top="798" w:right="359" w:bottom="1440" w:gutter="0" w:footer="0" w:header="0"/>
        </w:sectPr>
      </w:pPr>
    </w:p>
    <w:p>
      <w:pPr>
        <w:spacing w:after="0" w:line="54" w:lineRule="exact"/>
        <w:rPr>
          <w:sz w:val="24"/>
          <w:szCs w:val="24"/>
          <w:color w:val="auto"/>
        </w:rPr>
      </w:pPr>
    </w:p>
    <w:p>
      <w:pPr>
        <w:ind w:left="20" w:right="200"/>
        <w:spacing w:after="0" w:line="357"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ind w:left="860"/>
        <w:spacing w:after="0" w:line="211"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20"/>
          <w:szCs w:val="20"/>
          <w:color w:val="auto"/>
        </w:rPr>
        <w:t>☐</w:t>
      </w:r>
    </w:p>
    <w:p>
      <w:pPr>
        <w:spacing w:after="0" w:line="61" w:lineRule="exact"/>
        <w:rPr>
          <w:sz w:val="24"/>
          <w:szCs w:val="24"/>
          <w:color w:val="auto"/>
        </w:rPr>
      </w:pPr>
    </w:p>
    <w:p>
      <w:pPr>
        <w:spacing w:after="0" w:line="230"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ind w:left="20"/>
        <w:spacing w:after="0" w:line="230"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20"/>
          <w:szCs w:val="20"/>
          <w:color w:val="auto"/>
        </w:rPr>
        <w:t>☐</w:t>
      </w:r>
    </w:p>
    <w:p>
      <w:pPr>
        <w:spacing w:after="0" w:line="100" w:lineRule="exact"/>
        <w:rPr>
          <w:sz w:val="24"/>
          <w:szCs w:val="24"/>
          <w:color w:val="auto"/>
        </w:rPr>
      </w:pPr>
    </w:p>
    <w:p>
      <w:pPr>
        <w:sectPr>
          <w:pgSz w:w="11900" w:h="16838" w:orient="portrait"/>
          <w:cols w:equalWidth="0" w:num="3">
            <w:col w:w="2000" w:space="720"/>
            <w:col w:w="5260" w:space="720"/>
            <w:col w:w="2520"/>
          </w:cols>
          <w:pgMar w:left="320" w:top="798" w:right="359" w:bottom="1440" w:gutter="0" w:footer="0" w:header="0"/>
          <w:type w:val="continuous"/>
        </w:sectPr>
      </w:pPr>
    </w:p>
    <w:p>
      <w:pPr>
        <w:ind w:right="600" w:firstLine="44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40" w:firstLine="405"/>
        <w:spacing w:after="0" w:line="22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left="460"/>
        <w:spacing w:after="0" w:line="207" w:lineRule="exact"/>
        <w:tabs>
          <w:tab w:leader="none" w:pos="8780" w:val="left"/>
          <w:tab w:leader="none" w:pos="96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9" w:lineRule="exact"/>
        <w:rPr>
          <w:sz w:val="24"/>
          <w:szCs w:val="24"/>
          <w:color w:val="auto"/>
        </w:rPr>
      </w:pPr>
    </w:p>
    <w:p>
      <w:pPr>
        <w:ind w:right="20" w:firstLine="445"/>
        <w:spacing w:after="0" w:line="219"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$51,264,577,902.</w:t>
      </w:r>
    </w:p>
    <w:p>
      <w:pPr>
        <w:spacing w:after="0" w:line="1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 2022, the registrant had 146,962,793 shares of common stock, $0.0005 par value, outstanding.</w:t>
      </w:r>
    </w:p>
    <w:p>
      <w:pPr>
        <w:spacing w:after="0" w:line="1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35" w:lineRule="exact"/>
        <w:rPr>
          <w:sz w:val="24"/>
          <w:szCs w:val="24"/>
          <w:color w:val="auto"/>
        </w:rPr>
      </w:pPr>
    </w:p>
    <w:p>
      <w:pPr>
        <w:ind w:right="40" w:firstLine="445"/>
        <w:spacing w:after="0" w:line="227" w:lineRule="auto"/>
        <w:rPr>
          <w:sz w:val="20"/>
          <w:szCs w:val="20"/>
          <w:color w:val="auto"/>
        </w:rPr>
      </w:pPr>
      <w:r>
        <w:rPr>
          <w:rFonts w:ascii="Arial" w:cs="Arial" w:eastAsia="Arial" w:hAnsi="Arial"/>
          <w:sz w:val="18"/>
          <w:szCs w:val="18"/>
          <w:color w:val="auto"/>
        </w:rPr>
        <w:t>Portions of the definitive proxy statement for our 2022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BIOGEN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For the Year Ended December 31,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578196"/>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vMerge w:val="restart"/>
          </w:tcPr>
          <w:p>
            <w:pPr>
              <w:jc w:val="center"/>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3660" w:type="dxa"/>
            <w:vAlign w:val="bottom"/>
            <w:gridSpan w:val="10"/>
            <w:vMerge w:val="restart"/>
          </w:tcPr>
          <w:p>
            <w:pPr>
              <w:spacing w:after="0"/>
              <w:rPr>
                <w:sz w:val="16"/>
                <w:szCs w:val="16"/>
                <w:color w:val="auto"/>
              </w:rPr>
            </w:pPr>
          </w:p>
        </w:tc>
        <w:tc>
          <w:tcPr>
            <w:tcW w:w="1680" w:type="dxa"/>
            <w:vAlign w:val="bottom"/>
            <w:gridSpan w:val="6"/>
          </w:tcPr>
          <w:p>
            <w:pPr>
              <w:ind w:left="6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3660" w:type="dxa"/>
            <w:vAlign w:val="bottom"/>
            <w:gridSpan w:val="10"/>
            <w:vMerge w:val="continue"/>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Item 1.</w:t>
              </w:r>
            </w:hyperlink>
          </w:p>
        </w:tc>
        <w:tc>
          <w:tcPr>
            <w:tcW w:w="540" w:type="dxa"/>
            <w:vAlign w:val="bottom"/>
            <w:gridSpan w:val="3"/>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Item 1A.</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Item 1B.</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Unresolved Staff Comments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5">
              <w:r>
                <w:rPr>
                  <w:rFonts w:ascii="Arial" w:cs="Arial" w:eastAsia="Arial" w:hAnsi="Arial"/>
                  <w:sz w:val="18"/>
                  <w:szCs w:val="18"/>
                  <w:color w:val="0000FF"/>
                  <w:w w:val="98"/>
                </w:rPr>
                <w:t>Item 2.</w:t>
              </w:r>
            </w:hyperlink>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Properties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Item 3.</w:t>
              </w:r>
            </w:hyperlink>
          </w:p>
        </w:tc>
        <w:tc>
          <w:tcPr>
            <w:tcW w:w="540" w:type="dxa"/>
            <w:vAlign w:val="bottom"/>
            <w:gridSpan w:val="3"/>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6">
              <w:r>
                <w:rPr>
                  <w:rFonts w:ascii="Arial" w:cs="Arial" w:eastAsia="Arial" w:hAnsi="Arial"/>
                  <w:sz w:val="18"/>
                  <w:szCs w:val="18"/>
                  <w:color w:val="0000FF"/>
                  <w:w w:val="98"/>
                </w:rPr>
                <w:t>Item 4.</w:t>
              </w:r>
            </w:hyperlink>
          </w:p>
        </w:tc>
        <w:tc>
          <w:tcPr>
            <w:tcW w:w="540" w:type="dxa"/>
            <w:vAlign w:val="bottom"/>
            <w:gridSpan w:val="3"/>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4"/>
          </w:tcPr>
          <w:p>
            <w:pPr>
              <w:jc w:val="center"/>
              <w:ind w:right="3640"/>
              <w:spacing w:after="0"/>
              <w:rPr>
                <w:rFonts w:ascii="Arial" w:cs="Arial" w:eastAsia="Arial" w:hAnsi="Arial"/>
                <w:sz w:val="18"/>
                <w:szCs w:val="18"/>
                <w:b w:val="1"/>
                <w:bCs w:val="1"/>
                <w:color w:val="0000FF"/>
                <w:w w:val="96"/>
              </w:rPr>
            </w:pPr>
            <w:hyperlink w:anchor="page57">
              <w:r>
                <w:rPr>
                  <w:rFonts w:ascii="Arial" w:cs="Arial" w:eastAsia="Arial" w:hAnsi="Arial"/>
                  <w:sz w:val="18"/>
                  <w:szCs w:val="18"/>
                  <w:b w:val="1"/>
                  <w:bCs w:val="1"/>
                  <w:color w:val="0000FF"/>
                  <w:w w:val="96"/>
                </w:rPr>
                <w:t>PART II</w:t>
              </w:r>
            </w:hyperlink>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5.</w:t>
              </w:r>
            </w:hyperlink>
          </w:p>
        </w:tc>
        <w:tc>
          <w:tcPr>
            <w:tcW w:w="8440" w:type="dxa"/>
            <w:vAlign w:val="bottom"/>
            <w:gridSpan w:val="3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Market for Registrant’s Common Equity, Related Stockholder Matters and Issuer Purchases of Equity</w:t>
              </w:r>
            </w:hyperlink>
          </w:p>
        </w:tc>
        <w:tc>
          <w:tcPr>
            <w:tcW w:w="1660" w:type="dxa"/>
            <w:vAlign w:val="bottom"/>
            <w:gridSpan w:val="5"/>
            <w:vMerge w:val="restart"/>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Securities</w:t>
              </w:r>
            </w:hyperlink>
          </w:p>
        </w:tc>
        <w:tc>
          <w:tcPr>
            <w:tcW w:w="400" w:type="dxa"/>
            <w:vAlign w:val="bottom"/>
          </w:tcPr>
          <w:p>
            <w:pPr>
              <w:spacing w:after="0"/>
              <w:rPr>
                <w:sz w:val="13"/>
                <w:szCs w:val="13"/>
                <w:color w:val="auto"/>
              </w:rPr>
            </w:pPr>
          </w:p>
        </w:tc>
        <w:tc>
          <w:tcPr>
            <w:tcW w:w="16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Item 6.</w:t>
              </w:r>
            </w:hyperlink>
          </w:p>
        </w:tc>
        <w:tc>
          <w:tcPr>
            <w:tcW w:w="540" w:type="dxa"/>
            <w:vAlign w:val="bottom"/>
            <w:gridSpan w:val="3"/>
          </w:tcPr>
          <w:p>
            <w:pPr>
              <w:spacing w:after="0"/>
              <w:rPr>
                <w:sz w:val="18"/>
                <w:szCs w:val="18"/>
                <w:color w:val="auto"/>
              </w:rPr>
            </w:pPr>
          </w:p>
        </w:tc>
        <w:tc>
          <w:tcPr>
            <w:tcW w:w="760" w:type="dxa"/>
            <w:vAlign w:val="bottom"/>
            <w:gridSpan w:val="3"/>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Reserved</w:t>
              </w:r>
            </w:hyperlink>
          </w:p>
        </w:tc>
        <w:tc>
          <w:tcPr>
            <w:tcW w:w="7680" w:type="dxa"/>
            <w:vAlign w:val="bottom"/>
            <w:gridSpan w:val="28"/>
          </w:tcPr>
          <w:p>
            <w:pPr>
              <w:spacing w:after="0"/>
              <w:rPr>
                <w:sz w:val="18"/>
                <w:szCs w:val="18"/>
                <w:color w:val="auto"/>
              </w:rPr>
            </w:pPr>
          </w:p>
        </w:tc>
        <w:tc>
          <w:tcPr>
            <w:tcW w:w="1660" w:type="dxa"/>
            <w:vAlign w:val="bottom"/>
            <w:gridSpan w:val="5"/>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Item 7.</w:t>
              </w:r>
            </w:hyperlink>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Management’s Discussion and Analysis of Financial Condition and Results of Operations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60">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91">
              <w:r>
                <w:rPr>
                  <w:rFonts w:ascii="Arial" w:cs="Arial" w:eastAsia="Arial" w:hAnsi="Arial"/>
                  <w:sz w:val="18"/>
                  <w:szCs w:val="18"/>
                  <w:color w:val="0000FF"/>
                  <w:w w:val="92"/>
                </w:rPr>
                <w:t>Item 7A.</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Quantitative and Qualitative Disclosures About Market Risk</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1">
              <w:r>
                <w:rPr>
                  <w:rFonts w:ascii="Arial" w:cs="Arial" w:eastAsia="Arial" w:hAnsi="Arial"/>
                  <w:sz w:val="18"/>
                  <w:szCs w:val="18"/>
                  <w:color w:val="0000FF"/>
                </w:rPr>
                <w:t>87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92">
              <w:r>
                <w:rPr>
                  <w:rFonts w:ascii="Arial" w:cs="Arial" w:eastAsia="Arial" w:hAnsi="Arial"/>
                  <w:sz w:val="18"/>
                  <w:szCs w:val="18"/>
                  <w:color w:val="0000FF"/>
                  <w:w w:val="98"/>
                </w:rPr>
                <w:t>Item 8.</w:t>
              </w:r>
            </w:hyperlink>
          </w:p>
        </w:tc>
        <w:tc>
          <w:tcPr>
            <w:tcW w:w="1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Financial Statements and Supplementary Data</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92">
              <w:r>
                <w:rPr>
                  <w:rFonts w:ascii="Arial" w:cs="Arial" w:eastAsia="Arial" w:hAnsi="Arial"/>
                  <w:sz w:val="18"/>
                  <w:szCs w:val="18"/>
                  <w:color w:val="0000FF"/>
                  <w:w w:val="98"/>
                </w:rPr>
                <w:t>Item 9.</w:t>
              </w:r>
            </w:hyperlink>
          </w:p>
        </w:tc>
        <w:tc>
          <w:tcPr>
            <w:tcW w:w="540" w:type="dxa"/>
            <w:vAlign w:val="bottom"/>
            <w:gridSpan w:val="3"/>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Changes in and Disagreements with Accountants on Accounting and Financial Disclosure</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2">
              <w:r>
                <w:rPr>
                  <w:rFonts w:ascii="Arial" w:cs="Arial" w:eastAsia="Arial" w:hAnsi="Arial"/>
                  <w:sz w:val="18"/>
                  <w:szCs w:val="18"/>
                  <w:color w:val="0000FF"/>
                </w:rPr>
                <w:t>89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Item 9A.</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Controls and Procedures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89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Item 9B.</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Other Information</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3">
              <w:r>
                <w:rPr>
                  <w:rFonts w:ascii="Arial" w:cs="Arial" w:eastAsia="Arial" w:hAnsi="Arial"/>
                  <w:sz w:val="18"/>
                  <w:szCs w:val="18"/>
                  <w:color w:val="0000FF"/>
                </w:rPr>
                <w:t>90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9C.</w:t>
              </w:r>
            </w:hyperlink>
          </w:p>
        </w:tc>
        <w:tc>
          <w:tcPr>
            <w:tcW w:w="8440" w:type="dxa"/>
            <w:vAlign w:val="bottom"/>
            <w:gridSpan w:val="3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Disclosure Regarding Foreign Jurisdictions that Prevent Inspections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4">
              <w:r>
                <w:rPr>
                  <w:rFonts w:ascii="Arial" w:cs="Arial" w:eastAsia="Arial" w:hAnsi="Arial"/>
                  <w:sz w:val="18"/>
                  <w:szCs w:val="18"/>
                  <w:color w:val="0000FF"/>
                </w:rPr>
                <w:t>90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gridSpan w:val="9"/>
          </w:tcPr>
          <w:p>
            <w:pPr>
              <w:jc w:val="center"/>
              <w:ind w:right="580"/>
              <w:spacing w:after="0"/>
              <w:rPr>
                <w:rFonts w:ascii="Arial" w:cs="Arial" w:eastAsia="Arial" w:hAnsi="Arial"/>
                <w:sz w:val="18"/>
                <w:szCs w:val="18"/>
                <w:b w:val="1"/>
                <w:bCs w:val="1"/>
                <w:color w:val="0000FF"/>
                <w:w w:val="95"/>
              </w:rPr>
            </w:pPr>
            <w:hyperlink w:anchor="page94">
              <w:r>
                <w:rPr>
                  <w:rFonts w:ascii="Arial" w:cs="Arial" w:eastAsia="Arial" w:hAnsi="Arial"/>
                  <w:sz w:val="18"/>
                  <w:szCs w:val="18"/>
                  <w:b w:val="1"/>
                  <w:bCs w:val="1"/>
                  <w:color w:val="0000FF"/>
                  <w:w w:val="95"/>
                </w:rPr>
                <w:t>PART III</w:t>
              </w:r>
            </w:hyperlink>
          </w:p>
        </w:tc>
        <w:tc>
          <w:tcPr>
            <w:tcW w:w="30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Item 10.</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Directors, Executive Officers and Corporate Governance</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Item 11.</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Executive Compensation</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Item 12.</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Security Ownership of Certain Beneficial Owners and Management and Related Stockholder Matters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Item 13.</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Certain Relationships and Related Transactions, and Director Independence</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5">
              <w:r>
                <w:rPr>
                  <w:rFonts w:ascii="Arial" w:cs="Arial" w:eastAsia="Arial" w:hAnsi="Arial"/>
                  <w:sz w:val="18"/>
                  <w:szCs w:val="18"/>
                  <w:color w:val="0000FF"/>
                  <w:w w:val="95"/>
                </w:rPr>
                <w:t>Item 14.</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Principal Accountant Fees and Services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5">
              <w:r>
                <w:rPr>
                  <w:rFonts w:ascii="Arial" w:cs="Arial" w:eastAsia="Arial" w:hAnsi="Arial"/>
                  <w:sz w:val="18"/>
                  <w:szCs w:val="18"/>
                  <w:color w:val="0000FF"/>
                </w:rPr>
                <w:t>91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bottom w:val="single" w:sz="8" w:color="0000FF"/>
            </w:tcBorders>
            <w:gridSpan w:val="9"/>
          </w:tcPr>
          <w:p>
            <w:pPr>
              <w:jc w:val="center"/>
              <w:spacing w:after="0"/>
              <w:rPr>
                <w:rFonts w:ascii="Arial" w:cs="Arial" w:eastAsia="Arial" w:hAnsi="Arial"/>
                <w:sz w:val="18"/>
                <w:szCs w:val="18"/>
                <w:b w:val="1"/>
                <w:bCs w:val="1"/>
                <w:color w:val="0000FF"/>
                <w:w w:val="98"/>
              </w:rPr>
            </w:pPr>
            <w:hyperlink w:anchor="page95">
              <w:r>
                <w:rPr>
                  <w:rFonts w:ascii="Arial" w:cs="Arial" w:eastAsia="Arial" w:hAnsi="Arial"/>
                  <w:sz w:val="18"/>
                  <w:szCs w:val="18"/>
                  <w:b w:val="1"/>
                  <w:bCs w:val="1"/>
                  <w:color w:val="0000FF"/>
                  <w:w w:val="98"/>
                </w:rPr>
                <w:t>PART IV</w:t>
              </w:r>
            </w:hyperlink>
          </w:p>
        </w:tc>
        <w:tc>
          <w:tcPr>
            <w:tcW w:w="360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Item 15.</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Exhibits and Financial Statement Schedules</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492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2"/>
          </w:tcPr>
          <w:p>
            <w:pPr>
              <w:spacing w:after="0"/>
              <w:rPr>
                <w:rFonts w:ascii="Arial" w:cs="Arial" w:eastAsia="Arial" w:hAnsi="Arial"/>
                <w:sz w:val="18"/>
                <w:szCs w:val="18"/>
                <w:color w:val="0000FF"/>
                <w:w w:val="95"/>
              </w:rPr>
            </w:pPr>
            <w:hyperlink w:anchor="page96">
              <w:r>
                <w:rPr>
                  <w:rFonts w:ascii="Arial" w:cs="Arial" w:eastAsia="Arial" w:hAnsi="Arial"/>
                  <w:sz w:val="18"/>
                  <w:szCs w:val="18"/>
                  <w:color w:val="0000FF"/>
                  <w:w w:val="95"/>
                </w:rPr>
                <w:t>Item 16.</w:t>
              </w:r>
            </w:hyperlink>
          </w:p>
        </w:tc>
        <w:tc>
          <w:tcPr>
            <w:tcW w:w="440" w:type="dxa"/>
            <w:vAlign w:val="bottom"/>
            <w:gridSpan w:val="2"/>
          </w:tcPr>
          <w:p>
            <w:pPr>
              <w:spacing w:after="0"/>
              <w:rPr>
                <w:sz w:val="18"/>
                <w:szCs w:val="18"/>
                <w:color w:val="auto"/>
              </w:rPr>
            </w:pPr>
          </w:p>
        </w:tc>
        <w:tc>
          <w:tcPr>
            <w:tcW w:w="8440" w:type="dxa"/>
            <w:vAlign w:val="bottom"/>
            <w:gridSpan w:val="31"/>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Form 10-K Summary</w:t>
              </w:r>
            </w:hyperlink>
          </w:p>
        </w:tc>
        <w:tc>
          <w:tcPr>
            <w:tcW w:w="1660" w:type="dxa"/>
            <w:vAlign w:val="bottom"/>
            <w:gridSpan w:val="5"/>
          </w:tcPr>
          <w:p>
            <w:pPr>
              <w:jc w:val="right"/>
              <w:ind w:right="20"/>
              <w:spacing w:after="0"/>
              <w:rPr>
                <w:rFonts w:ascii="Arial" w:cs="Arial" w:eastAsia="Arial" w:hAnsi="Arial"/>
                <w:sz w:val="18"/>
                <w:szCs w:val="18"/>
                <w:color w:val="0000FF"/>
              </w:rPr>
            </w:pPr>
            <w:hyperlink w:anchor="page96">
              <w:r>
                <w:rPr>
                  <w:rFonts w:ascii="Arial" w:cs="Arial" w:eastAsia="Arial" w:hAnsi="Arial"/>
                  <w:sz w:val="18"/>
                  <w:szCs w:val="18"/>
                  <w:color w:val="0000FF"/>
                </w:rPr>
                <w:t>92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Signatures</w:t>
              </w:r>
            </w:hyperlink>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5"/>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96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35"/>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Consolidated Financial Statements</w:t>
              </w:r>
            </w:hyperlink>
          </w:p>
        </w:tc>
        <w:tc>
          <w:tcPr>
            <w:tcW w:w="1680" w:type="dxa"/>
            <w:vAlign w:val="bottom"/>
            <w:gridSpan w:val="6"/>
          </w:tcPr>
          <w:p>
            <w:pPr>
              <w:ind w:left="1320"/>
              <w:spacing w:after="0"/>
              <w:rPr>
                <w:rFonts w:ascii="Arial" w:cs="Arial" w:eastAsia="Arial" w:hAnsi="Arial"/>
                <w:sz w:val="18"/>
                <w:szCs w:val="18"/>
                <w:color w:val="0000FF"/>
              </w:rPr>
            </w:pPr>
            <w:r>
              <w:rPr>
                <w:rFonts w:ascii="Arial" w:cs="Arial" w:eastAsia="Arial" w:hAnsi="Arial"/>
                <w:sz w:val="18"/>
                <w:szCs w:val="18"/>
                <w:color w:val="0000FF"/>
              </w:rPr>
              <w:t xml:space="preserve">F- </w:t>
            </w:r>
            <w:hyperlink w:anchor="page101">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FORWARD-LOOKING STATEMENTS</w:t>
      </w:r>
    </w:p>
    <w:p>
      <w:pPr>
        <w:spacing w:after="0" w:line="103"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124" w:lineRule="exact"/>
        <w:rPr>
          <w:sz w:val="20"/>
          <w:szCs w:val="20"/>
          <w:color w:val="auto"/>
        </w:rPr>
      </w:pPr>
    </w:p>
    <w:p>
      <w:pPr>
        <w:ind w:left="420" w:hanging="331"/>
        <w:spacing w:after="0" w:line="273"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96" w:lineRule="exact"/>
        <w:rPr>
          <w:rFonts w:ascii="Arial" w:cs="Arial" w:eastAsia="Arial" w:hAnsi="Arial"/>
          <w:sz w:val="17"/>
          <w:szCs w:val="17"/>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30" w:lineRule="exact"/>
        <w:rPr>
          <w:rFonts w:ascii="Arial" w:cs="Arial" w:eastAsia="Arial" w:hAnsi="Arial"/>
          <w:sz w:val="18"/>
          <w:szCs w:val="18"/>
          <w:color w:val="auto"/>
        </w:rPr>
      </w:pPr>
    </w:p>
    <w:p>
      <w:pPr>
        <w:ind w:left="420" w:right="36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w:t>
      </w:r>
    </w:p>
    <w:p>
      <w:pPr>
        <w:spacing w:after="0" w:line="12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portfolio as well as implementation of our corporate strategy;</w:t>
      </w:r>
    </w:p>
    <w:p>
      <w:pPr>
        <w:spacing w:after="0" w:line="130" w:lineRule="exact"/>
        <w:rPr>
          <w:rFonts w:ascii="Arial" w:cs="Arial" w:eastAsia="Arial" w:hAnsi="Arial"/>
          <w:sz w:val="18"/>
          <w:szCs w:val="18"/>
          <w:color w:val="auto"/>
        </w:rPr>
      </w:pPr>
    </w:p>
    <w:p>
      <w:pPr>
        <w:ind w:left="420" w:right="4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w:t>
      </w:r>
    </w:p>
    <w:p>
      <w:pPr>
        <w:spacing w:after="0" w:line="120"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107" w:lineRule="exact"/>
        <w:rPr>
          <w:rFonts w:ascii="Arial" w:cs="Arial" w:eastAsia="Arial" w:hAnsi="Arial"/>
          <w:sz w:val="18"/>
          <w:szCs w:val="18"/>
          <w:color w:val="auto"/>
        </w:rPr>
      </w:pPr>
    </w:p>
    <w:p>
      <w:pPr>
        <w:ind w:left="420" w:right="3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107"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44" w:lineRule="exact"/>
        <w:rPr>
          <w:rFonts w:ascii="Arial" w:cs="Arial" w:eastAsia="Arial" w:hAnsi="Arial"/>
          <w:sz w:val="18"/>
          <w:szCs w:val="18"/>
          <w:color w:val="auto"/>
        </w:rPr>
      </w:pPr>
    </w:p>
    <w:p>
      <w:pPr>
        <w:ind w:left="420" w:right="30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103" w:lineRule="exact"/>
        <w:rPr>
          <w:rFonts w:ascii="Arial" w:cs="Arial" w:eastAsia="Arial" w:hAnsi="Arial"/>
          <w:sz w:val="18"/>
          <w:szCs w:val="18"/>
          <w:color w:val="auto"/>
        </w:rPr>
      </w:pPr>
    </w:p>
    <w:p>
      <w:pPr>
        <w:ind w:left="420" w:right="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 of the COVID-19 pandemic on our business and operations, including sales, expense, reserves and allowances, the supply chain, manufacturing, cyber-attacks or other privacy or data security incidents, research and development costs, clinical trials and employees;</w:t>
      </w:r>
    </w:p>
    <w:p>
      <w:pPr>
        <w:spacing w:after="0" w:line="107"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(U.S.) and measures being taken worldwide designed to reduce healthcare costs and limit the overall level of government expenditures, including the impact of pricing actions and reduced reimbursement for our products;</w:t>
      </w:r>
    </w:p>
    <w:p>
      <w:pPr>
        <w:spacing w:after="0" w:line="120" w:lineRule="exact"/>
        <w:rPr>
          <w:rFonts w:ascii="Arial" w:cs="Arial" w:eastAsia="Arial" w:hAnsi="Arial"/>
          <w:sz w:val="18"/>
          <w:szCs w:val="18"/>
          <w:color w:val="auto"/>
        </w:rPr>
      </w:pPr>
    </w:p>
    <w:p>
      <w:pPr>
        <w:ind w:left="420" w:right="800" w:hanging="331"/>
        <w:spacing w:after="0" w:line="254"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Solothurn manufacturing facility to begin manufacturing products or product candidates and for the gene therapy manufacturing facility in Research Triangle Park (RTP), North Carolina to be operational;</w:t>
      </w:r>
    </w:p>
    <w:p>
      <w:pPr>
        <w:spacing w:after="0" w:line="109" w:lineRule="exact"/>
        <w:rPr>
          <w:rFonts w:ascii="Arial" w:cs="Arial" w:eastAsia="Arial" w:hAnsi="Arial"/>
          <w:sz w:val="18"/>
          <w:szCs w:val="18"/>
          <w:color w:val="auto"/>
        </w:rPr>
      </w:pPr>
    </w:p>
    <w:p>
      <w:pPr>
        <w:ind w:left="420" w:right="78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10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COMPANY AND PRODUCT REFERENCES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this report to:</w:t>
      </w:r>
    </w:p>
    <w:p>
      <w:pPr>
        <w:spacing w:after="0" w:line="171" w:lineRule="exact"/>
        <w:rPr>
          <w:sz w:val="20"/>
          <w:szCs w:val="20"/>
          <w:color w:val="auto"/>
        </w:rPr>
      </w:pPr>
    </w:p>
    <w:p>
      <w:pPr>
        <w:ind w:left="620" w:hanging="20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71" w:lineRule="exact"/>
        <w:rPr>
          <w:rFonts w:ascii="Arial" w:cs="Arial" w:eastAsia="Arial" w:hAnsi="Arial"/>
          <w:sz w:val="18"/>
          <w:szCs w:val="18"/>
          <w:color w:val="auto"/>
        </w:rPr>
      </w:pPr>
    </w:p>
    <w:p>
      <w:pPr>
        <w:ind w:left="660" w:right="800" w:hanging="247"/>
        <w:spacing w:after="0" w:line="261"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TRADEMARKS</w:t>
      </w:r>
    </w:p>
    <w:p>
      <w:pPr>
        <w:spacing w:after="0" w:line="106" w:lineRule="exact"/>
        <w:rPr>
          <w:sz w:val="20"/>
          <w:szCs w:val="20"/>
          <w:color w:val="auto"/>
        </w:rPr>
      </w:pPr>
    </w:p>
    <w:p>
      <w:pPr>
        <w:ind w:right="340" w:firstLine="445"/>
        <w:spacing w:after="0" w:line="225" w:lineRule="auto"/>
        <w:rPr>
          <w:sz w:val="20"/>
          <w:szCs w:val="20"/>
          <w:color w:val="auto"/>
        </w:rPr>
      </w:pPr>
      <w:r>
        <w:rPr>
          <w:rFonts w:ascii="Arial" w:cs="Arial" w:eastAsia="Arial" w:hAnsi="Arial"/>
          <w:sz w:val="18"/>
          <w:szCs w:val="18"/>
          <w:color w:val="auto"/>
        </w:rPr>
        <w:t>AVONEX</w:t>
      </w:r>
      <w:r>
        <w:rPr>
          <w:rFonts w:ascii="Arial" w:cs="Arial" w:eastAsia="Arial" w:hAnsi="Arial"/>
          <w:sz w:val="23"/>
          <w:szCs w:val="23"/>
          <w:color w:val="auto"/>
          <w:vertAlign w:val="superscript"/>
        </w:rPr>
        <w:t>®</w:t>
      </w:r>
      <w:r>
        <w:rPr>
          <w:rFonts w:ascii="Arial" w:cs="Arial" w:eastAsia="Arial" w:hAnsi="Arial"/>
          <w:sz w:val="18"/>
          <w:szCs w:val="18"/>
          <w:color w:val="auto"/>
        </w:rPr>
        <w:t>, PLEGRIDY</w:t>
      </w:r>
      <w:r>
        <w:rPr>
          <w:rFonts w:ascii="Arial" w:cs="Arial" w:eastAsia="Arial" w:hAnsi="Arial"/>
          <w:sz w:val="23"/>
          <w:szCs w:val="23"/>
          <w:color w:val="auto"/>
          <w:vertAlign w:val="superscript"/>
        </w:rPr>
        <w:t>®</w:t>
      </w:r>
      <w:r>
        <w:rPr>
          <w:rFonts w:ascii="Arial" w:cs="Arial" w:eastAsia="Arial" w:hAnsi="Arial"/>
          <w:sz w:val="18"/>
          <w:szCs w:val="18"/>
          <w:color w:val="auto"/>
        </w:rPr>
        <w:t>, RITUXAN</w:t>
      </w:r>
      <w:r>
        <w:rPr>
          <w:rFonts w:ascii="Arial" w:cs="Arial" w:eastAsia="Arial" w:hAnsi="Arial"/>
          <w:sz w:val="23"/>
          <w:szCs w:val="23"/>
          <w:color w:val="auto"/>
          <w:vertAlign w:val="superscript"/>
        </w:rPr>
        <w:t>®</w:t>
      </w:r>
      <w:r>
        <w:rPr>
          <w:rFonts w:ascii="Arial" w:cs="Arial" w:eastAsia="Arial" w:hAnsi="Arial"/>
          <w:sz w:val="18"/>
          <w:szCs w:val="18"/>
          <w:color w:val="auto"/>
        </w:rPr>
        <w:t>, RITUXAN HYCELA</w:t>
      </w:r>
      <w:r>
        <w:rPr>
          <w:rFonts w:ascii="Arial" w:cs="Arial" w:eastAsia="Arial" w:hAnsi="Arial"/>
          <w:sz w:val="23"/>
          <w:szCs w:val="23"/>
          <w:color w:val="auto"/>
          <w:vertAlign w:val="superscript"/>
        </w:rPr>
        <w:t>®</w:t>
      </w:r>
      <w:r>
        <w:rPr>
          <w:rFonts w:ascii="Arial" w:cs="Arial" w:eastAsia="Arial" w:hAnsi="Arial"/>
          <w:sz w:val="18"/>
          <w:szCs w:val="18"/>
          <w:color w:val="auto"/>
        </w:rPr>
        <w:t>, SPINRAZA</w:t>
      </w:r>
      <w:r>
        <w:rPr>
          <w:rFonts w:ascii="Arial" w:cs="Arial" w:eastAsia="Arial" w:hAnsi="Arial"/>
          <w:sz w:val="23"/>
          <w:szCs w:val="23"/>
          <w:color w:val="auto"/>
          <w:vertAlign w:val="superscript"/>
        </w:rPr>
        <w:t>®</w:t>
      </w:r>
      <w:r>
        <w:rPr>
          <w:rFonts w:ascii="Arial" w:cs="Arial" w:eastAsia="Arial" w:hAnsi="Arial"/>
          <w:sz w:val="18"/>
          <w:szCs w:val="18"/>
          <w:color w:val="auto"/>
        </w:rPr>
        <w:t>, TECFIDERA</w:t>
      </w:r>
      <w:r>
        <w:rPr>
          <w:rFonts w:ascii="Arial" w:cs="Arial" w:eastAsia="Arial" w:hAnsi="Arial"/>
          <w:sz w:val="23"/>
          <w:szCs w:val="23"/>
          <w:color w:val="auto"/>
          <w:vertAlign w:val="superscript"/>
        </w:rPr>
        <w:t>®</w:t>
      </w:r>
      <w:r>
        <w:rPr>
          <w:rFonts w:ascii="Arial" w:cs="Arial" w:eastAsia="Arial" w:hAnsi="Arial"/>
          <w:sz w:val="18"/>
          <w:szCs w:val="18"/>
          <w:color w:val="auto"/>
        </w:rPr>
        <w:t>, TYSABRI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VUMERITY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Biogen.</w:t>
      </w:r>
    </w:p>
    <w:p>
      <w:pPr>
        <w:spacing w:after="0" w:line="81" w:lineRule="exact"/>
        <w:rPr>
          <w:sz w:val="20"/>
          <w:szCs w:val="20"/>
          <w:color w:val="auto"/>
        </w:rPr>
      </w:pPr>
    </w:p>
    <w:p>
      <w:pPr>
        <w:ind w:right="240" w:firstLine="445"/>
        <w:spacing w:after="0" w:line="220" w:lineRule="auto"/>
        <w:rPr>
          <w:sz w:val="20"/>
          <w:szCs w:val="20"/>
          <w:color w:val="auto"/>
        </w:rPr>
      </w:pPr>
      <w:r>
        <w:rPr>
          <w:rFonts w:ascii="Arial" w:cs="Arial" w:eastAsia="Arial" w:hAnsi="Arial"/>
          <w:sz w:val="18"/>
          <w:szCs w:val="18"/>
          <w:color w:val="auto"/>
        </w:rPr>
        <w:t>ADUHELM</w:t>
      </w:r>
      <w:r>
        <w:rPr>
          <w:rFonts w:ascii="Arial" w:cs="Arial" w:eastAsia="Arial" w:hAnsi="Arial"/>
          <w:sz w:val="23"/>
          <w:szCs w:val="23"/>
          <w:color w:val="auto"/>
          <w:vertAlign w:val="superscript"/>
        </w:rPr>
        <w:t>™</w:t>
      </w:r>
      <w:r>
        <w:rPr>
          <w:rFonts w:ascii="Arial" w:cs="Arial" w:eastAsia="Arial" w:hAnsi="Arial"/>
          <w:sz w:val="18"/>
          <w:szCs w:val="18"/>
          <w:color w:val="auto"/>
        </w:rPr>
        <w:t>, BENEPALI</w:t>
      </w:r>
      <w:r>
        <w:rPr>
          <w:rFonts w:ascii="Arial" w:cs="Arial" w:eastAsia="Arial" w:hAnsi="Arial"/>
          <w:sz w:val="23"/>
          <w:szCs w:val="23"/>
          <w:color w:val="auto"/>
          <w:vertAlign w:val="superscript"/>
        </w:rPr>
        <w:t>™</w:t>
      </w:r>
      <w:r>
        <w:rPr>
          <w:rFonts w:ascii="Arial" w:cs="Arial" w:eastAsia="Arial" w:hAnsi="Arial"/>
          <w:sz w:val="18"/>
          <w:szCs w:val="18"/>
          <w:color w:val="auto"/>
        </w:rPr>
        <w:t>, BYOOVIZ</w:t>
      </w:r>
      <w:r>
        <w:rPr>
          <w:rFonts w:ascii="Arial" w:cs="Arial" w:eastAsia="Arial" w:hAnsi="Arial"/>
          <w:sz w:val="23"/>
          <w:szCs w:val="23"/>
          <w:color w:val="auto"/>
          <w:vertAlign w:val="superscript"/>
        </w:rPr>
        <w:t>™</w:t>
      </w:r>
      <w:r>
        <w:rPr>
          <w:rFonts w:ascii="Arial" w:cs="Arial" w:eastAsia="Arial" w:hAnsi="Arial"/>
          <w:sz w:val="18"/>
          <w:szCs w:val="18"/>
          <w:color w:val="auto"/>
        </w:rPr>
        <w:t>, FLIXABI</w:t>
      </w:r>
      <w:r>
        <w:rPr>
          <w:rFonts w:ascii="Arial" w:cs="Arial" w:eastAsia="Arial" w:hAnsi="Arial"/>
          <w:sz w:val="23"/>
          <w:szCs w:val="23"/>
          <w:color w:val="auto"/>
          <w:vertAlign w:val="superscript"/>
        </w:rPr>
        <w:t>™</w:t>
      </w:r>
      <w:r>
        <w:rPr>
          <w:rFonts w:ascii="Arial" w:cs="Arial" w:eastAsia="Arial" w:hAnsi="Arial"/>
          <w:sz w:val="18"/>
          <w:szCs w:val="18"/>
          <w:color w:val="auto"/>
        </w:rPr>
        <w:t>, FUMADERM</w:t>
      </w:r>
      <w:r>
        <w:rPr>
          <w:rFonts w:ascii="Arial" w:cs="Arial" w:eastAsia="Arial" w:hAnsi="Arial"/>
          <w:sz w:val="23"/>
          <w:szCs w:val="23"/>
          <w:color w:val="auto"/>
          <w:vertAlign w:val="superscript"/>
        </w:rPr>
        <w:t>™</w:t>
      </w:r>
      <w:r>
        <w:rPr>
          <w:rFonts w:ascii="Arial" w:cs="Arial" w:eastAsia="Arial" w:hAnsi="Arial"/>
          <w:sz w:val="18"/>
          <w:szCs w:val="18"/>
          <w:color w:val="auto"/>
        </w:rPr>
        <w:t>, IMRALDI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Healthy Climate Healthy Lives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Biogen.</w:t>
      </w:r>
    </w:p>
    <w:p>
      <w:pPr>
        <w:spacing w:after="0" w:line="84" w:lineRule="exact"/>
        <w:rPr>
          <w:sz w:val="20"/>
          <w:szCs w:val="20"/>
          <w:color w:val="auto"/>
        </w:rPr>
      </w:pPr>
    </w:p>
    <w:p>
      <w:pPr>
        <w:ind w:right="200" w:firstLine="445"/>
        <w:spacing w:after="0" w:line="225" w:lineRule="auto"/>
        <w:rPr>
          <w:sz w:val="20"/>
          <w:szCs w:val="20"/>
          <w:color w:val="auto"/>
        </w:rPr>
      </w:pPr>
      <w:r>
        <w:rPr>
          <w:rFonts w:ascii="Arial" w:cs="Arial" w:eastAsia="Arial" w:hAnsi="Arial"/>
          <w:sz w:val="18"/>
          <w:szCs w:val="18"/>
          <w:color w:val="auto"/>
        </w:rPr>
        <w:t>ENBREL</w:t>
      </w:r>
      <w:r>
        <w:rPr>
          <w:rFonts w:ascii="Arial" w:cs="Arial" w:eastAsia="Arial" w:hAnsi="Arial"/>
          <w:sz w:val="23"/>
          <w:szCs w:val="23"/>
          <w:color w:val="auto"/>
          <w:vertAlign w:val="superscript"/>
        </w:rPr>
        <w:t>®</w:t>
      </w:r>
      <w:r>
        <w:rPr>
          <w:rFonts w:ascii="Arial" w:cs="Arial" w:eastAsia="Arial" w:hAnsi="Arial"/>
          <w:sz w:val="18"/>
          <w:szCs w:val="18"/>
          <w:color w:val="auto"/>
        </w:rPr>
        <w:t>, EYLEA</w:t>
      </w:r>
      <w:r>
        <w:rPr>
          <w:rFonts w:ascii="Arial" w:cs="Arial" w:eastAsia="Arial" w:hAnsi="Arial"/>
          <w:sz w:val="23"/>
          <w:szCs w:val="23"/>
          <w:color w:val="auto"/>
          <w:vertAlign w:val="superscript"/>
        </w:rPr>
        <w:t>®</w:t>
      </w:r>
      <w:r>
        <w:rPr>
          <w:rFonts w:ascii="Arial" w:cs="Arial" w:eastAsia="Arial" w:hAnsi="Arial"/>
          <w:sz w:val="18"/>
          <w:szCs w:val="18"/>
          <w:color w:val="auto"/>
        </w:rPr>
        <w:t>, FAMPYRA</w:t>
      </w:r>
      <w:r>
        <w:rPr>
          <w:rFonts w:ascii="Arial" w:cs="Arial" w:eastAsia="Arial" w:hAnsi="Arial"/>
          <w:sz w:val="23"/>
          <w:szCs w:val="23"/>
          <w:color w:val="auto"/>
          <w:vertAlign w:val="superscript"/>
        </w:rPr>
        <w:t>™</w:t>
      </w:r>
      <w:r>
        <w:rPr>
          <w:rFonts w:ascii="Arial" w:cs="Arial" w:eastAsia="Arial" w:hAnsi="Arial"/>
          <w:sz w:val="18"/>
          <w:szCs w:val="18"/>
          <w:color w:val="auto"/>
        </w:rPr>
        <w:t>, GAZYVA</w:t>
      </w:r>
      <w:r>
        <w:rPr>
          <w:rFonts w:ascii="Arial" w:cs="Arial" w:eastAsia="Arial" w:hAnsi="Arial"/>
          <w:sz w:val="23"/>
          <w:szCs w:val="23"/>
          <w:color w:val="auto"/>
          <w:vertAlign w:val="superscript"/>
        </w:rPr>
        <w:t>®</w:t>
      </w:r>
      <w:r>
        <w:rPr>
          <w:rFonts w:ascii="Arial" w:cs="Arial" w:eastAsia="Arial" w:hAnsi="Arial"/>
          <w:sz w:val="18"/>
          <w:szCs w:val="18"/>
          <w:color w:val="auto"/>
        </w:rPr>
        <w:t>, HUMIRA</w:t>
      </w:r>
      <w:r>
        <w:rPr>
          <w:rFonts w:ascii="Arial" w:cs="Arial" w:eastAsia="Arial" w:hAnsi="Arial"/>
          <w:sz w:val="23"/>
          <w:szCs w:val="23"/>
          <w:color w:val="auto"/>
          <w:vertAlign w:val="superscript"/>
        </w:rPr>
        <w:t>®</w:t>
      </w:r>
      <w:r>
        <w:rPr>
          <w:rFonts w:ascii="Arial" w:cs="Arial" w:eastAsia="Arial" w:hAnsi="Arial"/>
          <w:sz w:val="18"/>
          <w:szCs w:val="18"/>
          <w:color w:val="auto"/>
        </w:rPr>
        <w:t>, LUCENTIS</w:t>
      </w:r>
      <w:r>
        <w:rPr>
          <w:rFonts w:ascii="Arial" w:cs="Arial" w:eastAsia="Arial" w:hAnsi="Arial"/>
          <w:sz w:val="23"/>
          <w:szCs w:val="23"/>
          <w:color w:val="auto"/>
          <w:vertAlign w:val="superscript"/>
        </w:rPr>
        <w:t>®</w:t>
      </w:r>
      <w:r>
        <w:rPr>
          <w:rFonts w:ascii="Arial" w:cs="Arial" w:eastAsia="Arial" w:hAnsi="Arial"/>
          <w:sz w:val="18"/>
          <w:szCs w:val="18"/>
          <w:color w:val="auto"/>
        </w:rPr>
        <w:t>, OCREVUS</w:t>
      </w:r>
      <w:r>
        <w:rPr>
          <w:rFonts w:ascii="Arial" w:cs="Arial" w:eastAsia="Arial" w:hAnsi="Arial"/>
          <w:sz w:val="23"/>
          <w:szCs w:val="23"/>
          <w:color w:val="auto"/>
          <w:vertAlign w:val="superscript"/>
        </w:rPr>
        <w:t>®</w:t>
      </w:r>
      <w:r>
        <w:rPr>
          <w:rFonts w:ascii="Arial" w:cs="Arial" w:eastAsia="Arial" w:hAnsi="Arial"/>
          <w:sz w:val="18"/>
          <w:szCs w:val="18"/>
          <w:color w:val="auto"/>
        </w:rPr>
        <w:t>, REMICADE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other trademarks referenced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w:t>
      </w:r>
    </w:p>
    <w:p>
      <w:pPr>
        <w:spacing w:after="0" w:line="30"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1C5A7D"/>
        </w:rPr>
        <w:t>ITEM 1.</w:t>
      </w:r>
      <w:r>
        <w:rPr>
          <w:sz w:val="20"/>
          <w:szCs w:val="20"/>
          <w:color w:val="auto"/>
        </w:rPr>
        <w:tab/>
      </w:r>
      <w:r>
        <w:rPr>
          <w:rFonts w:ascii="Arial" w:cs="Arial" w:eastAsia="Arial" w:hAnsi="Arial"/>
          <w:sz w:val="21"/>
          <w:szCs w:val="21"/>
          <w:b w:val="1"/>
          <w:bCs w:val="1"/>
          <w:color w:val="1C5A7D"/>
        </w:rPr>
        <w:t>BUSINESS</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Overview</w:t>
      </w:r>
    </w:p>
    <w:p>
      <w:pPr>
        <w:spacing w:after="0" w:line="13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We have a leading portfolio of medicines to treat multiple sclerosis (MS), have introduced the first approved treatment for spinal muscular atrophy (SMA) and are providing the first and only approved treatment to address a defining pathology of Alzheimer’s disease. We also commercialize biosimilars of advanced biologics and focus on advancing our pipeline in neuroscience and specialized immunology. Lastly, we are focused on accelerating our efforts in digital health to support our commercial and pipeline programs while also creating opportunities for potential digital therapeutics. We support our drug discovery and development efforts through the commitment of significant resources to discovery, research and development programs and business development opportunities.</w:t>
      </w:r>
    </w:p>
    <w:p>
      <w:pPr>
        <w:spacing w:after="0" w:line="9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 xml:space="preserve">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(PPMS) and relapsing MS (RMS); and other potential anti-CD20 therapies, including mosunetuzumab,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7"/>
          <w:szCs w:val="17"/>
          <w:i w:val="1"/>
          <w:iCs w:val="1"/>
          <w:color w:val="auto"/>
        </w:rPr>
        <w:t>Note 18, Collaborative and Other Relationships</w:t>
      </w:r>
      <w:r>
        <w:rPr>
          <w:rFonts w:ascii="Arial" w:cs="Arial" w:eastAsia="Arial" w:hAnsi="Arial"/>
          <w:sz w:val="17"/>
          <w:szCs w:val="17"/>
          <w:color w:val="auto"/>
        </w:rPr>
        <w:t>, to our consolidated financial statements included in this report.</w:t>
      </w:r>
    </w:p>
    <w:p>
      <w:pPr>
        <w:spacing w:after="0" w:line="9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For over two decades we have led in the research and development of new therapies to treat MS, resulting in our leading portfolio of MS treatments. Now our research is focused on developing next generation treatments for MS. We introduced the first approved treatment for SMA and are continuing to pursue research and development for potential advancements in the treatment of SMA. We are also applying our scientific expertise to solve some of the most challenging and complex diseases, including Alzheimer's disease, ALS, Parkinson's disease, major depressive disorder (MDD), postpartum depression (PPD), systemic lupus erythematosus (SLE), cutaneous lupus erythematosus (CLE), cognitive impairment associated with schizophrenia (CIAS), stroke and neuropathic pain.</w:t>
      </w:r>
    </w:p>
    <w:p>
      <w:pPr>
        <w:spacing w:after="0" w:line="10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We have also secured the exclusive rights to commercialize BYOOVIZ, a ranibizumab biosimilar referencing LUCENTIS, which was approved in the U.S., the European Union (E.U.) and the U.K. during the third quarter of 2021. For additional information on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this report.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Key Business Developments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key developments affecting our business since the beginning of 2021.</w:t>
      </w:r>
    </w:p>
    <w:p>
      <w:pPr>
        <w:spacing w:after="0" w:line="99" w:lineRule="exact"/>
        <w:rPr>
          <w:sz w:val="20"/>
          <w:szCs w:val="20"/>
          <w:color w:val="auto"/>
        </w:rPr>
      </w:pPr>
    </w:p>
    <w:p>
      <w:pPr>
        <w:ind w:right="180" w:firstLine="405"/>
        <w:spacing w:after="0" w:line="266" w:lineRule="auto"/>
        <w:rPr>
          <w:sz w:val="20"/>
          <w:szCs w:val="20"/>
          <w:color w:val="auto"/>
        </w:rPr>
      </w:pPr>
      <w:r>
        <w:rPr>
          <w:rFonts w:ascii="Arial" w:cs="Arial" w:eastAsia="Arial" w:hAnsi="Arial"/>
          <w:sz w:val="18"/>
          <w:szCs w:val="18"/>
          <w:color w:val="auto"/>
        </w:rPr>
        <w:t xml:space="preserve">For additional information on our acquisitions, collaborative and other relationships discussed below,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Acquisitions, Collaborative and Other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Bio-Thera Solutions</w:t>
      </w:r>
    </w:p>
    <w:p>
      <w:pPr>
        <w:spacing w:after="0" w:line="135" w:lineRule="exact"/>
        <w:rPr>
          <w:sz w:val="20"/>
          <w:szCs w:val="20"/>
          <w:color w:val="auto"/>
        </w:rPr>
      </w:pPr>
    </w:p>
    <w:p>
      <w:pPr>
        <w:ind w:right="500" w:firstLine="405"/>
        <w:spacing w:after="0" w:line="256" w:lineRule="auto"/>
        <w:rPr>
          <w:sz w:val="20"/>
          <w:szCs w:val="20"/>
          <w:color w:val="auto"/>
        </w:rPr>
      </w:pPr>
      <w:r>
        <w:rPr>
          <w:rFonts w:ascii="Arial" w:cs="Arial" w:eastAsia="Arial" w:hAnsi="Arial"/>
          <w:sz w:val="18"/>
          <w:szCs w:val="18"/>
          <w:color w:val="auto"/>
        </w:rPr>
        <w:t>In April 2021 we entered into a commercialization and license agreement to develop, manufacture and commercialize BAT1806, a Phase 3 clinical stage anti-interleukin-6 (IL-6) receptor monoclonal antibody that is a proposed biosimilar referencing ACTEMRA. In connection with this agreement, we made an upfront payment of $30.0 million to Bio-Thera Solutions.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InnoCare Pharma Limited</w:t>
      </w:r>
    </w:p>
    <w:p>
      <w:pPr>
        <w:spacing w:after="0" w:line="135"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In August 2021 we closed a collaboration and license agreement with InnoCare Pharma Limited (InnoCare) for orelabrutinib, an oral small molecule Bruton's tyrosine kinase inhibitor for the potential treatment of MS. Orelabrutinib is currently being studied in a multi-country, placebo-controlled Phase 2 trial in relapsing-remitting MS (RRMS). Under the terms of this collaboration, we have exclusive rights to orelabrutinib in the field of MS worldwide and certain autoimmune diseases outside of China (including Hong Kong, Macau and Taiwan), while InnoCare retains exclusive worldwide rights to orelabrutinib in the field of oncology and certain autoimmune diseases in China (including Hong Kong, Macau and Taiwan). In connection with this agreement, we made an upfront payment of $125.0 million to InnoCare.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Mosunetuzumab</w:t>
      </w:r>
    </w:p>
    <w:p>
      <w:pPr>
        <w:spacing w:after="0" w:line="122" w:lineRule="exact"/>
        <w:rPr>
          <w:sz w:val="20"/>
          <w:szCs w:val="20"/>
          <w:color w:val="auto"/>
        </w:rPr>
      </w:pPr>
    </w:p>
    <w:p>
      <w:pPr>
        <w:ind w:right="720" w:firstLine="405"/>
        <w:spacing w:after="0" w:line="229"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mosunetuzumab, a late-stage bispecific antibody in development for B-cell non-Hodgkin’s lymphoma and other therapeutic areas. In connection with this exercise, we recorded a $30.0 million option exercise fee payable to Genentech in December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BIIB115 Option Exercise</w:t>
      </w:r>
    </w:p>
    <w:p>
      <w:pPr>
        <w:spacing w:after="0" w:line="13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BIIB115, a preclinical investigational ASO in development for SMA. In connection with this option exercise, we made an opt-in payment of $60.0 million to Ionis.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Samsung Bioepis - Biogen's Joint Venture with Samsung BioLogics</w:t>
      </w:r>
    </w:p>
    <w:p>
      <w:pPr>
        <w:spacing w:after="0" w:line="122" w:lineRule="exact"/>
        <w:rPr>
          <w:sz w:val="20"/>
          <w:szCs w:val="20"/>
          <w:color w:val="auto"/>
        </w:rPr>
      </w:pPr>
    </w:p>
    <w:p>
      <w:pPr>
        <w:ind w:firstLine="405"/>
        <w:spacing w:after="0" w:line="227" w:lineRule="auto"/>
        <w:rPr>
          <w:sz w:val="20"/>
          <w:szCs w:val="20"/>
          <w:color w:val="auto"/>
        </w:rPr>
      </w:pPr>
      <w:r>
        <w:rPr>
          <w:rFonts w:ascii="Arial" w:cs="Arial" w:eastAsia="Arial" w:hAnsi="Arial"/>
          <w:sz w:val="18"/>
          <w:szCs w:val="18"/>
          <w:color w:val="auto"/>
        </w:rPr>
        <w:t>In January 2022 we entered into an agreement to sell to Samsung Biologics our equity in Samsung Bioepis. Under the terms of the proposed transaction, we would receive $ 1.0 billion in cash at closing and $1.3 billion to be deferred over two payments of $ 812.5 million due at the first anniversary and $437.5 million due at the second anniversary of the closing of the transaction. We would also be eligible to receive up to an additional $50.0 million upon the achievement of certain commercial milestones.</w:t>
      </w:r>
    </w:p>
    <w:p>
      <w:pPr>
        <w:spacing w:after="0" w:line="81" w:lineRule="exact"/>
        <w:rPr>
          <w:sz w:val="20"/>
          <w:szCs w:val="20"/>
          <w:color w:val="auto"/>
        </w:rPr>
      </w:pPr>
    </w:p>
    <w:p>
      <w:pPr>
        <w:ind w:right="40" w:firstLine="405"/>
        <w:spacing w:after="0" w:line="235" w:lineRule="auto"/>
        <w:rPr>
          <w:sz w:val="20"/>
          <w:szCs w:val="20"/>
          <w:color w:val="auto"/>
        </w:rPr>
      </w:pPr>
      <w:r>
        <w:rPr>
          <w:rFonts w:ascii="Arial" w:cs="Arial" w:eastAsia="Arial" w:hAnsi="Arial"/>
          <w:sz w:val="18"/>
          <w:szCs w:val="18"/>
          <w:color w:val="auto"/>
        </w:rPr>
        <w:t>Closing of the transaction is currently anticipated in mid-2022, contingent on the effectiveness of a securities registration statement filed by Samsung Biologics and satisfaction of certain regulatory and other customary closing conditions.</w:t>
      </w:r>
    </w:p>
    <w:p>
      <w:pPr>
        <w:spacing w:after="0" w:line="76"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color w:val="auto"/>
        </w:rPr>
        <w:t xml:space="preserve">For additional information on the proposed transaction and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 financial statements included in this report.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 (aducanumab)</w:t>
      </w:r>
    </w:p>
    <w:p>
      <w:pPr>
        <w:spacing w:after="0" w:line="13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In June 2021 the U.S. Food and Drug Administration (FDA) granted accelerated approval of ADUHELM, which we are developing and commercializing in collaboration with Eisai Co., Ltd. (Eisai), based on reduction in amyloid beta plaques observed in patients treated with ADUHELM. As part of the accelerated approval, we will conduct a confirmatory trial to verify the clinical benefit of ADUHELM in patients with Alzheimer’s disease. The FDA may withdraw approval if, among other things, the confirmatory trial fails to verify clinical benefit of ADUHELM, ADUHELM's benefit-risk is no longer positive or we fail to comply with the conditions of the accelerated approval.</w:t>
      </w:r>
    </w:p>
    <w:p>
      <w:pPr>
        <w:spacing w:after="0" w:line="9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December 2021 the Committee for Medicinal Products for Human Use (CHMP) of the European Medicines Agency (EMA) adopted a negative opinion on the Marketing Authorization Application (MAA) for aducanumab in Europe. We are seeking a re-examination of the opinion by the CHMP.</w:t>
      </w:r>
    </w:p>
    <w:p>
      <w:pPr>
        <w:spacing w:after="0" w:line="9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January 2022 the Centers for Medicare and Medicaid Services (CMS) released a proposed National Coverage Determination (NCD) decision memorandum stating the proposed NCD would cover FDA approved monoclonal antibodies that target amyloid for the treatment of Alzheimer's disease for people with Medicare only if they are enrolled in qualifying clinical trials. We expect a final Medicare NCD by the second quarter of 2022, which should clarify Medicare reimbursement for the class of antibodies directed against amyloid.</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BIIB125 (zuranolone)</w:t>
      </w:r>
    </w:p>
    <w:p>
      <w:pPr>
        <w:spacing w:after="0" w:line="135" w:lineRule="exact"/>
        <w:rPr>
          <w:sz w:val="20"/>
          <w:szCs w:val="20"/>
          <w:color w:val="auto"/>
        </w:rPr>
      </w:pPr>
    </w:p>
    <w:p>
      <w:pPr>
        <w:ind w:right="420" w:firstLine="405"/>
        <w:spacing w:after="0" w:line="254" w:lineRule="auto"/>
        <w:rPr>
          <w:sz w:val="20"/>
          <w:szCs w:val="20"/>
          <w:color w:val="auto"/>
        </w:rPr>
      </w:pPr>
      <w:r>
        <w:rPr>
          <w:rFonts w:ascii="Arial" w:cs="Arial" w:eastAsia="Arial" w:hAnsi="Arial"/>
          <w:sz w:val="18"/>
          <w:szCs w:val="18"/>
          <w:color w:val="auto"/>
        </w:rPr>
        <w:t>In June 2021 we and Sage Therapeutics, Inc. (Sage) announced positive Phase 3 results for BIIB125 (zuranolone) for the potential treatment of MDD and PPD. In October 2021 we and Sage announced our plan to submit a New Drug Application (NDA) to the FDA for zuranolone in the second half of 2022, with rolling submission expected to start in the first half of 2022. The planned initial submission package will seek approval of zuranolone for MDD and an additional filing for PPD is anticipated in the first half of 2023.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Lecanemab (BAN2401)</w:t>
      </w:r>
    </w:p>
    <w:p>
      <w:pPr>
        <w:spacing w:after="0" w:line="13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June 2021 the FDA granted Breakthrough Therapy designation for lecanemab, an anti-amyloid antibody for the potential treatment of Alzheimer's disease, which we are developing in collaboration with Eisai. In September 2021 Eisai initiated a rolling submission to the FDA of a Biologics License Application (BLA) for lecanemab. The BLA is being submitted under the accelerated approval pathway and is primarily based in clinical, biomarker and safety data from the Phase 2b clinical trial in patients with early Alzheimer's disease and confirmed amyloid pathology.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BYOOVIZ (ranibizumab-nuna)</w:t>
      </w:r>
    </w:p>
    <w:p>
      <w:pPr>
        <w:spacing w:after="0" w:line="135" w:lineRule="exact"/>
        <w:rPr>
          <w:sz w:val="20"/>
          <w:szCs w:val="20"/>
          <w:color w:val="auto"/>
        </w:rPr>
      </w:pPr>
    </w:p>
    <w:p>
      <w:pPr>
        <w:jc w:val="both"/>
        <w:ind w:right="200" w:firstLine="405"/>
        <w:spacing w:after="0" w:line="278" w:lineRule="auto"/>
        <w:rPr>
          <w:sz w:val="20"/>
          <w:szCs w:val="20"/>
          <w:color w:val="auto"/>
        </w:rPr>
      </w:pPr>
      <w:r>
        <w:rPr>
          <w:rFonts w:ascii="Arial" w:cs="Arial" w:eastAsia="Arial" w:hAnsi="Arial"/>
          <w:sz w:val="17"/>
          <w:szCs w:val="17"/>
          <w:color w:val="auto"/>
        </w:rPr>
        <w:t>In September 2021 we announced that the FDA has approved BYOOVIZ (ranibizumab-nuna), a biosimilar referencing LUCENTIS for the treatment of neovascular (wet) age-related macular degeneration, macular edema following retinal vein occlusion and myopic choroidal neovascularization. In addition to the U.S. approval, BYOOVIZ was approved in the E.U. and the U.K. during the third quarter of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BIIB067 (tofersen)</w:t>
      </w:r>
    </w:p>
    <w:p>
      <w:pPr>
        <w:spacing w:after="0" w:line="13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October 2021 we announced topline results from our pivotal Phase 3 VALOR study of BIIB067 (tofersen), an investigational antisense drug being evaluated for people with superoxide dismutase 1 (SOD1) amyotrophic lateral sclerosis (ALS), indicating that the primary endpoint was not met.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Exchange Offer</w:t>
      </w:r>
    </w:p>
    <w:p>
      <w:pPr>
        <w:spacing w:after="0" w:line="135"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In February 2021 we completed a private offer to exchange (Exchange Offer) our tendered 5.200% Senior Notes due September 15, 2045 (2045 Senior Notes) for a new series of 3.250% Senior Notes due February 15, 2051 (2051 Senior Notes) and cash, and an offer to purchase our tendered 2045 Senior Notes for cash.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North Carolina Gene Therapy Manufacturing Facility</w:t>
      </w:r>
    </w:p>
    <w:p>
      <w:pPr>
        <w:spacing w:after="0" w:line="135"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In March 2021 we announced our plans to build a new gene therapy manufacturing facility in RTP, North Carolina to support our gene therapy pipeline across multiple therapeutic areas. The new facility will be approximately 175,000 square feet and is expected to be operational by the end of 2023. Construction for this new facility began during the fourth quarter of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Solothurn, Switzerland Manufacturing Facility</w:t>
      </w:r>
    </w:p>
    <w:p>
      <w:pPr>
        <w:spacing w:after="0" w:line="135"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In May 2021 we announced that a portion of our Solothurn manufacturing facility received a Good Manufacturing Practice (GMP) multi-product license from the Swiss Agency for Therapeutic Products (SWISSMEDIC).</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Management Changes</w:t>
      </w:r>
    </w:p>
    <w:p>
      <w:pPr>
        <w:spacing w:after="0" w:line="135"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In July 2021 we announced the appointment of Rachid Izzar to the Executive Committee of the Company as well as Head of the Alzheimer's Disease and Dementia Business Unit.</w:t>
      </w:r>
    </w:p>
    <w:p>
      <w:pPr>
        <w:spacing w:after="0" w:line="90"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In November 2021 we announced the retirement of Alfred Sandrock and the appointment of Priya Singhal, Head of Global Safety and Regulatory Sciences, as interim Head of Research and Development.</w:t>
      </w:r>
    </w:p>
    <w:p>
      <w:pPr>
        <w:spacing w:after="0" w:line="90"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For additional information on our executive officers, please read the subsection entitled "Information about our Executive Officers" included 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and Pipeline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Multiple Sclerosis and Neuroimmunology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TECFIDERA (dimethyl fumerate)</w:t>
      </w:r>
    </w:p>
    <w:p>
      <w:pPr>
        <w:spacing w:after="0" w:line="135" w:lineRule="exact"/>
        <w:rPr>
          <w:sz w:val="20"/>
          <w:szCs w:val="20"/>
          <w:color w:val="auto"/>
        </w:rPr>
      </w:pPr>
    </w:p>
    <w:p>
      <w:pPr>
        <w:ind w:left="680" w:hanging="267"/>
        <w:spacing w:after="0"/>
        <w:tabs>
          <w:tab w:leader="none" w:pos="68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 April 2021 China's National Medical Products Administration approved TECFIDERA for the treatment of RMS.</w:t>
      </w:r>
    </w:p>
    <w:p>
      <w:pPr>
        <w:spacing w:after="0" w:line="200" w:lineRule="exact"/>
        <w:rPr>
          <w:rFonts w:ascii="Arial" w:cs="Arial" w:eastAsia="Arial" w:hAnsi="Arial"/>
          <w:sz w:val="18"/>
          <w:szCs w:val="18"/>
          <w:i w:val="1"/>
          <w:iCs w:val="1"/>
          <w:color w:val="auto"/>
        </w:rPr>
      </w:pPr>
    </w:p>
    <w:p>
      <w:pPr>
        <w:spacing w:after="0" w:line="362" w:lineRule="exact"/>
        <w:rPr>
          <w:rFonts w:ascii="Arial" w:cs="Arial" w:eastAsia="Arial" w:hAnsi="Arial"/>
          <w:sz w:val="18"/>
          <w:szCs w:val="18"/>
          <w:i w:val="1"/>
          <w:iCs w:val="1"/>
          <w:color w:val="auto"/>
        </w:rPr>
      </w:pPr>
    </w:p>
    <w:p>
      <w:pPr>
        <w:ind w:left="5580"/>
        <w:spacing w:after="0"/>
        <w:rPr>
          <w:rFonts w:ascii="Arial" w:cs="Arial" w:eastAsia="Arial" w:hAnsi="Arial"/>
          <w:sz w:val="18"/>
          <w:szCs w:val="18"/>
          <w:i w:val="1"/>
          <w:iCs w:val="1"/>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VUMERITY (diroximel fumarate; DRF)</w:t>
      </w:r>
    </w:p>
    <w:p>
      <w:pPr>
        <w:spacing w:after="0" w:line="135" w:lineRule="exact"/>
        <w:rPr>
          <w:sz w:val="20"/>
          <w:szCs w:val="20"/>
          <w:color w:val="auto"/>
        </w:rPr>
      </w:pPr>
    </w:p>
    <w:p>
      <w:pPr>
        <w:ind w:left="740" w:right="160" w:hanging="327"/>
        <w:spacing w:after="0" w:line="261"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November 2021 the European Commission (EC) granted marketing authorization for VUMERITY in the E.U. for the treatment of RRMS.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PLEGRIDY (peginterferon beta-1a)</w:t>
      </w:r>
    </w:p>
    <w:p>
      <w:pPr>
        <w:spacing w:after="0" w:line="135" w:lineRule="exact"/>
        <w:rPr>
          <w:sz w:val="20"/>
          <w:szCs w:val="20"/>
          <w:color w:val="auto"/>
        </w:rPr>
      </w:pPr>
    </w:p>
    <w:p>
      <w:pPr>
        <w:ind w:left="740" w:right="340" w:hanging="327"/>
        <w:spacing w:after="0" w:line="261"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January 2021 the FDA approved a new intramuscular (IM) injection route of administration for PLEGRIDY for the treatment of RRMS.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TYSABRI (natalizumab)</w:t>
      </w:r>
    </w:p>
    <w:p>
      <w:pPr>
        <w:spacing w:after="0" w:line="135" w:lineRule="exact"/>
        <w:rPr>
          <w:sz w:val="20"/>
          <w:szCs w:val="20"/>
          <w:color w:val="auto"/>
        </w:rPr>
      </w:pPr>
    </w:p>
    <w:p>
      <w:pPr>
        <w:ind w:left="740" w:right="60" w:hanging="327"/>
        <w:spacing w:after="0" w:line="261"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2021 the EC granted marketing authorization for a new subcutaneous (SC) injection route of administration for TYSABRI for the treatment of RRMS.</w:t>
      </w:r>
    </w:p>
    <w:p>
      <w:pPr>
        <w:spacing w:after="0" w:line="89"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April 2021, at the 2021 American Academy of Neurology (AAN) Virtual Annual Meeting, we presented new data on quality of life benefits and analyses of extended interval dosing with TYSABRI.</w:t>
      </w:r>
    </w:p>
    <w:p>
      <w:pPr>
        <w:spacing w:after="0" w:line="89" w:lineRule="exact"/>
        <w:rPr>
          <w:rFonts w:ascii="Arial" w:cs="Arial" w:eastAsia="Arial" w:hAnsi="Arial"/>
          <w:sz w:val="18"/>
          <w:szCs w:val="18"/>
          <w:color w:val="auto"/>
        </w:rPr>
      </w:pPr>
    </w:p>
    <w:p>
      <w:pPr>
        <w:ind w:left="740" w:right="120" w:hanging="327"/>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August 2021 we announced results from the two-year prospective, randomized, interventional, controlled, open-label Phase 3b NOVA study. NOVA was designed to estimate a potential difference between the efficacy of every six-weeks (Q6W) 300mg intravenous (IV) dosing compared to the efficacy of the approved every four-week (Q4W) dose in people treated with TYSABRI for RRMS.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Alzheimer's Disease and Dementia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ADUHELM (aducanumab)</w:t>
      </w:r>
    </w:p>
    <w:p>
      <w:pPr>
        <w:spacing w:after="0" w:line="135" w:lineRule="exact"/>
        <w:rPr>
          <w:sz w:val="20"/>
          <w:szCs w:val="20"/>
          <w:color w:val="auto"/>
        </w:rPr>
      </w:pPr>
    </w:p>
    <w:p>
      <w:pPr>
        <w:ind w:left="740" w:right="80" w:hanging="327"/>
        <w:spacing w:after="0" w:line="261"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June 2021 the FDA granted accelerated approval for ADUHELM as the first and only Alzheimer's disease treatment to address a defining pathology of the disease by reducing amyloid beta plaques in the brain.</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2021 the FDA approved an updated label for ADUHELM injection 100 mg/mL solution.</w:t>
      </w:r>
    </w:p>
    <w:p>
      <w:pPr>
        <w:spacing w:after="0" w:line="117" w:lineRule="exact"/>
        <w:rPr>
          <w:rFonts w:ascii="Arial" w:cs="Arial" w:eastAsia="Arial" w:hAnsi="Arial"/>
          <w:sz w:val="18"/>
          <w:szCs w:val="18"/>
          <w:color w:val="auto"/>
        </w:rPr>
      </w:pPr>
    </w:p>
    <w:p>
      <w:pPr>
        <w:ind w:left="740" w:right="640" w:hanging="327"/>
        <w:spacing w:after="0" w:line="261"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July 2021, at the Alzheimer's Association International Conference (AAIC), we presented the design for the first real-world observational Phase 4 study of Alzheimer's disease called ICARE AD-US.</w:t>
      </w:r>
    </w:p>
    <w:p>
      <w:pPr>
        <w:spacing w:after="0" w:line="89" w:lineRule="exact"/>
        <w:rPr>
          <w:rFonts w:ascii="Arial" w:cs="Arial" w:eastAsia="Arial" w:hAnsi="Arial"/>
          <w:sz w:val="18"/>
          <w:szCs w:val="18"/>
          <w:color w:val="auto"/>
        </w:rPr>
      </w:pPr>
    </w:p>
    <w:p>
      <w:pPr>
        <w:ind w:left="740" w:right="160" w:hanging="327"/>
        <w:spacing w:after="0" w:line="253"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2021, at the 2021 Clinical Trials on Alzheimer's Disease (CTAD) conference, we announced that data from the ADUHELM Phase 3 clinical trials showed a statistically significant correlation between plasma p-tau reduction and less cognitive and functional decline in Alzheimer’s disease. We also presented data from the Phase 3b redosing study, EMBARK, which examined the impact of patients with Alzheimer's disease stopping ADUHELM treatment for an extended period of time before re-initiating treatment.</w:t>
      </w:r>
    </w:p>
    <w:p>
      <w:pPr>
        <w:spacing w:after="0" w:line="97" w:lineRule="exact"/>
        <w:rPr>
          <w:rFonts w:ascii="Arial" w:cs="Arial" w:eastAsia="Arial" w:hAnsi="Arial"/>
          <w:sz w:val="18"/>
          <w:szCs w:val="18"/>
          <w:color w:val="auto"/>
        </w:rPr>
      </w:pPr>
    </w:p>
    <w:p>
      <w:pPr>
        <w:ind w:left="700" w:hanging="28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2021 we received a negative trend vote on the aducanumab MAA in the E.U.</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2021 the CHMP adopted a negative opinion on the MAA for aducanumab.</w:t>
      </w:r>
    </w:p>
    <w:p>
      <w:pPr>
        <w:spacing w:after="0" w:line="117"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December 2021 the First Committee on New Drugs (NDC) of the Pharmaceutical Affairs and Food Sanitation Council that advises the Ministry of Health, Labour and Welfare (MHLW) in Japan decided to continue deliberations on the application for the manufacturing and marketing approval of aducanumab for the treatment of Alzheimer's disease.</w:t>
      </w:r>
    </w:p>
    <w:p>
      <w:pPr>
        <w:spacing w:after="0" w:line="93"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2022 the CMS released a proposed NCD decision memorandum, stating the proposed NCD would cover FDA approved monoclonal antibodies that target amyloid for the treatment of Alzheimer's disease for people with Medicare only if they are enrolled in qualifying clinical trials.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BAN2401 (lecanemab)</w:t>
      </w:r>
    </w:p>
    <w:p>
      <w:pPr>
        <w:spacing w:after="0" w:line="135" w:lineRule="exact"/>
        <w:rPr>
          <w:sz w:val="20"/>
          <w:szCs w:val="20"/>
          <w:color w:val="auto"/>
        </w:rPr>
      </w:pPr>
    </w:p>
    <w:p>
      <w:pPr>
        <w:ind w:left="700" w:hanging="28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June 2021 the FDA granted Breakthrough Therapy designation for lecanemab for the potential treatment of Alzheimer's disease.</w:t>
      </w:r>
    </w:p>
    <w:p>
      <w:pPr>
        <w:spacing w:after="0" w:line="117" w:lineRule="exact"/>
        <w:rPr>
          <w:rFonts w:ascii="Arial" w:cs="Arial" w:eastAsia="Arial" w:hAnsi="Arial"/>
          <w:sz w:val="18"/>
          <w:szCs w:val="18"/>
          <w:color w:val="auto"/>
        </w:rPr>
      </w:pPr>
    </w:p>
    <w:p>
      <w:pPr>
        <w:ind w:left="740" w:right="280" w:hanging="327"/>
        <w:spacing w:after="0" w:line="256"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2021, at the AAIC, Eisai presented results of a longitudinal preliminary assessment of the clinical effects of lecanemab following 18 months of treatment in the open-label extension (OLE) of the Phase 2b proof-of-concept study in subjects with early Alzheimer's disease.</w:t>
      </w:r>
    </w:p>
    <w:p>
      <w:pPr>
        <w:spacing w:after="0" w:line="93" w:lineRule="exact"/>
        <w:rPr>
          <w:rFonts w:ascii="Arial" w:cs="Arial" w:eastAsia="Arial" w:hAnsi="Arial"/>
          <w:sz w:val="18"/>
          <w:szCs w:val="18"/>
          <w:color w:val="auto"/>
        </w:rPr>
      </w:pPr>
    </w:p>
    <w:p>
      <w:pPr>
        <w:jc w:val="both"/>
        <w:ind w:left="740" w:right="240" w:hanging="327"/>
        <w:spacing w:after="0" w:line="256"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2021 Eisai initiated a rolling submission to the FDA of a BLA for lecanemab. The BLA is being submitted under the accelerated approval pathway and is primarily based on clinical, biomarker and safety data from the Phase 2b clinical trial (Study 201) in patients with early Alzheimer's disease and confirmed amyloid pathology.</w:t>
      </w:r>
    </w:p>
    <w:p>
      <w:pPr>
        <w:spacing w:after="0" w:line="93" w:lineRule="exact"/>
        <w:rPr>
          <w:rFonts w:ascii="Arial" w:cs="Arial" w:eastAsia="Arial" w:hAnsi="Arial"/>
          <w:sz w:val="18"/>
          <w:szCs w:val="18"/>
          <w:color w:val="auto"/>
        </w:rPr>
      </w:pPr>
    </w:p>
    <w:p>
      <w:pPr>
        <w:ind w:left="740" w:right="260" w:hanging="327"/>
        <w:spacing w:after="0" w:line="261"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November 2021 Eisai presented results of new clinical, biomarker and safety assessments of brain amyloid reduction and five-year clinical status of people living with early Alzheimer's disease from the</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spacing w:after="0" w:line="261" w:lineRule="auto"/>
        <w:rPr>
          <w:sz w:val="20"/>
          <w:szCs w:val="20"/>
          <w:color w:val="auto"/>
        </w:rPr>
      </w:pPr>
      <w:r>
        <w:rPr>
          <w:rFonts w:ascii="Arial" w:cs="Arial" w:eastAsia="Arial" w:hAnsi="Arial"/>
          <w:sz w:val="18"/>
          <w:szCs w:val="18"/>
          <w:color w:val="auto"/>
        </w:rPr>
        <w:t>lecanemab Phase 2b 201 and the OLE studies. The findings were presented and discussed in a late-breaking roundtable session at the 2021 CTAD conference.</w:t>
      </w:r>
    </w:p>
    <w:p>
      <w:pPr>
        <w:spacing w:after="0" w:line="90" w:lineRule="exact"/>
        <w:rPr>
          <w:sz w:val="20"/>
          <w:szCs w:val="20"/>
          <w:color w:val="auto"/>
        </w:rPr>
      </w:pPr>
    </w:p>
    <w:p>
      <w:pPr>
        <w:ind w:right="1860" w:firstLine="413"/>
        <w:spacing w:after="0" w:line="365" w:lineRule="auto"/>
        <w:tabs>
          <w:tab w:leader="none" w:pos="6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December 2021 we and Eisai announced that lecanemab was granted Fast Track designation by the FDA. </w:t>
      </w:r>
      <w:r>
        <w:rPr>
          <w:rFonts w:ascii="Arial" w:cs="Arial" w:eastAsia="Arial" w:hAnsi="Arial"/>
          <w:sz w:val="18"/>
          <w:szCs w:val="18"/>
          <w:i w:val="1"/>
          <w:iCs w:val="1"/>
          <w:color w:val="538235"/>
        </w:rPr>
        <w:t>Neuromuscular Disorders</w:t>
      </w:r>
    </w:p>
    <w:p>
      <w:pPr>
        <w:spacing w:after="0"/>
        <w:rPr>
          <w:rFonts w:ascii="Arial" w:cs="Arial" w:eastAsia="Arial" w:hAnsi="Arial"/>
          <w:sz w:val="18"/>
          <w:szCs w:val="18"/>
          <w:color w:val="auto"/>
        </w:rPr>
      </w:pPr>
      <w:r>
        <w:rPr>
          <w:rFonts w:ascii="Arial" w:cs="Arial" w:eastAsia="Arial" w:hAnsi="Arial"/>
          <w:sz w:val="18"/>
          <w:szCs w:val="18"/>
          <w:i w:val="1"/>
          <w:iCs w:val="1"/>
          <w:color w:val="2573BA"/>
        </w:rPr>
        <w:t>SPINRAZA (nusinersen)</w:t>
      </w:r>
    </w:p>
    <w:p>
      <w:pPr>
        <w:spacing w:after="0" w:line="135" w:lineRule="exact"/>
        <w:rPr>
          <w:rFonts w:ascii="Arial" w:cs="Arial" w:eastAsia="Arial" w:hAnsi="Arial"/>
          <w:sz w:val="18"/>
          <w:szCs w:val="18"/>
          <w:color w:val="auto"/>
        </w:rPr>
      </w:pPr>
    </w:p>
    <w:p>
      <w:pPr>
        <w:ind w:left="740" w:right="340" w:hanging="327"/>
        <w:spacing w:after="0" w:line="261"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2021 the first patient was dosed in the global RESPOND study, which will examine the clinical benefit and assess the safety of SPINRAZA in infants and children with SMA.</w:t>
      </w:r>
    </w:p>
    <w:p>
      <w:pPr>
        <w:spacing w:after="0" w:line="89" w:lineRule="exact"/>
        <w:rPr>
          <w:rFonts w:ascii="Arial" w:cs="Arial" w:eastAsia="Arial" w:hAnsi="Arial"/>
          <w:sz w:val="18"/>
          <w:szCs w:val="18"/>
          <w:color w:val="auto"/>
        </w:rPr>
      </w:pPr>
    </w:p>
    <w:p>
      <w:pPr>
        <w:ind w:left="740" w:right="180" w:hanging="327"/>
        <w:spacing w:after="0" w:line="291" w:lineRule="auto"/>
        <w:tabs>
          <w:tab w:leader="none" w:pos="6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April 2021, at the AAN 2021 Virtual Annual Meeting, we announced new data from the Phase 2/3 DEVOTE study. Initial findings from the DEVOTE study suggest no new safety concerns and support continued development of a higher dose of SPINRAZA.</w:t>
      </w:r>
    </w:p>
    <w:p>
      <w:pPr>
        <w:spacing w:after="0" w:line="65" w:lineRule="exact"/>
        <w:rPr>
          <w:rFonts w:ascii="Arial" w:cs="Arial" w:eastAsia="Arial" w:hAnsi="Arial"/>
          <w:sz w:val="17"/>
          <w:szCs w:val="17"/>
          <w:color w:val="auto"/>
        </w:rPr>
      </w:pPr>
    </w:p>
    <w:p>
      <w:pPr>
        <w:ind w:left="700" w:hanging="2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June 2021, at the virtual Cure SMA Research &amp; Clinical Care Meeting, we announced new data on the long-term efficacy of</w:t>
      </w:r>
    </w:p>
    <w:p>
      <w:pPr>
        <w:spacing w:after="0" w:line="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SPINRAZA.</w:t>
      </w:r>
    </w:p>
    <w:p>
      <w:pPr>
        <w:spacing w:after="0" w:line="117" w:lineRule="exact"/>
        <w:rPr>
          <w:rFonts w:ascii="Arial" w:cs="Arial" w:eastAsia="Arial" w:hAnsi="Arial"/>
          <w:sz w:val="18"/>
          <w:szCs w:val="18"/>
          <w:color w:val="auto"/>
        </w:rPr>
      </w:pPr>
    </w:p>
    <w:p>
      <w:pPr>
        <w:jc w:val="both"/>
        <w:ind w:left="740" w:right="240" w:hanging="327"/>
        <w:spacing w:after="0" w:line="256"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September 2021 we announced plans to initiate a global Phase 3b clinical study, ASCEND. The ASCEND study is designed to evaluate the clinical outcomes and assess the safety of a higher dose of SPINRAZA in children, teens and adults with later-onset SMA following treatment of Evrysdi.</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Movement Disorders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SAGE-324 (GABA</w:t>
      </w:r>
      <w:r>
        <w:rPr>
          <w:rFonts w:ascii="Arial" w:cs="Arial" w:eastAsia="Arial" w:hAnsi="Arial"/>
          <w:sz w:val="23"/>
          <w:szCs w:val="23"/>
          <w:i w:val="1"/>
          <w:iCs w:val="1"/>
          <w:color w:val="2573BA"/>
          <w:vertAlign w:val="subscript"/>
        </w:rPr>
        <w:t>A</w:t>
      </w:r>
      <w:r>
        <w:rPr>
          <w:rFonts w:ascii="Arial" w:cs="Arial" w:eastAsia="Arial" w:hAnsi="Arial"/>
          <w:sz w:val="18"/>
          <w:szCs w:val="18"/>
          <w:i w:val="1"/>
          <w:iCs w:val="1"/>
          <w:color w:val="2573BA"/>
        </w:rPr>
        <w:t xml:space="preserve"> receptor PAM)</w:t>
      </w:r>
    </w:p>
    <w:p>
      <w:pPr>
        <w:spacing w:after="0" w:line="146" w:lineRule="exact"/>
        <w:rPr>
          <w:sz w:val="20"/>
          <w:szCs w:val="20"/>
          <w:color w:val="auto"/>
        </w:rPr>
      </w:pPr>
    </w:p>
    <w:p>
      <w:pPr>
        <w:ind w:left="740" w:hanging="327"/>
        <w:spacing w:after="0" w:line="261"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2021 we and Sage reported that the Phase 2 KINETIC study evaluating SAGE-324 in the treatment of patients with essential tremor (ET) met its primary endpoint.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Neuropsychiatry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BIIB125 (zuranolone)</w:t>
      </w:r>
    </w:p>
    <w:p>
      <w:pPr>
        <w:spacing w:after="0" w:line="135" w:lineRule="exact"/>
        <w:rPr>
          <w:sz w:val="20"/>
          <w:szCs w:val="20"/>
          <w:color w:val="auto"/>
        </w:rPr>
      </w:pPr>
    </w:p>
    <w:p>
      <w:pPr>
        <w:ind w:left="740" w:right="120" w:hanging="327"/>
        <w:spacing w:after="0" w:line="261"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June 2021 we and Sage announced positive results from the Phase 3 WATERFALL study for zuranolone, an investigational two-week, once-daily therapeutic being evaluated for MDD.</w:t>
      </w:r>
    </w:p>
    <w:p>
      <w:pPr>
        <w:spacing w:after="0" w:line="89" w:lineRule="exact"/>
        <w:rPr>
          <w:rFonts w:ascii="Arial" w:cs="Arial" w:eastAsia="Arial" w:hAnsi="Arial"/>
          <w:sz w:val="18"/>
          <w:szCs w:val="18"/>
          <w:color w:val="auto"/>
        </w:rPr>
      </w:pPr>
    </w:p>
    <w:p>
      <w:pPr>
        <w:ind w:left="740" w:right="440" w:hanging="327"/>
        <w:spacing w:after="0" w:line="256"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2021 we and Sage shared positive data from the LANDSCAPE and NEST clinical development program. This study evaluated the efficacy and safety of zuranolone for the treatment of MDD and PPD. The data was presented at the European College of Neuropsychopharmacology Congress.</w:t>
      </w:r>
    </w:p>
    <w:p>
      <w:pPr>
        <w:spacing w:after="0" w:line="93"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October 2021 we and Sage announced plans to submit a NDA to the FDA for zuranolone for the potential treatment of MDD in the second half of 2022 with rolling submission expected to start in early 2022. Plans also include the submission of a NDA to the FDA for zuranalone for the treatment of PPD, in the first half of 2023.</w:t>
      </w:r>
    </w:p>
    <w:p>
      <w:pPr>
        <w:spacing w:after="0" w:line="93"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December 2021 we and Sage announced positive data from the 12-month Phase 3 open-label SHORELINE study for zuranolone. The SHORELINE study, part of the LANDSCAPE clinical program, was designed to naturalistically follow adult patients with MDD and evaluate the safety and tolerability of zuranolone as well as the need for repeat dosing for up to one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Specialized Immunology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Immunology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BIIB059 (anti-BDCA2) - SLE</w:t>
      </w:r>
    </w:p>
    <w:p>
      <w:pPr>
        <w:spacing w:after="0" w:line="135" w:lineRule="exact"/>
        <w:rPr>
          <w:sz w:val="20"/>
          <w:szCs w:val="20"/>
          <w:color w:val="auto"/>
        </w:rPr>
      </w:pPr>
    </w:p>
    <w:p>
      <w:pPr>
        <w:ind w:left="740" w:right="420" w:hanging="327"/>
        <w:spacing w:after="0" w:line="261" w:lineRule="auto"/>
        <w:tabs>
          <w:tab w:leader="none" w:pos="681"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In June 2021 the first patient was dosed in the Phase 3 TOPAZ-1 study of BIIB059 for SLE. The Phase 3 study will evaluate the clinical efficacy and assess the safety of BIIB059 in participants with active SLE.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Neuropathic Pain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2573BA"/>
        </w:rPr>
        <w:t>BIIB074 (vixotrigine)</w:t>
      </w:r>
    </w:p>
    <w:p>
      <w:pPr>
        <w:spacing w:after="0" w:line="135" w:lineRule="exact"/>
        <w:rPr>
          <w:sz w:val="20"/>
          <w:szCs w:val="20"/>
          <w:color w:val="auto"/>
        </w:rPr>
      </w:pPr>
    </w:p>
    <w:p>
      <w:pPr>
        <w:jc w:val="both"/>
        <w:ind w:left="740" w:right="200" w:hanging="327"/>
        <w:spacing w:after="0" w:line="256" w:lineRule="auto"/>
        <w:tabs>
          <w:tab w:leader="none" w:pos="681"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In September 2021 we announced positive results that the Phase 2 CONVEY study of vixotrigine, a non-opioid investigational oral pain drug being evaluated for the treatment of small fiber neuropathy. The CONVEY study 200 mg twice daily arm met its primary endpoint. The CONVEY study 350 mg twice daily arm did not meet its primary endpoint.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BAT1806</w:t>
      </w:r>
    </w:p>
    <w:p>
      <w:pPr>
        <w:spacing w:after="0" w:line="135" w:lineRule="exact"/>
        <w:rPr>
          <w:sz w:val="20"/>
          <w:szCs w:val="20"/>
          <w:color w:val="auto"/>
        </w:rPr>
      </w:pPr>
    </w:p>
    <w:p>
      <w:pPr>
        <w:ind w:left="740" w:right="200" w:hanging="327"/>
        <w:spacing w:after="0" w:line="256"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2021 we entered into a commercialization and license agreement to develop, manufacture and commercialize BAT1806, a Phase 3 clinical stage anti-interleukin-6 (IL-6) receptor monoclonal antibody that is a proposed biosimilar referencing ACTEMRA (tocilizumab).</w:t>
      </w:r>
    </w:p>
    <w:p>
      <w:pPr>
        <w:spacing w:after="0" w:line="93" w:lineRule="exact"/>
        <w:rPr>
          <w:rFonts w:ascii="Arial" w:cs="Arial" w:eastAsia="Arial" w:hAnsi="Arial"/>
          <w:sz w:val="18"/>
          <w:szCs w:val="18"/>
          <w:color w:val="auto"/>
        </w:rPr>
      </w:pPr>
    </w:p>
    <w:p>
      <w:pPr>
        <w:ind w:left="740" w:right="660" w:hanging="327"/>
        <w:spacing w:after="0" w:line="261" w:lineRule="auto"/>
        <w:tabs>
          <w:tab w:leader="none" w:pos="6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June 2021 we and Bio-Thera Solutions, Ltd. (Bio-Thera) announced positive results that the Phase 3 study of BAT1806, a proposed biosimilar referencing ACTEMRA (tocilizumab), met its primary endpoint.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Samsung Bioepis - Biogen's Joint Venture with Samsung BioLogics</w:t>
      </w:r>
    </w:p>
    <w:p>
      <w:pPr>
        <w:spacing w:after="0" w:line="135" w:lineRule="exact"/>
        <w:rPr>
          <w:sz w:val="20"/>
          <w:szCs w:val="20"/>
          <w:color w:val="auto"/>
        </w:rPr>
      </w:pPr>
    </w:p>
    <w:p>
      <w:pPr>
        <w:ind w:left="740" w:right="60" w:hanging="327"/>
        <w:spacing w:after="0" w:line="261"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June 2021 Samsung Bioepis announced that the CHMP adopted a positive opinion of BYOOVIZ (ranibizumab-nuna), a biosimilar referencing LUCENTIS, and in August 2021 BYOOVIZ was approved by the EMA.</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September 2021 Samsung Bioepis announced the FDA approval of BYOOVIZ.</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Health</w:t>
      </w:r>
    </w:p>
    <w:p>
      <w:pPr>
        <w:spacing w:after="0" w:line="139" w:lineRule="exact"/>
        <w:rPr>
          <w:sz w:val="20"/>
          <w:szCs w:val="20"/>
          <w:color w:val="auto"/>
        </w:rPr>
      </w:pPr>
    </w:p>
    <w:p>
      <w:pPr>
        <w:ind w:left="740" w:right="360" w:hanging="327"/>
        <w:spacing w:after="0" w:line="256"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2021 we announced a virtual research study, in collaboration with Apple Inc., to investigate the role Apple Watch and iPhone could play in monitoring cognitive performance and screening for decline in cognitive health including mild cognitive impairment (MCI).</w:t>
      </w:r>
    </w:p>
    <w:p>
      <w:pPr>
        <w:spacing w:after="0" w:line="93" w:lineRule="exact"/>
        <w:rPr>
          <w:rFonts w:ascii="Arial" w:cs="Arial" w:eastAsia="Arial" w:hAnsi="Arial"/>
          <w:sz w:val="18"/>
          <w:szCs w:val="18"/>
          <w:color w:val="auto"/>
        </w:rPr>
      </w:pPr>
    </w:p>
    <w:p>
      <w:pPr>
        <w:ind w:left="740" w:right="240" w:hanging="327"/>
        <w:spacing w:after="0" w:line="254" w:lineRule="auto"/>
        <w:tabs>
          <w:tab w:leader="none" w:pos="6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December 2021 we announced an expanded collaboration with TheraPanacea focused on multiple therapeutic areas in neuroscience. The expanded collaboration aims to leverage machine learning and artificial intelligence analysis to develop digital health solutions that may improve patient care, accelerate drug development, and further the understanding of the underlying pathologies of neurological diseases.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or Suspended Programs</w:t>
      </w:r>
    </w:p>
    <w:p>
      <w:pPr>
        <w:spacing w:after="0" w:line="139" w:lineRule="exact"/>
        <w:rPr>
          <w:sz w:val="20"/>
          <w:szCs w:val="20"/>
          <w:color w:val="auto"/>
        </w:rPr>
      </w:pPr>
    </w:p>
    <w:p>
      <w:pPr>
        <w:ind w:left="740" w:right="60" w:hanging="327"/>
        <w:spacing w:after="0" w:line="256"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May 2021 we announced that the Phase 2/3 XIRIUS study of cotoretigene toliparvovec (BIIB112), a gene therapy being investigated as a one-time therapy for patients with X-linked retinitis pigmentosa, did not meet its primary endpoint. Based on these results, we suspended further development based on the decision of management as part of its strategic review process.</w:t>
      </w:r>
    </w:p>
    <w:p>
      <w:pPr>
        <w:spacing w:after="0" w:line="93" w:lineRule="exact"/>
        <w:rPr>
          <w:rFonts w:ascii="Arial" w:cs="Arial" w:eastAsia="Arial" w:hAnsi="Arial"/>
          <w:sz w:val="18"/>
          <w:szCs w:val="18"/>
          <w:color w:val="auto"/>
        </w:rPr>
      </w:pPr>
    </w:p>
    <w:p>
      <w:pPr>
        <w:ind w:left="740" w:right="20" w:hanging="327"/>
        <w:spacing w:after="0" w:line="256"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June 2021 we announced that the Phase 3 STAR study of timrepigene emparvovec (BIIB111), an investigational gene therapy for the potential treatment of choroideremia, did not meet its primary endpoint. Based on these results, we suspended further development based on the decision of management as part of its strategic review process.</w:t>
      </w:r>
    </w:p>
    <w:p>
      <w:pPr>
        <w:spacing w:after="0" w:line="93"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June 2021 we announced that the Phase 2 TANGO study of BIIB092 (gosuranemab), an investigational anti-tau antibody that was being evaluated as a potential treatment for Alzheimer's disease, did not meet its primary endpoint. Based on these results, we discontinued development of gosuranemab.</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Marketed Products</w:t>
      </w:r>
    </w:p>
    <w:p>
      <w:pPr>
        <w:spacing w:after="0" w:line="130" w:lineRule="exact"/>
        <w:rPr>
          <w:sz w:val="20"/>
          <w:szCs w:val="20"/>
          <w:color w:val="auto"/>
        </w:rPr>
      </w:pPr>
    </w:p>
    <w:p>
      <w:pPr>
        <w:ind w:right="1100" w:firstLine="405"/>
        <w:spacing w:after="0" w:line="261" w:lineRule="auto"/>
        <w:rPr>
          <w:sz w:val="20"/>
          <w:szCs w:val="20"/>
          <w:color w:val="auto"/>
        </w:rPr>
      </w:pPr>
      <w:r>
        <w:rPr>
          <w:rFonts w:ascii="Arial" w:cs="Arial" w:eastAsia="Arial" w:hAnsi="Arial"/>
          <w:sz w:val="18"/>
          <w:szCs w:val="18"/>
          <w:color w:val="auto"/>
        </w:rPr>
        <w:t>The following graph shows our revenue by product and revenue from anti-CD20 therapeutic programs for the years ended December 31, 2021,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966460" cy="4569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456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Fumarate includes TECFIDERA and VUMERITY. VUMERITY became commercially available in the E.U. during the fourth quarter of 2021.</w:t>
      </w:r>
    </w:p>
    <w:p>
      <w:pPr>
        <w:spacing w:after="0" w:line="34" w:lineRule="exact"/>
        <w:rPr>
          <w:rFonts w:ascii="Arial" w:cs="Arial" w:eastAsia="Arial" w:hAnsi="Arial"/>
          <w:sz w:val="18"/>
          <w:szCs w:val="18"/>
          <w:color w:val="auto"/>
          <w:vertAlign w:val="superscript"/>
        </w:rPr>
      </w:pPr>
    </w:p>
    <w:p>
      <w:pPr>
        <w:ind w:left="180" w:hanging="172"/>
        <w:spacing w:after="0" w:line="193"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Interferon includes AVONEX and PLEGRIDY.</w:t>
      </w:r>
    </w:p>
    <w:p>
      <w:pPr>
        <w:spacing w:after="0" w:line="21" w:lineRule="exact"/>
        <w:rPr>
          <w:rFonts w:ascii="Arial" w:cs="Arial" w:eastAsia="Arial" w:hAnsi="Arial"/>
          <w:sz w:val="21"/>
          <w:szCs w:val="21"/>
          <w:color w:val="auto"/>
          <w:vertAlign w:val="superscript"/>
        </w:rPr>
      </w:pPr>
    </w:p>
    <w:p>
      <w:pPr>
        <w:ind w:right="180" w:firstLine="8"/>
        <w:spacing w:after="0" w:line="239" w:lineRule="auto"/>
        <w:tabs>
          <w:tab w:leader="none" w:pos="173"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 xml:space="preserve">In June 2021 the FDA granted accelerated approval of ADUHELM, which became commercially available in the U.S. during the second quarter of 2021. For additional information, please read </w:t>
      </w:r>
      <w:r>
        <w:rPr>
          <w:rFonts w:ascii="Arial" w:cs="Arial" w:eastAsia="Arial" w:hAnsi="Arial"/>
          <w:sz w:val="15"/>
          <w:szCs w:val="15"/>
          <w:i w:val="1"/>
          <w:iCs w:val="1"/>
          <w:color w:val="auto"/>
        </w:rPr>
        <w:t>Note 18, Collaborative and Other Relationships - Eisai Co., Ltd. - ADUHELM Collaboration Agreement</w:t>
      </w:r>
      <w:r>
        <w:rPr>
          <w:rFonts w:ascii="Arial" w:cs="Arial" w:eastAsia="Arial" w:hAnsi="Arial"/>
          <w:sz w:val="15"/>
          <w:szCs w:val="15"/>
          <w:color w:val="auto"/>
        </w:rPr>
        <w:t>, to our consolidated financial statements included in this report.</w:t>
      </w:r>
    </w:p>
    <w:p>
      <w:pPr>
        <w:ind w:left="180" w:hanging="172"/>
        <w:spacing w:after="0" w:line="228"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Other includes FAMPYRA, FUMADERM, BENEPALI, IMRALDI and FLIXABI.</w:t>
      </w:r>
    </w:p>
    <w:p>
      <w:pPr>
        <w:spacing w:after="0" w:line="34" w:lineRule="exact"/>
        <w:rPr>
          <w:rFonts w:ascii="Arial" w:cs="Arial" w:eastAsia="Arial" w:hAnsi="Arial"/>
          <w:sz w:val="21"/>
          <w:szCs w:val="21"/>
          <w:color w:val="auto"/>
          <w:vertAlign w:val="superscript"/>
        </w:rPr>
      </w:pPr>
    </w:p>
    <w:p>
      <w:pPr>
        <w:ind w:left="180" w:hanging="172"/>
        <w:spacing w:after="0" w:line="193"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Anti-CD20 therapeutic programs include RITUXAN, RITUXAN HYCELA, GAZYVA and OCREVUS.</w:t>
      </w:r>
    </w:p>
    <w:p>
      <w:pPr>
        <w:spacing w:after="0" w:line="10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Product sales for TECFIDERA, AVONEX, TYSABRI and SPINRAZA each accounted for more than 10.0% of our total revenue for the years ended December 31, 2021, 2020 and 2019. For additional financial information about our product and other revenue and geographic areas where we operate, please read </w:t>
      </w:r>
      <w:r>
        <w:rPr>
          <w:rFonts w:ascii="Arial" w:cs="Arial" w:eastAsia="Arial" w:hAnsi="Arial"/>
          <w:sz w:val="18"/>
          <w:szCs w:val="18"/>
          <w:i w:val="1"/>
          <w:iCs w:val="1"/>
          <w:color w:val="auto"/>
        </w:rPr>
        <w:t>Note 4,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24, Segment Information,</w:t>
      </w:r>
      <w:r>
        <w:rPr>
          <w:rFonts w:ascii="Arial" w:cs="Arial" w:eastAsia="Arial" w:hAnsi="Arial"/>
          <w:sz w:val="18"/>
          <w:szCs w:val="18"/>
          <w:color w:val="auto"/>
        </w:rPr>
        <w:t xml:space="preserve"> to our consolidated financial statements included in this report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this report. A discussion of the risks attendant to our operations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Multiple Sclerosis and Neuroimmunology</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may return to a lower baseline of functioning.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MS products we market and our major markets are as follows:</w:t>
      </w:r>
    </w:p>
    <w:p>
      <w:pPr>
        <w:sectPr>
          <w:pgSz w:w="11900" w:h="16838" w:orient="portrait"/>
          <w:cols w:equalWidth="0" w:num="1">
            <w:col w:w="11220"/>
          </w:cols>
          <w:pgMar w:left="320" w:top="144" w:right="359" w:bottom="1440" w:gutter="0" w:footer="0" w:header="0"/>
        </w:sectPr>
      </w:pPr>
    </w:p>
    <w:p>
      <w:pPr>
        <w:spacing w:after="0" w:line="132" w:lineRule="exact"/>
        <w:rPr>
          <w:sz w:val="20"/>
          <w:szCs w:val="20"/>
          <w:color w:val="auto"/>
        </w:rPr>
      </w:pPr>
    </w:p>
    <w:p>
      <w:pPr>
        <w:ind w:left="60"/>
        <w:spacing w:after="0"/>
        <w:tabs>
          <w:tab w:leader="none" w:pos="322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42087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274955</wp:posOffset>
            </wp:positionV>
            <wp:extent cx="139700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000" cy="30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288925</wp:posOffset>
            </wp:positionV>
            <wp:extent cx="420878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087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194945</wp:posOffset>
            </wp:positionV>
            <wp:extent cx="42087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340360</wp:posOffset>
            </wp:positionV>
            <wp:extent cx="1122680" cy="419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26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288925</wp:posOffset>
            </wp:positionV>
            <wp:extent cx="4208780"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87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237490</wp:posOffset>
            </wp:positionV>
            <wp:extent cx="4208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306070</wp:posOffset>
            </wp:positionV>
            <wp:extent cx="1036955" cy="574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ind w:left="3240"/>
        <w:spacing w:after="0" w:line="203" w:lineRule="auto"/>
        <w:rPr>
          <w:sz w:val="20"/>
          <w:szCs w:val="20"/>
          <w:color w:val="auto"/>
        </w:rPr>
      </w:pPr>
      <w:r>
        <w:rPr>
          <w:rFonts w:ascii="Arial" w:cs="Arial" w:eastAsia="Arial" w:hAnsi="Arial"/>
          <w:sz w:val="18"/>
          <w:szCs w:val="18"/>
          <w:color w:val="auto"/>
        </w:rPr>
        <w:t>RRMS in the E.U.</w:t>
      </w:r>
    </w:p>
    <w:p>
      <w:pPr>
        <w:ind w:left="3240"/>
        <w:spacing w:after="0"/>
        <w:rPr>
          <w:sz w:val="20"/>
          <w:szCs w:val="20"/>
          <w:color w:val="auto"/>
        </w:rPr>
      </w:pPr>
      <w:r>
        <w:rPr>
          <w:rFonts w:ascii="Arial" w:cs="Arial" w:eastAsia="Arial" w:hAnsi="Arial"/>
          <w:sz w:val="18"/>
          <w:szCs w:val="18"/>
          <w:color w:val="auto"/>
        </w:rPr>
        <w:t>Crohn's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420878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878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Collaborator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116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1611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Alkermes Pharma Ireland Limited, a subsidiary of Alkermes plc (Alkermes)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6116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6116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6116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611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17780</wp:posOffset>
            </wp:positionV>
            <wp:extent cx="1140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Japan</w:t>
      </w:r>
    </w:p>
    <w:p>
      <w:pPr>
        <w:spacing w:after="0" w:line="204" w:lineRule="auto"/>
        <w:rPr>
          <w:sz w:val="20"/>
          <w:szCs w:val="20"/>
          <w:color w:val="auto"/>
        </w:rPr>
      </w:pPr>
      <w:r>
        <w:rPr>
          <w:rFonts w:ascii="Arial" w:cs="Arial" w:eastAsia="Arial" w:hAnsi="Arial"/>
          <w:sz w:val="18"/>
          <w:szCs w:val="18"/>
          <w:color w:val="auto"/>
        </w:rPr>
        <w:t>Spain</w:t>
      </w: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1140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Germany</w:t>
      </w:r>
    </w:p>
    <w:p>
      <w:pPr>
        <w:spacing w:after="0" w:line="203" w:lineRule="auto"/>
        <w:rPr>
          <w:sz w:val="20"/>
          <w:szCs w:val="20"/>
          <w:color w:val="auto"/>
        </w:rPr>
      </w:pPr>
      <w:r>
        <w:rPr>
          <w:rFonts w:ascii="Arial" w:cs="Arial" w:eastAsia="Arial" w:hAnsi="Arial"/>
          <w:sz w:val="18"/>
          <w:szCs w:val="18"/>
          <w:color w:val="auto"/>
        </w:rPr>
        <w:t>Israel</w:t>
      </w:r>
    </w:p>
    <w:p>
      <w:pPr>
        <w:spacing w:after="0" w:line="204" w:lineRule="auto"/>
        <w:rPr>
          <w:sz w:val="20"/>
          <w:szCs w:val="20"/>
          <w:color w:val="auto"/>
        </w:rPr>
      </w:pPr>
      <w:r>
        <w:rPr>
          <w:rFonts w:ascii="Arial" w:cs="Arial" w:eastAsia="Arial" w:hAnsi="Arial"/>
          <w:sz w:val="18"/>
          <w:szCs w:val="18"/>
          <w:color w:val="auto"/>
        </w:rPr>
        <w:t>Switzerland</w:t>
      </w: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1140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Japan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1140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Spain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140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046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3" w:lineRule="auto"/>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line="204" w:lineRule="auto"/>
        <w:rPr>
          <w:sz w:val="20"/>
          <w:szCs w:val="20"/>
          <w:color w:val="auto"/>
        </w:rPr>
      </w:pPr>
      <w:r>
        <w:rPr>
          <w:rFonts w:ascii="Arial" w:cs="Arial" w:eastAsia="Arial" w:hAnsi="Arial"/>
          <w:sz w:val="18"/>
          <w:szCs w:val="18"/>
          <w:color w:val="auto"/>
        </w:rPr>
        <w:t>Italy</w:t>
      </w:r>
    </w:p>
    <w:p>
      <w:pPr>
        <w:spacing w:after="0" w:line="203" w:lineRule="auto"/>
        <w:rPr>
          <w:sz w:val="20"/>
          <w:szCs w:val="20"/>
          <w:color w:val="auto"/>
        </w:rPr>
      </w:pPr>
      <w:r>
        <w:rPr>
          <w:rFonts w:ascii="Arial" w:cs="Arial" w:eastAsia="Arial" w:hAnsi="Arial"/>
          <w:sz w:val="18"/>
          <w:szCs w:val="18"/>
          <w:color w:val="auto"/>
        </w:rPr>
        <w:t>Spain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11404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3">
            <w:col w:w="6060" w:space="720"/>
            <w:col w:w="2040" w:space="620"/>
            <w:col w:w="1780"/>
          </w:cols>
          <w:pgMar w:left="320" w:top="144" w:right="359" w:bottom="1440" w:gutter="0" w:footer="0" w:header="0"/>
          <w:type w:val="continuous"/>
        </w:sectPr>
      </w:pPr>
    </w:p>
    <w:tbl>
      <w:tblPr>
        <w:tblLayout w:type="fixed"/>
        <w:tblInd w:w="3220" w:type="dxa"/>
        <w:tblCellMar>
          <w:top w:w="0" w:type="dxa"/>
          <w:left w:w="0" w:type="dxa"/>
          <w:bottom w:w="0" w:type="dxa"/>
          <w:right w:w="0" w:type="dxa"/>
        </w:tblCellMar>
      </w:tblPr>
      <w:tr>
        <w:trPr>
          <w:trHeight w:val="207"/>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Walking ability for patients with MS</w:t>
            </w:r>
          </w:p>
        </w:tc>
        <w:tc>
          <w:tcPr>
            <w:tcW w:w="2640" w:type="dxa"/>
            <w:vAlign w:val="bottom"/>
            <w:gridSpan w:val="2"/>
          </w:tcPr>
          <w:p>
            <w:pPr>
              <w:spacing w:after="0"/>
              <w:rPr>
                <w:sz w:val="20"/>
                <w:szCs w:val="20"/>
                <w:color w:val="auto"/>
              </w:rPr>
            </w:pPr>
            <w:r>
              <w:rPr>
                <w:rFonts w:ascii="Arial" w:cs="Arial" w:eastAsia="Arial" w:hAnsi="Arial"/>
                <w:sz w:val="18"/>
                <w:szCs w:val="18"/>
                <w:color w:val="auto"/>
              </w:rPr>
              <w:t>Acorda Therapeutics, Inc.</w:t>
            </w:r>
          </w:p>
        </w:tc>
        <w:tc>
          <w:tcPr>
            <w:tcW w:w="18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36"/>
        </w:trPr>
        <w:tc>
          <w:tcPr>
            <w:tcW w:w="3560" w:type="dxa"/>
            <w:vAlign w:val="bottom"/>
            <w:gridSpan w:val="2"/>
            <w:vMerge w:val="continue"/>
          </w:tcPr>
          <w:p>
            <w:pPr>
              <w:spacing w:after="0"/>
              <w:rPr>
                <w:sz w:val="11"/>
                <w:szCs w:val="11"/>
                <w:color w:val="auto"/>
              </w:rPr>
            </w:pP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(Acorda)</w:t>
            </w: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954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50" w:lineRule="exact"/>
        <w:rPr>
          <w:sz w:val="20"/>
          <w:szCs w:val="20"/>
          <w:color w:val="auto"/>
        </w:rPr>
      </w:pPr>
    </w:p>
    <w:p>
      <w:pPr>
        <w:ind w:right="8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Alkermes and Acorda,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Neuromuscular Disorders</w:t>
      </w:r>
    </w:p>
    <w:p>
      <w:pPr>
        <w:spacing w:after="0" w:line="139"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deletion or mutations in the SMN1 gene, people with SMA do not produce enough survival motor neuron (SMN) protein, which is critical to the survival of the neurons that control muscles. The severity of SMA correlates with the amount of SMN protein. People with Type 1 SMA, the most severe life-threatening form, produce very little SMN protein and do not</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achieve the ability to sit without support, and typically do not live beyond two years of age without respiratory support and nutritional interventions. People with Type 2 and Type 3 SMA produce greater amounts of SMN protein and have less severe, but still life-altering, forms of SMA.</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SMA product and major markets are as follows: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3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Indication</w:t>
            </w: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Collaborator</w:t>
            </w:r>
          </w:p>
        </w:tc>
        <w:tc>
          <w:tcPr>
            <w:tcW w:w="1780" w:type="dxa"/>
            <w:vAlign w:val="bottom"/>
          </w:tcPr>
          <w:p>
            <w:pPr>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222"/>
        </w:trPr>
        <w:tc>
          <w:tcPr>
            <w:tcW w:w="3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SMA</w:t>
            </w:r>
          </w:p>
        </w:tc>
        <w:tc>
          <w:tcPr>
            <w:tcW w:w="2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Ionis Pharmaceuticals Inc.</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gridSpan w:val="2"/>
            <w:vMerge w:val="continue"/>
          </w:tcPr>
          <w:p>
            <w:pPr>
              <w:spacing w:after="0"/>
              <w:rPr>
                <w:sz w:val="10"/>
                <w:szCs w:val="10"/>
                <w:color w:val="auto"/>
              </w:rPr>
            </w:pPr>
          </w:p>
        </w:tc>
        <w:tc>
          <w:tcPr>
            <w:tcW w:w="266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(Ionis)</w:t>
            </w:r>
          </w:p>
        </w:tc>
        <w:tc>
          <w:tcPr>
            <w:tcW w:w="1780" w:type="dxa"/>
            <w:vAlign w:val="bottom"/>
            <w:vMerge w:val="restart"/>
          </w:tcPr>
          <w:p>
            <w:pPr>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53"/>
        </w:trPr>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7"/>
        </w:trPr>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-959485</wp:posOffset>
            </wp:positionV>
            <wp:extent cx="1371600" cy="68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685800"/>
                    </a:xfrm>
                    <a:prstGeom prst="rect">
                      <a:avLst/>
                    </a:prstGeom>
                    <a:noFill/>
                  </pic:spPr>
                </pic:pic>
              </a:graphicData>
            </a:graphic>
          </wp:anchor>
        </w:drawing>
      </w:r>
    </w:p>
    <w:p>
      <w:pPr>
        <w:spacing w:after="0" w:line="150"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Alzheimer's Disease</w:t>
      </w:r>
    </w:p>
    <w:p>
      <w:pPr>
        <w:spacing w:after="0" w:line="139"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Alzheimer's disease is characterized by two abnormalities in the brain: amyloid plaques and neurofibrillary tangles. Amyloid plaques, which are found in the tissue between the nerve cells, are unusual clumps of a protein called beta amyloid along with degenerating bits of neurons and other cells.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Alzheimer's disease product and major market is as follows:</w:t>
      </w:r>
    </w:p>
    <w:p>
      <w:pPr>
        <w:spacing w:after="0" w:line="199" w:lineRule="exact"/>
        <w:rPr>
          <w:sz w:val="20"/>
          <w:szCs w:val="20"/>
          <w:color w:val="auto"/>
        </w:rPr>
      </w:pPr>
    </w:p>
    <w:p>
      <w:pPr>
        <w:ind w:left="20"/>
        <w:spacing w:after="0"/>
        <w:tabs>
          <w:tab w:leader="none" w:pos="3200" w:val="left"/>
          <w:tab w:leader="none" w:pos="6760" w:val="left"/>
          <w:tab w:leader="none" w:pos="940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Collaborator</w:t>
      </w:r>
      <w:r>
        <w:rPr>
          <w:sz w:val="20"/>
          <w:szCs w:val="20"/>
          <w:color w:val="auto"/>
        </w:rPr>
        <w:tab/>
      </w:r>
      <w:r>
        <w:rPr>
          <w:rFonts w:ascii="Arial" w:cs="Arial" w:eastAsia="Arial" w:hAnsi="Arial"/>
          <w:sz w:val="14"/>
          <w:szCs w:val="14"/>
          <w:b w:val="1"/>
          <w:bCs w:val="1"/>
          <w:color w:val="auto"/>
        </w:rPr>
        <w:t>Major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9803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5829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20"/>
        <w:spacing w:after="0"/>
        <w:tabs>
          <w:tab w:leader="none" w:pos="6760" w:val="left"/>
          <w:tab w:leader="none" w:pos="9400" w:val="left"/>
        </w:tabs>
        <w:rPr>
          <w:sz w:val="20"/>
          <w:szCs w:val="20"/>
          <w:color w:val="auto"/>
        </w:rPr>
      </w:pPr>
      <w:r>
        <w:rPr>
          <w:rFonts w:ascii="Arial" w:cs="Arial" w:eastAsia="Arial" w:hAnsi="Arial"/>
          <w:sz w:val="18"/>
          <w:szCs w:val="18"/>
          <w:color w:val="auto"/>
        </w:rPr>
        <w:t>Alzheimer's disease</w:t>
      </w:r>
      <w:r>
        <w:rPr>
          <w:sz w:val="20"/>
          <w:szCs w:val="20"/>
          <w:color w:val="auto"/>
        </w:rPr>
        <w:tab/>
      </w:r>
      <w:r>
        <w:rPr>
          <w:rFonts w:ascii="Arial" w:cs="Arial" w:eastAsia="Arial" w:hAnsi="Arial"/>
          <w:sz w:val="18"/>
          <w:szCs w:val="18"/>
          <w:color w:val="auto"/>
        </w:rPr>
        <w:t>Eisai</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098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this report.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Biosimilars</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Biosimilars are a group of biologic medicines that are similar to currently available biologic therapies developed by companies known as "originators". Under our agreements with Samsung Bioepis, we commercialize three anti-tumor necrosis factor (TNF) biosimilars in certain countries in Europe: BENEPALI, an etanercept biosimilar referencing ENBREL, IMRALDI, an adalimumab biosimilar referencing HUMIRA, and FLIXABI, an infliximab biosimilar referencing REMICADE. We have also secured the exclusive rights to commercialize BYOOVIZ, a ranibizumab biosimilar referencing LUCENTIS, which was approved in the U.S., the E.U. and the U.K. during the third quarter of 2021.</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current biosimilar products and major markets are as follows:</w:t>
      </w:r>
    </w:p>
    <w:p>
      <w:pPr>
        <w:sectPr>
          <w:pgSz w:w="11900" w:h="16838" w:orient="portrait"/>
          <w:cols w:equalWidth="0" w:num="1">
            <w:col w:w="10820"/>
          </w:cols>
          <w:pgMar w:left="320" w:top="144" w:right="759" w:bottom="1440" w:gutter="0" w:footer="0" w:header="0"/>
        </w:sectPr>
      </w:pPr>
    </w:p>
    <w:p>
      <w:pPr>
        <w:spacing w:after="0" w:line="305" w:lineRule="exact"/>
        <w:rPr>
          <w:sz w:val="20"/>
          <w:szCs w:val="20"/>
          <w:color w:val="auto"/>
        </w:rPr>
      </w:pPr>
    </w:p>
    <w:p>
      <w:pPr>
        <w:ind w:left="20"/>
        <w:spacing w:after="0"/>
        <w:tabs>
          <w:tab w:leader="none" w:pos="344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692140" cy="668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668655"/>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Rheumatoid arthritis</w:t>
      </w:r>
    </w:p>
    <w:p>
      <w:pPr>
        <w:ind w:left="3460"/>
        <w:spacing w:after="0" w:line="203" w:lineRule="auto"/>
        <w:rPr>
          <w:sz w:val="20"/>
          <w:szCs w:val="20"/>
          <w:color w:val="auto"/>
        </w:rPr>
      </w:pPr>
      <w:r>
        <w:rPr>
          <w:rFonts w:ascii="Arial" w:cs="Arial" w:eastAsia="Arial" w:hAnsi="Arial"/>
          <w:sz w:val="18"/>
          <w:szCs w:val="18"/>
          <w:color w:val="auto"/>
        </w:rPr>
        <w:t>Juvenile idiopathic arthritis</w:t>
      </w:r>
    </w:p>
    <w:p>
      <w:pPr>
        <w:ind w:left="3460"/>
        <w:spacing w:after="0" w:line="203" w:lineRule="auto"/>
        <w:rPr>
          <w:sz w:val="20"/>
          <w:szCs w:val="20"/>
          <w:color w:val="auto"/>
        </w:rPr>
      </w:pPr>
      <w:r>
        <w:rPr>
          <w:rFonts w:ascii="Arial" w:cs="Arial" w:eastAsia="Arial" w:hAnsi="Arial"/>
          <w:sz w:val="18"/>
          <w:szCs w:val="18"/>
          <w:color w:val="auto"/>
        </w:rPr>
        <w:t>Psoriatic arthritis</w:t>
      </w:r>
    </w:p>
    <w:p>
      <w:pPr>
        <w:ind w:left="3460"/>
        <w:spacing w:after="0" w:line="204" w:lineRule="auto"/>
        <w:rPr>
          <w:sz w:val="20"/>
          <w:szCs w:val="20"/>
          <w:color w:val="auto"/>
        </w:rPr>
      </w:pPr>
      <w:r>
        <w:rPr>
          <w:rFonts w:ascii="Arial" w:cs="Arial" w:eastAsia="Arial" w:hAnsi="Arial"/>
          <w:sz w:val="18"/>
          <w:szCs w:val="18"/>
          <w:color w:val="auto"/>
        </w:rPr>
        <w:t>Axial spondyloarthritis</w:t>
      </w:r>
    </w:p>
    <w:p>
      <w:pPr>
        <w:ind w:left="3460"/>
        <w:spacing w:after="0" w:line="203" w:lineRule="auto"/>
        <w:rPr>
          <w:sz w:val="20"/>
          <w:szCs w:val="20"/>
          <w:color w:val="auto"/>
        </w:rPr>
      </w:pPr>
      <w:r>
        <w:rPr>
          <w:rFonts w:ascii="Arial" w:cs="Arial" w:eastAsia="Arial" w:hAnsi="Arial"/>
          <w:sz w:val="18"/>
          <w:szCs w:val="18"/>
          <w:color w:val="auto"/>
        </w:rPr>
        <w:t>Plaque psoriasis</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Paediatric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921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Rheumatoid arthritis</w:t>
      </w:r>
    </w:p>
    <w:p>
      <w:pPr>
        <w:ind w:left="3460"/>
        <w:spacing w:after="0" w:line="203" w:lineRule="auto"/>
        <w:rPr>
          <w:sz w:val="20"/>
          <w:szCs w:val="20"/>
          <w:color w:val="auto"/>
        </w:rPr>
      </w:pPr>
      <w:r>
        <w:rPr>
          <w:rFonts w:ascii="Arial" w:cs="Arial" w:eastAsia="Arial" w:hAnsi="Arial"/>
          <w:sz w:val="18"/>
          <w:szCs w:val="18"/>
          <w:color w:val="auto"/>
        </w:rPr>
        <w:t>Juvenile idiopathic arthritis</w:t>
      </w:r>
    </w:p>
    <w:p>
      <w:pPr>
        <w:ind w:left="3460"/>
        <w:spacing w:after="0" w:line="203" w:lineRule="auto"/>
        <w:rPr>
          <w:sz w:val="20"/>
          <w:szCs w:val="20"/>
          <w:color w:val="auto"/>
        </w:rPr>
      </w:pPr>
      <w:r>
        <w:rPr>
          <w:rFonts w:ascii="Arial" w:cs="Arial" w:eastAsia="Arial" w:hAnsi="Arial"/>
          <w:sz w:val="18"/>
          <w:szCs w:val="18"/>
          <w:color w:val="auto"/>
        </w:rPr>
        <w:t>Axial spondyloarthritis</w:t>
      </w:r>
    </w:p>
    <w:p>
      <w:pPr>
        <w:ind w:left="3460"/>
        <w:spacing w:after="0" w:line="204" w:lineRule="auto"/>
        <w:rPr>
          <w:sz w:val="20"/>
          <w:szCs w:val="20"/>
          <w:color w:val="auto"/>
        </w:rPr>
      </w:pPr>
      <w:r>
        <w:rPr>
          <w:rFonts w:ascii="Arial" w:cs="Arial" w:eastAsia="Arial" w:hAnsi="Arial"/>
          <w:sz w:val="18"/>
          <w:szCs w:val="18"/>
          <w:color w:val="auto"/>
        </w:rPr>
        <w:t>Psoriatic arthritis</w:t>
      </w:r>
    </w:p>
    <w:p>
      <w:pPr>
        <w:ind w:left="3460"/>
        <w:spacing w:after="0" w:line="203" w:lineRule="auto"/>
        <w:rPr>
          <w:sz w:val="20"/>
          <w:szCs w:val="20"/>
          <w:color w:val="auto"/>
        </w:rPr>
      </w:pPr>
      <w:r>
        <w:rPr>
          <w:rFonts w:ascii="Arial" w:cs="Arial" w:eastAsia="Arial" w:hAnsi="Arial"/>
          <w:sz w:val="18"/>
          <w:szCs w:val="18"/>
          <w:color w:val="auto"/>
        </w:rPr>
        <w:t>Psoriasis</w:t>
      </w:r>
    </w:p>
    <w:p>
      <w:pPr>
        <w:ind w:left="3460"/>
        <w:spacing w:after="0" w:line="204" w:lineRule="auto"/>
        <w:rPr>
          <w:sz w:val="20"/>
          <w:szCs w:val="20"/>
          <w:color w:val="auto"/>
        </w:rPr>
      </w:pPr>
      <w:r>
        <w:rPr>
          <w:rFonts w:ascii="Arial" w:cs="Arial" w:eastAsia="Arial" w:hAnsi="Arial"/>
          <w:sz w:val="18"/>
          <w:szCs w:val="18"/>
          <w:color w:val="auto"/>
        </w:rPr>
        <w:t>Paediatric plaque psoriasis</w:t>
      </w:r>
    </w:p>
    <w:p>
      <w:pPr>
        <w:ind w:left="3460"/>
        <w:spacing w:after="0" w:line="203" w:lineRule="auto"/>
        <w:rPr>
          <w:sz w:val="20"/>
          <w:szCs w:val="20"/>
          <w:color w:val="auto"/>
        </w:rPr>
      </w:pPr>
      <w:r>
        <w:rPr>
          <w:rFonts w:ascii="Arial" w:cs="Arial" w:eastAsia="Arial" w:hAnsi="Arial"/>
          <w:sz w:val="18"/>
          <w:szCs w:val="18"/>
          <w:color w:val="auto"/>
        </w:rPr>
        <w:t>Hidradenitis suppurativa</w:t>
      </w:r>
    </w:p>
    <w:p>
      <w:pPr>
        <w:ind w:left="3460"/>
        <w:spacing w:after="0" w:line="216" w:lineRule="auto"/>
        <w:rPr>
          <w:sz w:val="20"/>
          <w:szCs w:val="20"/>
          <w:color w:val="auto"/>
        </w:rPr>
      </w:pPr>
      <w:r>
        <w:rPr>
          <w:rFonts w:ascii="Arial" w:cs="Arial" w:eastAsia="Arial" w:hAnsi="Arial"/>
          <w:sz w:val="17"/>
          <w:szCs w:val="17"/>
          <w:color w:val="auto"/>
        </w:rPr>
        <w:t>Adolescent hidradenitis suppurativa</w:t>
      </w:r>
    </w:p>
    <w:p>
      <w:pPr>
        <w:ind w:left="3460"/>
        <w:spacing w:after="0" w:line="203" w:lineRule="auto"/>
        <w:rPr>
          <w:sz w:val="20"/>
          <w:szCs w:val="20"/>
          <w:color w:val="auto"/>
        </w:rPr>
      </w:pPr>
      <w:r>
        <w:rPr>
          <w:rFonts w:ascii="Arial" w:cs="Arial" w:eastAsia="Arial" w:hAnsi="Arial"/>
          <w:sz w:val="18"/>
          <w:szCs w:val="18"/>
          <w:color w:val="auto"/>
        </w:rPr>
        <w:t>Crohn’s disease</w:t>
      </w:r>
    </w:p>
    <w:p>
      <w:pPr>
        <w:ind w:left="3460"/>
        <w:spacing w:after="0" w:line="204" w:lineRule="auto"/>
        <w:rPr>
          <w:sz w:val="20"/>
          <w:szCs w:val="20"/>
          <w:color w:val="auto"/>
        </w:rPr>
      </w:pPr>
      <w:r>
        <w:rPr>
          <w:rFonts w:ascii="Arial" w:cs="Arial" w:eastAsia="Arial" w:hAnsi="Arial"/>
          <w:sz w:val="18"/>
          <w:szCs w:val="18"/>
          <w:color w:val="auto"/>
        </w:rPr>
        <w:t>Paediatric Crohn's disease</w:t>
      </w:r>
    </w:p>
    <w:p>
      <w:pPr>
        <w:ind w:left="3460"/>
        <w:spacing w:after="0" w:line="203" w:lineRule="auto"/>
        <w:rPr>
          <w:sz w:val="20"/>
          <w:szCs w:val="20"/>
          <w:color w:val="auto"/>
        </w:rPr>
      </w:pPr>
      <w:r>
        <w:rPr>
          <w:rFonts w:ascii="Arial" w:cs="Arial" w:eastAsia="Arial" w:hAnsi="Arial"/>
          <w:sz w:val="18"/>
          <w:szCs w:val="18"/>
          <w:color w:val="auto"/>
        </w:rPr>
        <w:t>Ulcerative colitis</w:t>
      </w:r>
    </w:p>
    <w:p>
      <w:pPr>
        <w:ind w:left="3460"/>
        <w:spacing w:after="0" w:line="204" w:lineRule="auto"/>
        <w:rPr>
          <w:sz w:val="20"/>
          <w:szCs w:val="20"/>
          <w:color w:val="auto"/>
        </w:rPr>
      </w:pPr>
      <w:r>
        <w:rPr>
          <w:rFonts w:ascii="Arial" w:cs="Arial" w:eastAsia="Arial" w:hAnsi="Arial"/>
          <w:sz w:val="18"/>
          <w:szCs w:val="18"/>
          <w:color w:val="auto"/>
        </w:rPr>
        <w:t>Uveitis</w:t>
      </w:r>
    </w:p>
    <w:p>
      <w:pPr>
        <w:ind w:left="3460"/>
        <w:spacing w:after="0"/>
        <w:rPr>
          <w:sz w:val="20"/>
          <w:szCs w:val="20"/>
          <w:color w:val="auto"/>
        </w:rPr>
      </w:pPr>
      <w:r>
        <w:rPr>
          <w:rFonts w:ascii="Arial" w:cs="Arial" w:eastAsia="Arial" w:hAnsi="Arial"/>
          <w:sz w:val="18"/>
          <w:szCs w:val="18"/>
          <w:color w:val="auto"/>
        </w:rPr>
        <w:t>Paediatric Uveitis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92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-84455</wp:posOffset>
            </wp:positionV>
            <wp:extent cx="1508760" cy="796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08760" cy="796925"/>
                    </a:xfrm>
                    <a:prstGeom prst="rect">
                      <a:avLst/>
                    </a:prstGeom>
                    <a:noFill/>
                  </pic:spPr>
                </pic:pic>
              </a:graphicData>
            </a:graphic>
          </wp:anchor>
        </w:drawing>
      </w:r>
    </w:p>
    <w:p>
      <w:pPr>
        <w:ind w:left="3460"/>
        <w:spacing w:after="0" w:line="203" w:lineRule="auto"/>
        <w:rPr>
          <w:sz w:val="20"/>
          <w:szCs w:val="20"/>
          <w:color w:val="auto"/>
        </w:rPr>
      </w:pPr>
      <w:r>
        <w:rPr>
          <w:rFonts w:ascii="Arial" w:cs="Arial" w:eastAsia="Arial" w:hAnsi="Arial"/>
          <w:sz w:val="18"/>
          <w:szCs w:val="18"/>
          <w:color w:val="auto"/>
        </w:rPr>
        <w:t>Crohn’s disease</w:t>
      </w:r>
    </w:p>
    <w:p>
      <w:pPr>
        <w:ind w:left="3460"/>
        <w:spacing w:after="0" w:line="203" w:lineRule="auto"/>
        <w:rPr>
          <w:sz w:val="20"/>
          <w:szCs w:val="20"/>
          <w:color w:val="auto"/>
        </w:rPr>
      </w:pPr>
      <w:r>
        <w:rPr>
          <w:rFonts w:ascii="Arial" w:cs="Arial" w:eastAsia="Arial" w:hAnsi="Arial"/>
          <w:sz w:val="18"/>
          <w:szCs w:val="18"/>
          <w:color w:val="auto"/>
        </w:rPr>
        <w:t>Paediatric Crohn’s disease</w:t>
      </w:r>
    </w:p>
    <w:p>
      <w:pPr>
        <w:ind w:left="3460"/>
        <w:spacing w:after="0" w:line="204" w:lineRule="auto"/>
        <w:rPr>
          <w:sz w:val="20"/>
          <w:szCs w:val="20"/>
          <w:color w:val="auto"/>
        </w:rPr>
      </w:pPr>
      <w:r>
        <w:rPr>
          <w:rFonts w:ascii="Arial" w:cs="Arial" w:eastAsia="Arial" w:hAnsi="Arial"/>
          <w:sz w:val="18"/>
          <w:szCs w:val="18"/>
          <w:color w:val="auto"/>
        </w:rPr>
        <w:t>Ulcerative colitis</w:t>
      </w:r>
    </w:p>
    <w:p>
      <w:pPr>
        <w:ind w:left="3460"/>
        <w:spacing w:after="0" w:line="203" w:lineRule="auto"/>
        <w:rPr>
          <w:sz w:val="20"/>
          <w:szCs w:val="20"/>
          <w:color w:val="auto"/>
        </w:rPr>
      </w:pPr>
      <w:r>
        <w:rPr>
          <w:rFonts w:ascii="Arial" w:cs="Arial" w:eastAsia="Arial" w:hAnsi="Arial"/>
          <w:sz w:val="18"/>
          <w:szCs w:val="18"/>
          <w:color w:val="auto"/>
        </w:rPr>
        <w:t>Paediatric ulcerative colitis</w:t>
      </w:r>
    </w:p>
    <w:p>
      <w:pPr>
        <w:ind w:left="3460"/>
        <w:spacing w:after="0" w:line="204" w:lineRule="auto"/>
        <w:rPr>
          <w:sz w:val="20"/>
          <w:szCs w:val="20"/>
          <w:color w:val="auto"/>
        </w:rPr>
      </w:pPr>
      <w:r>
        <w:rPr>
          <w:rFonts w:ascii="Arial" w:cs="Arial" w:eastAsia="Arial" w:hAnsi="Arial"/>
          <w:sz w:val="18"/>
          <w:szCs w:val="18"/>
          <w:color w:val="auto"/>
        </w:rPr>
        <w:t>Ankylosing spondylitis</w:t>
      </w:r>
    </w:p>
    <w:p>
      <w:pPr>
        <w:ind w:left="3460"/>
        <w:spacing w:after="0" w:line="203" w:lineRule="auto"/>
        <w:rPr>
          <w:sz w:val="20"/>
          <w:szCs w:val="20"/>
          <w:color w:val="auto"/>
        </w:rPr>
      </w:pPr>
      <w:r>
        <w:rPr>
          <w:rFonts w:ascii="Arial" w:cs="Arial" w:eastAsia="Arial" w:hAnsi="Arial"/>
          <w:sz w:val="18"/>
          <w:szCs w:val="18"/>
          <w:color w:val="auto"/>
        </w:rPr>
        <w:t>Psoriatic arthritis</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692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17780</wp:posOffset>
            </wp:positionV>
            <wp:extent cx="10369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line="203" w:lineRule="auto"/>
        <w:rPr>
          <w:sz w:val="20"/>
          <w:szCs w:val="20"/>
          <w:color w:val="auto"/>
        </w:rPr>
      </w:pPr>
      <w:r>
        <w:rPr>
          <w:rFonts w:ascii="Arial" w:cs="Arial" w:eastAsia="Arial" w:hAnsi="Arial"/>
          <w:sz w:val="18"/>
          <w:szCs w:val="18"/>
          <w:color w:val="auto"/>
        </w:rPr>
        <w:t>Italy</w:t>
      </w:r>
    </w:p>
    <w:p>
      <w:pPr>
        <w:spacing w:after="0" w:line="204" w:lineRule="auto"/>
        <w:rPr>
          <w:sz w:val="20"/>
          <w:szCs w:val="20"/>
          <w:color w:val="auto"/>
        </w:rPr>
      </w:pPr>
      <w:r>
        <w:rPr>
          <w:rFonts w:ascii="Arial" w:cs="Arial" w:eastAsia="Arial" w:hAnsi="Arial"/>
          <w:sz w:val="18"/>
          <w:szCs w:val="18"/>
          <w:color w:val="auto"/>
        </w:rPr>
        <w:t>Spain</w:t>
      </w: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10369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rPr>
          <w:sz w:val="20"/>
          <w:szCs w:val="20"/>
          <w:color w:val="auto"/>
        </w:rPr>
      </w:pPr>
      <w:r>
        <w:rPr>
          <w:rFonts w:ascii="Arial" w:cs="Arial" w:eastAsia="Arial" w:hAnsi="Arial"/>
          <w:sz w:val="18"/>
          <w:szCs w:val="18"/>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563245</wp:posOffset>
            </wp:positionV>
            <wp:extent cx="1036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03" w:lineRule="auto"/>
        <w:rPr>
          <w:sz w:val="20"/>
          <w:szCs w:val="20"/>
          <w:color w:val="auto"/>
        </w:rPr>
      </w:pPr>
      <w:r>
        <w:rPr>
          <w:rFonts w:ascii="Arial" w:cs="Arial" w:eastAsia="Arial" w:hAnsi="Arial"/>
          <w:sz w:val="18"/>
          <w:szCs w:val="18"/>
          <w:color w:val="auto"/>
        </w:rPr>
        <w:t>Germany</w:t>
      </w:r>
    </w:p>
    <w:p>
      <w:pPr>
        <w:spacing w:after="0"/>
        <w:rPr>
          <w:sz w:val="20"/>
          <w:szCs w:val="20"/>
          <w:color w:val="auto"/>
        </w:rPr>
      </w:pPr>
      <w:r>
        <w:rPr>
          <w:rFonts w:ascii="Arial" w:cs="Arial" w:eastAsia="Arial" w:hAnsi="Arial"/>
          <w:sz w:val="18"/>
          <w:szCs w:val="18"/>
          <w:color w:val="auto"/>
        </w:rPr>
        <w:t>Italy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288925</wp:posOffset>
            </wp:positionV>
            <wp:extent cx="1036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639" w:lineRule="exact"/>
        <w:rPr>
          <w:sz w:val="20"/>
          <w:szCs w:val="20"/>
          <w:color w:val="auto"/>
        </w:rPr>
      </w:pPr>
    </w:p>
    <w:p>
      <w:pPr>
        <w:sectPr>
          <w:pgSz w:w="11900" w:h="16838" w:orient="portrait"/>
          <w:cols w:equalWidth="0" w:num="2">
            <w:col w:w="8380" w:space="720"/>
            <w:col w:w="1720"/>
          </w:cols>
          <w:pgMar w:left="320" w:top="144" w:right="759" w:bottom="1440" w:gutter="0" w:footer="0" w:header="0"/>
          <w:type w:val="continuous"/>
        </w:sectPr>
      </w:pPr>
    </w:p>
    <w:p>
      <w:pPr>
        <w:ind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1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4" w:right="75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Relationships</w:t>
      </w:r>
    </w:p>
    <w:p>
      <w:pPr>
        <w:spacing w:after="0" w:line="139"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and other potential anti-CD20 therapies, including mosunetuzumab.</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anti-CD20 therapeutic programs and major markets are as follows:</w:t>
      </w:r>
    </w:p>
    <w:p>
      <w:pPr>
        <w:sectPr>
          <w:pgSz w:w="11900" w:h="16838" w:orient="portrait"/>
          <w:cols w:equalWidth="0" w:num="1">
            <w:col w:w="11220"/>
          </w:cols>
          <w:pgMar w:left="320" w:top="144" w:right="359" w:bottom="1440" w:gutter="0" w:footer="0" w:header="0"/>
        </w:sectPr>
      </w:pPr>
    </w:p>
    <w:p>
      <w:pPr>
        <w:spacing w:after="0" w:line="132"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4"/>
          <w:szCs w:val="14"/>
          <w:b w:val="1"/>
          <w:bCs w:val="1"/>
          <w:color w:val="auto"/>
        </w:rPr>
        <w:t>Product</w:t>
      </w:r>
      <w:r>
        <w:rPr>
          <w:sz w:val="20"/>
          <w:szCs w:val="20"/>
          <w:color w:val="auto"/>
        </w:rPr>
        <w:tab/>
      </w:r>
      <w:r>
        <w:rPr>
          <w:rFonts w:ascii="Arial" w:cs="Arial" w:eastAsia="Arial" w:hAnsi="Arial"/>
          <w:sz w:val="14"/>
          <w:szCs w:val="14"/>
          <w:b w:val="1"/>
          <w:bCs w:val="1"/>
          <w:color w:val="auto"/>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5897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4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-59055</wp:posOffset>
            </wp:positionV>
            <wp:extent cx="1097280" cy="402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97280" cy="402590"/>
                    </a:xfrm>
                    <a:prstGeom prst="rect">
                      <a:avLst/>
                    </a:prstGeom>
                    <a:noFill/>
                  </pic:spPr>
                </pic:pic>
              </a:graphicData>
            </a:graphic>
          </wp:anchor>
        </w:drawing>
      </w:r>
    </w:p>
    <w:p>
      <w:pPr>
        <w:ind w:left="3300"/>
        <w:spacing w:after="0" w:line="203" w:lineRule="auto"/>
        <w:rPr>
          <w:sz w:val="20"/>
          <w:szCs w:val="20"/>
          <w:color w:val="auto"/>
        </w:rPr>
      </w:pPr>
      <w:r>
        <w:rPr>
          <w:rFonts w:ascii="Arial" w:cs="Arial" w:eastAsia="Arial" w:hAnsi="Arial"/>
          <w:sz w:val="18"/>
          <w:szCs w:val="18"/>
          <w:color w:val="auto"/>
        </w:rPr>
        <w:t>CLL</w:t>
      </w:r>
    </w:p>
    <w:p>
      <w:pPr>
        <w:ind w:left="3300"/>
        <w:spacing w:after="0" w:line="203" w:lineRule="auto"/>
        <w:rPr>
          <w:sz w:val="20"/>
          <w:szCs w:val="20"/>
          <w:color w:val="auto"/>
        </w:rPr>
      </w:pPr>
      <w:r>
        <w:rPr>
          <w:rFonts w:ascii="Arial" w:cs="Arial" w:eastAsia="Arial" w:hAnsi="Arial"/>
          <w:sz w:val="18"/>
          <w:szCs w:val="18"/>
          <w:color w:val="auto"/>
        </w:rPr>
        <w:t>Rheumatoid arthritis</w:t>
      </w:r>
    </w:p>
    <w:p>
      <w:pPr>
        <w:ind w:left="3300"/>
        <w:spacing w:after="0" w:line="216" w:lineRule="auto"/>
        <w:rPr>
          <w:sz w:val="20"/>
          <w:szCs w:val="20"/>
          <w:color w:val="auto"/>
        </w:rPr>
      </w:pPr>
      <w:r>
        <w:rPr>
          <w:rFonts w:ascii="Arial" w:cs="Arial" w:eastAsia="Arial" w:hAnsi="Arial"/>
          <w:sz w:val="17"/>
          <w:szCs w:val="17"/>
          <w:color w:val="auto"/>
        </w:rPr>
        <w:t>Two forms of ANCA-associated vasculitis</w:t>
      </w:r>
    </w:p>
    <w:p>
      <w:pPr>
        <w:ind w:left="3300"/>
        <w:spacing w:after="0"/>
        <w:rPr>
          <w:sz w:val="20"/>
          <w:szCs w:val="20"/>
          <w:color w:val="auto"/>
        </w:rPr>
      </w:pPr>
      <w:r>
        <w:rPr>
          <w:rFonts w:ascii="Arial" w:cs="Arial" w:eastAsia="Arial" w:hAnsi="Arial"/>
          <w:sz w:val="18"/>
          <w:szCs w:val="18"/>
          <w:color w:val="auto"/>
        </w:rPr>
        <w:t>Pemphigus vulgaris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589788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97880" cy="445770"/>
                    </a:xfrm>
                    <a:prstGeom prst="rect">
                      <a:avLst/>
                    </a:prstGeom>
                    <a:noFill/>
                  </pic:spPr>
                </pic:pic>
              </a:graphicData>
            </a:graphic>
          </wp:anchor>
        </w:drawing>
      </w:r>
    </w:p>
    <w:p>
      <w:pPr>
        <w:spacing w:after="0" w:line="187"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ind w:left="3300"/>
        <w:spacing w:after="0"/>
        <w:rPr>
          <w:sz w:val="20"/>
          <w:szCs w:val="20"/>
          <w:color w:val="auto"/>
        </w:rPr>
      </w:pPr>
      <w:r>
        <w:rPr>
          <w:rFonts w:ascii="Arial" w:cs="Arial" w:eastAsia="Arial" w:hAnsi="Arial"/>
          <w:sz w:val="18"/>
          <w:szCs w:val="18"/>
          <w:color w:val="auto"/>
        </w:rPr>
        <w:t>CLL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5897880" cy="659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65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398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rPr>
          <w:sz w:val="20"/>
          <w:szCs w:val="20"/>
          <w:color w:val="auto"/>
        </w:rPr>
      </w:pPr>
      <w:r>
        <w:rPr>
          <w:rFonts w:ascii="Arial" w:cs="Arial" w:eastAsia="Arial" w:hAnsi="Arial"/>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1398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1398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8720" w:space="720"/>
            <w:col w:w="1780"/>
          </w:cols>
          <w:pgMar w:left="320" w:top="144" w:right="359" w:bottom="1440" w:gutter="0" w:footer="0" w:header="0"/>
          <w:type w:val="continuous"/>
        </w:sectPr>
      </w:pPr>
    </w:p>
    <w:p>
      <w:pPr>
        <w:spacing w:after="0" w:line="8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In combination with chlorambucil for previously untreated CLL</w:t>
      </w:r>
    </w:p>
    <w:p>
      <w:pPr>
        <w:ind w:left="3300"/>
        <w:spacing w:after="0" w:line="203" w:lineRule="auto"/>
        <w:rPr>
          <w:sz w:val="20"/>
          <w:szCs w:val="20"/>
          <w:color w:val="auto"/>
        </w:rPr>
      </w:pPr>
      <w:r>
        <w:rPr>
          <w:rFonts w:ascii="Arial" w:cs="Arial" w:eastAsia="Arial" w:hAnsi="Arial"/>
          <w:sz w:val="18"/>
          <w:szCs w:val="18"/>
          <w:color w:val="auto"/>
        </w:rPr>
        <w:t>Follicular lymphoma</w:t>
      </w:r>
    </w:p>
    <w:tbl>
      <w:tblPr>
        <w:tblLayout w:type="fixed"/>
        <w:tblInd w:w="3280" w:type="dxa"/>
        <w:tblCellMar>
          <w:top w:w="0" w:type="dxa"/>
          <w:left w:w="0" w:type="dxa"/>
          <w:bottom w:w="0" w:type="dxa"/>
          <w:right w:w="0" w:type="dxa"/>
        </w:tblCellMar>
      </w:tblPr>
      <w:tr>
        <w:trPr>
          <w:trHeight w:val="217"/>
        </w:trPr>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In combination with chemotherapy followed by GAZYVA alone for</w:t>
            </w: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34"/>
        </w:trPr>
        <w:tc>
          <w:tcPr>
            <w:tcW w:w="6160" w:type="dxa"/>
            <w:vAlign w:val="bottom"/>
            <w:gridSpan w:val="2"/>
            <w:vMerge w:val="continue"/>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previously untreated follicular lymphoma</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0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6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RMS</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175"/>
        </w:trPr>
        <w:tc>
          <w:tcPr>
            <w:tcW w:w="6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PPMS</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7"/>
        </w:trPr>
        <w:tc>
          <w:tcPr>
            <w:tcW w:w="6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19970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97075"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-521970</wp:posOffset>
            </wp:positionV>
            <wp:extent cx="1997075" cy="454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97075" cy="454025"/>
                    </a:xfrm>
                    <a:prstGeom prst="rect">
                      <a:avLst/>
                    </a:prstGeom>
                    <a:noFill/>
                  </pic:spPr>
                </pic:pic>
              </a:graphicData>
            </a:graphic>
          </wp:anchor>
        </w:drawing>
      </w:r>
    </w:p>
    <w:p>
      <w:pPr>
        <w:spacing w:after="0" w:line="123" w:lineRule="exact"/>
        <w:rPr>
          <w:sz w:val="20"/>
          <w:szCs w:val="20"/>
          <w:color w:val="auto"/>
        </w:rPr>
      </w:pPr>
    </w:p>
    <w:p>
      <w:pPr>
        <w:ind w:right="9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6"/>
                <w:szCs w:val="16"/>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Indication</w:t>
            </w:r>
          </w:p>
        </w:tc>
        <w:tc>
          <w:tcPr>
            <w:tcW w:w="120" w:type="dxa"/>
            <w:vAlign w:val="bottom"/>
          </w:tcPr>
          <w:p>
            <w:pPr>
              <w:spacing w:after="0"/>
              <w:rPr>
                <w:sz w:val="16"/>
                <w:szCs w:val="16"/>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Collaborator</w:t>
            </w:r>
          </w:p>
        </w:tc>
        <w:tc>
          <w:tcPr>
            <w:tcW w:w="120" w:type="dxa"/>
            <w:vAlign w:val="bottom"/>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Major Markets</w:t>
            </w:r>
          </w:p>
        </w:tc>
        <w:tc>
          <w:tcPr>
            <w:tcW w:w="0" w:type="dxa"/>
            <w:vAlign w:val="bottom"/>
          </w:tcPr>
          <w:p>
            <w:pPr>
              <w:spacing w:after="0"/>
              <w:rPr>
                <w:sz w:val="1"/>
                <w:szCs w:val="1"/>
                <w:color w:val="auto"/>
              </w:rPr>
            </w:pPr>
          </w:p>
        </w:tc>
      </w:tr>
      <w:tr>
        <w:trPr>
          <w:trHeight w:val="480"/>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Moderate to severe plaque psoriasis</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-436880</wp:posOffset>
            </wp:positionV>
            <wp:extent cx="934085" cy="368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4085" cy="36830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Patient Support and Access</w:t>
      </w:r>
    </w:p>
    <w:p>
      <w:pPr>
        <w:spacing w:after="0" w:line="130"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104"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We are dedicated to helping patients obtain access to our therapies. Our patient representatives have access to a suite of financial assistance tools. With those tools, we help patients understand their</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insurance coverage and, if needed, help patients compare and select new insurance options and programs. In the U.S., we have established programs that provide co-pay assistance or free marketed product for qualified uninsured or underinsured patients, based on specific eligibility criteria. We also provide charitable contributions to independent charitable organizations that assist patients with out-of-pocket expenses associated with their therapy.</w:t>
      </w:r>
    </w:p>
    <w:p>
      <w:pPr>
        <w:spacing w:after="0" w:line="97" w:lineRule="exact"/>
        <w:rPr>
          <w:sz w:val="20"/>
          <w:szCs w:val="20"/>
          <w:color w:val="auto"/>
        </w:rPr>
      </w:pPr>
    </w:p>
    <w:p>
      <w:pPr>
        <w:ind w:right="280" w:firstLine="445"/>
        <w:spacing w:after="0" w:line="252" w:lineRule="auto"/>
        <w:rPr>
          <w:sz w:val="20"/>
          <w:szCs w:val="20"/>
          <w:color w:val="auto"/>
        </w:rPr>
      </w:pPr>
      <w:r>
        <w:rPr>
          <w:rFonts w:ascii="Arial" w:cs="Arial" w:eastAsia="Arial" w:hAnsi="Arial"/>
          <w:sz w:val="18"/>
          <w:szCs w:val="18"/>
          <w:color w:val="auto"/>
        </w:rPr>
        <w:t>We believe all healthcare stakeholders have a shared responsibility to ensure patients have equitable access to new, innovative medicines. We regularly review our pricing strategy and prioritize patient access to our therapies. We have a value-based contracting program designed to align the price of our therapies to the value our therapies deliver to patients. We also work with regulators, clinical researchers, ethicists, physicians and patient</w:t>
      </w:r>
    </w:p>
    <w:p>
      <w:pPr>
        <w:spacing w:after="0" w:line="200" w:lineRule="exact"/>
        <w:rPr>
          <w:sz w:val="20"/>
          <w:szCs w:val="20"/>
          <w:color w:val="auto"/>
        </w:rPr>
      </w:pPr>
    </w:p>
    <w:p>
      <w:pPr>
        <w:sectPr>
          <w:pgSz w:w="11900" w:h="16838" w:orient="portrait"/>
          <w:cols w:equalWidth="0" w:num="2">
            <w:col w:w="5180" w:space="720"/>
            <w:col w:w="5320"/>
          </w:cols>
          <w:pgMar w:left="320" w:top="144" w:right="359" w:bottom="1440"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advocacy organizations and communities, among others, to determine how best to address requests for access to our investigational therapies in a manner that is consistent with our patient-focused values and compliant with regulatory standards and protocols. In appropriate situations, patients may have access to investigational therapies through Early Access Programs, single patient access or emergency use based on humanitarian or compassionate grounds.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Marketing and Distribution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Sales Force and Marketing</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promote our marketed products worldwide, including in the U.S., Europe and Japan, primarily through our own sales forces and marketing groups. In some countries, particularly in areas where we continue to expand into new geographic areas, we partner with third-parties.</w:t>
      </w:r>
    </w:p>
    <w:p>
      <w:pPr>
        <w:spacing w:after="0" w:line="97"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We and Eisai co-promote AVONEX, TYSABRI and TECFIDERA in Japan in certain settings.</w:t>
      </w:r>
    </w:p>
    <w:p>
      <w:pPr>
        <w:spacing w:after="0" w:line="90"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We and Eisai co-promote ADUHELM with a region-based profit split.</w:t>
      </w:r>
    </w:p>
    <w:p>
      <w:pPr>
        <w:spacing w:after="0" w:line="90"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RITUXAN, RITUXAN HYCELA, GAZYVA and OCREVUS are marketed by the Roche Group and its sublicensees.</w:t>
      </w:r>
    </w:p>
    <w:p>
      <w:pPr>
        <w:spacing w:after="0" w:line="66" w:lineRule="exact"/>
        <w:rPr>
          <w:sz w:val="20"/>
          <w:szCs w:val="20"/>
          <w:color w:val="auto"/>
        </w:rPr>
      </w:pPr>
    </w:p>
    <w:p>
      <w:pPr>
        <w:jc w:val="both"/>
        <w:ind w:right="420" w:firstLine="445"/>
        <w:spacing w:after="0" w:line="256" w:lineRule="auto"/>
        <w:rPr>
          <w:sz w:val="20"/>
          <w:szCs w:val="20"/>
          <w:color w:val="auto"/>
        </w:rPr>
      </w:pPr>
      <w:r>
        <w:rPr>
          <w:rFonts w:ascii="Arial" w:cs="Arial" w:eastAsia="Arial" w:hAnsi="Arial"/>
          <w:sz w:val="18"/>
          <w:szCs w:val="18"/>
          <w:color w:val="auto"/>
        </w:rPr>
        <w:t>We commercialize BENEPALI, IMRALDI and FLIXABI pursuant to our agreement with Samsung Bioepis in certain countries in Europe.</w:t>
      </w:r>
    </w:p>
    <w:p>
      <w:pPr>
        <w:spacing w:after="0" w:line="94"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We focus our sales and marketing efforts on specialist physicians in private practice or at major medical centers. We use customary industry practices to market our products and to educate physicians, such as sales representatives calling on individual physicians, advertisements, professional symposia, direct mail, public relations and other methods.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Distribution Arrangements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distribute our products in the U.S. principally through wholesale and specialty distributors of pharmaceutical products and specialty pharmacies,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97"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Eisai distributes AVONEX, TYSABRI, TECFIDERA and PLEGRIDY in India and other Asia-Pacific markets, excluding China.</w:t>
      </w:r>
    </w:p>
    <w:p>
      <w:pPr>
        <w:spacing w:after="0" w:line="94"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RITUXAN, RITUXAN HYCELA, GAZYVA and OCREVUS are distributed by the Roche Group and its sublicensees.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120" w:firstLine="445"/>
        <w:spacing w:after="0" w:line="256" w:lineRule="auto"/>
        <w:rPr>
          <w:sz w:val="20"/>
          <w:szCs w:val="20"/>
          <w:color w:val="auto"/>
        </w:rPr>
      </w:pPr>
      <w:r>
        <w:rPr>
          <w:rFonts w:ascii="Arial" w:cs="Arial" w:eastAsia="Arial" w:hAnsi="Arial"/>
          <w:sz w:val="18"/>
          <w:szCs w:val="18"/>
          <w:color w:val="auto"/>
        </w:rPr>
        <w:t>We distribute BENEPALI, IMRALDI and FLIXABI in certain countries in Europe and have an option to acquire exclusive rights to distribute these products in China.</w:t>
      </w:r>
    </w:p>
    <w:p>
      <w:pPr>
        <w:spacing w:after="0" w:line="94" w:lineRule="exact"/>
        <w:rPr>
          <w:sz w:val="20"/>
          <w:szCs w:val="20"/>
          <w:color w:val="auto"/>
        </w:rPr>
      </w:pPr>
    </w:p>
    <w:p>
      <w:pPr>
        <w:ind w:left="380" w:right="60" w:firstLine="445"/>
        <w:spacing w:after="0" w:line="252" w:lineRule="auto"/>
        <w:rPr>
          <w:sz w:val="20"/>
          <w:szCs w:val="20"/>
          <w:color w:val="auto"/>
        </w:rPr>
      </w:pPr>
      <w:r>
        <w:rPr>
          <w:rFonts w:ascii="Arial" w:cs="Arial" w:eastAsia="Arial" w:hAnsi="Arial"/>
          <w:sz w:val="18"/>
          <w:szCs w:val="18"/>
          <w:color w:val="auto"/>
        </w:rPr>
        <w:t xml:space="preserve">Our product sales to two wholesale distributors each accounted for more than 10.0% of our total revenue for the years ended December 31, 2021, 2020 and 2019, and on a combined basis, accounted for approximately 38.9%, 45.8% and 47.0% of our gross product revenue for the years ended December 31, 2021, 2020 and 2019, respectively. For additional information, please read </w:t>
      </w:r>
      <w:r>
        <w:rPr>
          <w:rFonts w:ascii="Arial" w:cs="Arial" w:eastAsia="Arial" w:hAnsi="Arial"/>
          <w:sz w:val="18"/>
          <w:szCs w:val="18"/>
          <w:i w:val="1"/>
          <w:iCs w:val="1"/>
          <w:color w:val="auto"/>
        </w:rPr>
        <w:t>Note 4, Revenue</w:t>
      </w:r>
      <w:r>
        <w:rPr>
          <w:rFonts w:ascii="Arial" w:cs="Arial" w:eastAsia="Arial" w:hAnsi="Arial"/>
          <w:sz w:val="18"/>
          <w:szCs w:val="18"/>
          <w:color w:val="auto"/>
        </w:rPr>
        <w:t>, to our consolidated financial statements included in this report.</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Patents and Other Proprietary Rights</w:t>
      </w:r>
    </w:p>
    <w:p>
      <w:pPr>
        <w:spacing w:after="0" w:line="130"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Patents are important to obtaining and protecting exclusive rights in our products and product candidates. We regularly seek patent protection in the U.S. and in selected countries outside the U.S. for inventions originating from our research and development efforts and those we license or acquire. In addition, we license rights to various patents and patent applications.</w:t>
      </w:r>
    </w:p>
    <w:p>
      <w:pPr>
        <w:spacing w:after="0" w:line="100"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U.S. patents, as well as most foreign patents, are generally effective for 20 years from the date the earliest application was filed; however, U.S. patents that issue on applications filed before June 8, 1995, may be effective until 17 years from the issue date, if that is later than the 20-year date. In some cases, the patent term may be extended to recapture a portion of the term lost during regulatory review of the claimed therapeutic or, in the case of the U.S., because of U.S. Patent and Trademark Office (USPTO) delays in prosecuting the application. Specifically, in the U.S., under the Drug Price Competition and Patent Term Restoration Act of 1984, commonly known as the Hatch-Waxman Act, a patent that covers a drug approved by the FDA may be eligible for patent term extension (for up to 5 years, but not beyond a total of 14 years from the date of product approval) as compensation for patent term lost during the FDA regulatory review process. The duration and extension of the term of foreign patents varies, in accordance with local law. For example, supplementary protection certificates (SPCs) on some of our products have been granted in a number of European countries, compensating in part for delays in obtaining marketing approval.</w:t>
      </w:r>
    </w:p>
    <w:p>
      <w:pPr>
        <w:spacing w:after="0" w:line="99" w:lineRule="exact"/>
        <w:rPr>
          <w:sz w:val="20"/>
          <w:szCs w:val="20"/>
          <w:color w:val="auto"/>
        </w:rPr>
      </w:pPr>
    </w:p>
    <w:p>
      <w:pPr>
        <w:ind w:left="380" w:right="40" w:firstLine="445"/>
        <w:spacing w:after="0" w:line="252" w:lineRule="auto"/>
        <w:rPr>
          <w:sz w:val="20"/>
          <w:szCs w:val="20"/>
          <w:color w:val="auto"/>
        </w:rPr>
      </w:pPr>
      <w:r>
        <w:rPr>
          <w:rFonts w:ascii="Arial" w:cs="Arial" w:eastAsia="Arial" w:hAnsi="Arial"/>
          <w:sz w:val="18"/>
          <w:szCs w:val="18"/>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60" w:space="360"/>
            <w:col w:w="5600"/>
          </w:cols>
          <w:pgMar w:left="320" w:top="144" w:right="45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regulatory authority to obtain approval of its product. After the period of exclusive use, third-parties are permitted to reference such data in abbreviated applications for approval and to market (subject to any applicable market protection) their generic drugs and biosimilars. Market protection provides the holder of a drug or biologic marketing authorization the exclusive right to commercialize its product for a period of time, thereby preventing the commercialization of another product containing the same active ingredient(s) during that period.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101"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also rely upon other forms of unpatented confidential information to remain competitive. We protect such information principally through refraining from public disclosure and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are our exclusive property.</w:t>
      </w:r>
    </w:p>
    <w:p>
      <w:pPr>
        <w:spacing w:after="0" w:line="104"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Our trademarks are important to us and are generally covered by trademark applications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registrations in the USPTO and the patent or trademark offices of other countries. We also use trademarks licensed from third-parties, such as the trademark FAMPYRA, which we license from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Our Patent Portfolio</w:t>
      </w:r>
    </w:p>
    <w:p>
      <w:pPr>
        <w:spacing w:after="0" w:line="139"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The following table describes our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are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44" w:right="47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FF"/>
            </w:tcBorders>
          </w:tcPr>
          <w:p>
            <w:pPr>
              <w:spacing w:after="0"/>
              <w:rPr>
                <w:rFonts w:ascii="Arial" w:cs="Arial" w:eastAsia="Arial" w:hAnsi="Arial"/>
                <w:sz w:val="14"/>
                <w:szCs w:val="14"/>
                <w:color w:val="0000FF"/>
              </w:rPr>
            </w:pPr>
            <w:r>
              <w:rPr>
                <w:rFonts w:ascii="Arial" w:cs="Arial" w:eastAsia="Arial" w:hAnsi="Arial"/>
                <w:sz w:val="14"/>
                <w:szCs w:val="14"/>
                <w:color w:val="0000FF"/>
              </w:rPr>
              <w:t xml:space="preserve">Table </w:t>
            </w:r>
            <w:hyperlink w:anchor="page1">
              <w:r>
                <w:rPr>
                  <w:rFonts w:ascii="Arial" w:cs="Arial" w:eastAsia="Arial" w:hAnsi="Arial"/>
                  <w:sz w:val="14"/>
                  <w:szCs w:val="14"/>
                  <w:color w:val="0000FF"/>
                </w:rPr>
                <w:t>of Contents</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00" w:type="dxa"/>
            <w:vAlign w:val="bottom"/>
            <w:vMerge w:val="restart"/>
          </w:tcPr>
          <w:p>
            <w:pPr>
              <w:spacing w:after="0"/>
              <w:rPr>
                <w:sz w:val="24"/>
                <w:szCs w:val="24"/>
                <w:color w:val="auto"/>
              </w:rPr>
            </w:pPr>
          </w:p>
        </w:tc>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100" w:type="dxa"/>
            <w:vAlign w:val="bottom"/>
            <w:vMerge w:val="restart"/>
          </w:tcPr>
          <w:p>
            <w:pPr>
              <w:spacing w:after="0"/>
              <w:rPr>
                <w:sz w:val="24"/>
                <w:szCs w:val="24"/>
                <w:color w:val="auto"/>
              </w:rPr>
            </w:pPr>
          </w:p>
        </w:tc>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00" w:type="dxa"/>
            <w:vAlign w:val="bottom"/>
            <w:vMerge w:val="restart"/>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175"/>
        </w:trPr>
        <w:tc>
          <w:tcPr>
            <w:tcW w:w="114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8"/>
              </w:rPr>
              <w:t>Expiration</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6"/>
                <w:szCs w:val="16"/>
                <w:color w:val="2573BA"/>
              </w:rPr>
              <w:t>TECFIDERA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8,399,514</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line="209" w:lineRule="exact"/>
              <w:rPr>
                <w:sz w:val="20"/>
                <w:szCs w:val="20"/>
                <w:color w:val="auto"/>
              </w:rPr>
            </w:pPr>
            <w:r>
              <w:rPr>
                <w:rFonts w:ascii="Arial" w:cs="Arial" w:eastAsia="Arial" w:hAnsi="Arial"/>
                <w:sz w:val="16"/>
                <w:szCs w:val="16"/>
                <w:color w:val="2573BA"/>
                <w:w w:val="94"/>
              </w:rPr>
              <w:t>2028</w:t>
            </w:r>
            <w:r>
              <w:rPr>
                <w:rFonts w:ascii="Arial" w:cs="Arial" w:eastAsia="Arial" w:hAnsi="Arial"/>
                <w:sz w:val="21"/>
                <w:szCs w:val="21"/>
                <w:color w:val="2573BA"/>
                <w:w w:val="94"/>
                <w:vertAlign w:val="superscript"/>
              </w:rPr>
              <w:t>(2)</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line="178" w:lineRule="exact"/>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line="178" w:lineRule="exact"/>
              <w:rPr>
                <w:sz w:val="20"/>
                <w:szCs w:val="20"/>
                <w:color w:val="auto"/>
              </w:rPr>
            </w:pPr>
            <w:r>
              <w:rPr>
                <w:rFonts w:ascii="Arial" w:cs="Arial" w:eastAsia="Arial" w:hAnsi="Arial"/>
                <w:sz w:val="16"/>
                <w:szCs w:val="16"/>
                <w:color w:val="2573BA"/>
              </w:rPr>
              <w:t>1131065</w:t>
            </w:r>
          </w:p>
        </w:tc>
        <w:tc>
          <w:tcPr>
            <w:tcW w:w="100" w:type="dxa"/>
            <w:vAlign w:val="bottom"/>
          </w:tcPr>
          <w:p>
            <w:pPr>
              <w:spacing w:after="0"/>
              <w:rPr>
                <w:sz w:val="15"/>
                <w:szCs w:val="15"/>
                <w:color w:val="auto"/>
              </w:rPr>
            </w:pPr>
          </w:p>
        </w:tc>
        <w:tc>
          <w:tcPr>
            <w:tcW w:w="4960" w:type="dxa"/>
            <w:vAlign w:val="bottom"/>
            <w:gridSpan w:val="2"/>
          </w:tcPr>
          <w:p>
            <w:pPr>
              <w:ind w:left="20"/>
              <w:spacing w:after="0" w:line="178" w:lineRule="exact"/>
              <w:rPr>
                <w:sz w:val="20"/>
                <w:szCs w:val="20"/>
                <w:color w:val="auto"/>
              </w:rPr>
            </w:pPr>
            <w:r>
              <w:rPr>
                <w:rFonts w:ascii="Arial" w:cs="Arial" w:eastAsia="Arial" w:hAnsi="Arial"/>
                <w:sz w:val="16"/>
                <w:szCs w:val="16"/>
                <w:color w:val="2573BA"/>
              </w:rPr>
              <w:t>Formulations of dialkyl fumarates and their use for treating</w:t>
            </w:r>
          </w:p>
        </w:tc>
        <w:tc>
          <w:tcPr>
            <w:tcW w:w="1500" w:type="dxa"/>
            <w:vAlign w:val="bottom"/>
          </w:tcPr>
          <w:p>
            <w:pPr>
              <w:jc w:val="center"/>
              <w:spacing w:after="0" w:line="178" w:lineRule="exact"/>
              <w:rPr>
                <w:sz w:val="20"/>
                <w:szCs w:val="20"/>
                <w:color w:val="auto"/>
              </w:rPr>
            </w:pPr>
            <w:r>
              <w:rPr>
                <w:rFonts w:ascii="Arial" w:cs="Arial" w:eastAsia="Arial" w:hAnsi="Arial"/>
                <w:sz w:val="15"/>
                <w:szCs w:val="15"/>
                <w:color w:val="2573BA"/>
              </w:rPr>
              <w:t>2024</w:t>
            </w:r>
            <w:r>
              <w:rPr>
                <w:rFonts w:ascii="Arial" w:cs="Arial" w:eastAsia="Arial" w:hAnsi="Arial"/>
                <w:sz w:val="20"/>
                <w:szCs w:val="20"/>
                <w:color w:val="2573BA"/>
                <w:vertAlign w:val="superscript"/>
              </w:rPr>
              <w:t>(3)</w:t>
            </w:r>
          </w:p>
        </w:tc>
        <w:tc>
          <w:tcPr>
            <w:tcW w:w="0" w:type="dxa"/>
            <w:vAlign w:val="bottom"/>
          </w:tcPr>
          <w:p>
            <w:pPr>
              <w:spacing w:after="0"/>
              <w:rPr>
                <w:sz w:val="1"/>
                <w:szCs w:val="1"/>
                <w:color w:val="auto"/>
              </w:rPr>
            </w:pPr>
          </w:p>
        </w:tc>
      </w:tr>
      <w:tr>
        <w:trPr>
          <w:trHeight w:val="198"/>
        </w:trPr>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autoimmune diseases</w:t>
            </w: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140" w:type="dxa"/>
            <w:vAlign w:val="bottom"/>
          </w:tcPr>
          <w:p>
            <w:pPr>
              <w:ind w:left="20"/>
              <w:spacing w:after="0"/>
              <w:rPr>
                <w:sz w:val="20"/>
                <w:szCs w:val="20"/>
                <w:color w:val="auto"/>
              </w:rPr>
            </w:pPr>
            <w:r>
              <w:rPr>
                <w:rFonts w:ascii="Arial" w:cs="Arial" w:eastAsia="Arial" w:hAnsi="Arial"/>
                <w:sz w:val="16"/>
                <w:szCs w:val="16"/>
                <w:color w:val="2573BA"/>
              </w:rPr>
              <w:t>PLEGRIDY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7,446,173</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 beta-1a</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8,524,660</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8,017,733</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 beta-1a</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1656952</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500" w:type="dxa"/>
            <w:vAlign w:val="bottom"/>
          </w:tcPr>
          <w:p>
            <w:pPr>
              <w:jc w:val="center"/>
              <w:spacing w:after="0" w:line="221" w:lineRule="exact"/>
              <w:rPr>
                <w:sz w:val="20"/>
                <w:szCs w:val="20"/>
                <w:color w:val="auto"/>
              </w:rPr>
            </w:pPr>
            <w:r>
              <w:rPr>
                <w:rFonts w:ascii="Arial" w:cs="Arial" w:eastAsia="Arial" w:hAnsi="Arial"/>
                <w:sz w:val="16"/>
                <w:szCs w:val="16"/>
                <w:color w:val="2573BA"/>
                <w:w w:val="94"/>
              </w:rPr>
              <w:t>2024</w:t>
            </w:r>
            <w:r>
              <w:rPr>
                <w:rFonts w:ascii="Arial" w:cs="Arial" w:eastAsia="Arial" w:hAnsi="Arial"/>
                <w:sz w:val="21"/>
                <w:szCs w:val="21"/>
                <w:color w:val="2573BA"/>
                <w:w w:val="94"/>
                <w:vertAlign w:val="superscript"/>
              </w:rPr>
              <w:t>(4)</w:t>
            </w:r>
          </w:p>
        </w:tc>
        <w:tc>
          <w:tcPr>
            <w:tcW w:w="0" w:type="dxa"/>
            <w:vAlign w:val="bottom"/>
          </w:tcPr>
          <w:p>
            <w:pPr>
              <w:spacing w:after="0"/>
              <w:rPr>
                <w:sz w:val="1"/>
                <w:szCs w:val="1"/>
                <w:color w:val="auto"/>
              </w:rPr>
            </w:pPr>
          </w:p>
        </w:tc>
      </w:tr>
      <w:tr>
        <w:trPr>
          <w:trHeight w:val="217"/>
        </w:trPr>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8"/>
                <w:szCs w:val="18"/>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1476181</w:t>
            </w:r>
          </w:p>
        </w:tc>
        <w:tc>
          <w:tcPr>
            <w:tcW w:w="100" w:type="dxa"/>
            <w:vAlign w:val="bottom"/>
          </w:tcPr>
          <w:p>
            <w:pPr>
              <w:spacing w:after="0"/>
              <w:rPr>
                <w:sz w:val="18"/>
                <w:szCs w:val="18"/>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16"/>
                <w:szCs w:val="16"/>
                <w:color w:val="2573BA"/>
                <w:w w:val="94"/>
              </w:rPr>
              <w:t>2023</w:t>
            </w:r>
            <w:r>
              <w:rPr>
                <w:rFonts w:ascii="Arial" w:cs="Arial" w:eastAsia="Arial" w:hAnsi="Arial"/>
                <w:sz w:val="21"/>
                <w:szCs w:val="21"/>
                <w:color w:val="2573BA"/>
                <w:w w:val="94"/>
                <w:vertAlign w:val="superscript"/>
              </w:rPr>
              <w:t>(5)</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rPr>
                <w:sz w:val="20"/>
                <w:szCs w:val="20"/>
                <w:color w:val="auto"/>
              </w:rPr>
            </w:pPr>
            <w:r>
              <w:rPr>
                <w:rFonts w:ascii="Arial" w:cs="Arial" w:eastAsia="Arial" w:hAnsi="Arial"/>
                <w:sz w:val="16"/>
                <w:szCs w:val="16"/>
                <w:color w:val="2573BA"/>
              </w:rPr>
              <w:t>TYSABRI</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7,807,167</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9,493,567</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10,233,245</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1485127</w:t>
            </w:r>
          </w:p>
        </w:tc>
        <w:tc>
          <w:tcPr>
            <w:tcW w:w="10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use</w:t>
            </w:r>
          </w:p>
        </w:tc>
        <w:tc>
          <w:tcPr>
            <w:tcW w:w="1500" w:type="dxa"/>
            <w:vAlign w:val="bottom"/>
          </w:tcPr>
          <w:p>
            <w:pPr>
              <w:jc w:val="center"/>
              <w:spacing w:after="0" w:line="237" w:lineRule="exact"/>
              <w:rPr>
                <w:sz w:val="20"/>
                <w:szCs w:val="20"/>
                <w:color w:val="auto"/>
              </w:rPr>
            </w:pPr>
            <w:r>
              <w:rPr>
                <w:rFonts w:ascii="Arial" w:cs="Arial" w:eastAsia="Arial" w:hAnsi="Arial"/>
                <w:sz w:val="16"/>
                <w:szCs w:val="16"/>
                <w:color w:val="2573BA"/>
                <w:w w:val="94"/>
              </w:rPr>
              <w:t>2023</w:t>
            </w:r>
            <w:r>
              <w:rPr>
                <w:rFonts w:ascii="Arial" w:cs="Arial" w:eastAsia="Arial" w:hAnsi="Arial"/>
                <w:sz w:val="21"/>
                <w:szCs w:val="21"/>
                <w:color w:val="2573BA"/>
                <w:w w:val="94"/>
                <w:vertAlign w:val="superscript"/>
              </w:rPr>
              <w:t>(2)</w:t>
            </w:r>
          </w:p>
        </w:tc>
        <w:tc>
          <w:tcPr>
            <w:tcW w:w="0" w:type="dxa"/>
            <w:vAlign w:val="bottom"/>
          </w:tcPr>
          <w:p>
            <w:pPr>
              <w:spacing w:after="0"/>
              <w:rPr>
                <w:sz w:val="1"/>
                <w:szCs w:val="1"/>
                <w:color w:val="auto"/>
              </w:rPr>
            </w:pPr>
          </w:p>
        </w:tc>
      </w:tr>
      <w:tr>
        <w:trPr>
          <w:trHeight w:val="198"/>
        </w:trPr>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7"/>
                <w:szCs w:val="17"/>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2676967</w:t>
            </w:r>
          </w:p>
        </w:tc>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Methods of use</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4" w:lineRule="exact"/>
              <w:rPr>
                <w:sz w:val="20"/>
                <w:szCs w:val="20"/>
                <w:color w:val="auto"/>
              </w:rPr>
            </w:pPr>
            <w:r>
              <w:rPr>
                <w:rFonts w:ascii="Arial" w:cs="Arial" w:eastAsia="Arial" w:hAnsi="Arial"/>
                <w:sz w:val="16"/>
                <w:szCs w:val="16"/>
                <w:color w:val="2573BA"/>
              </w:rPr>
              <w:t>FAMPYRA</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line="174" w:lineRule="exact"/>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line="174" w:lineRule="exact"/>
              <w:rPr>
                <w:sz w:val="20"/>
                <w:szCs w:val="20"/>
                <w:color w:val="auto"/>
              </w:rPr>
            </w:pPr>
            <w:r>
              <w:rPr>
                <w:rFonts w:ascii="Arial" w:cs="Arial" w:eastAsia="Arial" w:hAnsi="Arial"/>
                <w:sz w:val="16"/>
                <w:szCs w:val="16"/>
                <w:color w:val="2573BA"/>
              </w:rPr>
              <w:t>1732548</w:t>
            </w:r>
          </w:p>
        </w:tc>
        <w:tc>
          <w:tcPr>
            <w:tcW w:w="100" w:type="dxa"/>
            <w:vAlign w:val="bottom"/>
          </w:tcPr>
          <w:p>
            <w:pPr>
              <w:spacing w:after="0"/>
              <w:rPr>
                <w:sz w:val="15"/>
                <w:szCs w:val="15"/>
                <w:color w:val="auto"/>
              </w:rPr>
            </w:pPr>
          </w:p>
        </w:tc>
        <w:tc>
          <w:tcPr>
            <w:tcW w:w="4960" w:type="dxa"/>
            <w:vAlign w:val="bottom"/>
            <w:gridSpan w:val="2"/>
          </w:tcPr>
          <w:p>
            <w:pPr>
              <w:ind w:left="20"/>
              <w:spacing w:after="0" w:line="174" w:lineRule="exact"/>
              <w:rPr>
                <w:sz w:val="20"/>
                <w:szCs w:val="20"/>
                <w:color w:val="auto"/>
              </w:rPr>
            </w:pPr>
            <w:r>
              <w:rPr>
                <w:rFonts w:ascii="Arial" w:cs="Arial" w:eastAsia="Arial" w:hAnsi="Arial"/>
                <w:sz w:val="16"/>
                <w:szCs w:val="16"/>
                <w:color w:val="2573BA"/>
              </w:rPr>
              <w:t>Sustained-release aminopyridine compositions for increasing</w:t>
            </w:r>
          </w:p>
        </w:tc>
        <w:tc>
          <w:tcPr>
            <w:tcW w:w="1500" w:type="dxa"/>
            <w:vAlign w:val="bottom"/>
          </w:tcPr>
          <w:p>
            <w:pPr>
              <w:jc w:val="center"/>
              <w:spacing w:after="0" w:line="174" w:lineRule="exact"/>
              <w:rPr>
                <w:sz w:val="20"/>
                <w:szCs w:val="20"/>
                <w:color w:val="auto"/>
              </w:rPr>
            </w:pPr>
            <w:r>
              <w:rPr>
                <w:rFonts w:ascii="Arial" w:cs="Arial" w:eastAsia="Arial" w:hAnsi="Arial"/>
                <w:sz w:val="15"/>
                <w:szCs w:val="15"/>
                <w:color w:val="2573BA"/>
              </w:rPr>
              <w:t>2025</w:t>
            </w:r>
            <w:r>
              <w:rPr>
                <w:rFonts w:ascii="Arial" w:cs="Arial" w:eastAsia="Arial" w:hAnsi="Arial"/>
                <w:sz w:val="20"/>
                <w:szCs w:val="20"/>
                <w:color w:val="2573BA"/>
                <w:vertAlign w:val="superscript"/>
              </w:rPr>
              <w:t>(6)</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walking speed in patients with MS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2377536</w:t>
            </w:r>
          </w:p>
        </w:tc>
        <w:tc>
          <w:tcPr>
            <w:tcW w:w="10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Sustained-release aminopyridine compositions for treating MS</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line="222" w:lineRule="exact"/>
              <w:rPr>
                <w:sz w:val="20"/>
                <w:szCs w:val="20"/>
                <w:color w:val="auto"/>
              </w:rPr>
            </w:pPr>
            <w:r>
              <w:rPr>
                <w:rFonts w:ascii="Arial" w:cs="Arial" w:eastAsia="Arial" w:hAnsi="Arial"/>
                <w:sz w:val="16"/>
                <w:szCs w:val="16"/>
                <w:color w:val="2573BA"/>
                <w:w w:val="94"/>
              </w:rPr>
              <w:t>2025</w:t>
            </w:r>
            <w:r>
              <w:rPr>
                <w:rFonts w:ascii="Arial" w:cs="Arial" w:eastAsia="Arial" w:hAnsi="Arial"/>
                <w:sz w:val="21"/>
                <w:szCs w:val="21"/>
                <w:color w:val="2573BA"/>
                <w:w w:val="94"/>
                <w:vertAlign w:val="superscript"/>
              </w:rPr>
              <w:t>(7)</w:t>
            </w:r>
          </w:p>
        </w:tc>
        <w:tc>
          <w:tcPr>
            <w:tcW w:w="0" w:type="dxa"/>
            <w:vAlign w:val="bottom"/>
          </w:tcPr>
          <w:p>
            <w:pPr>
              <w:spacing w:after="0"/>
              <w:rPr>
                <w:sz w:val="1"/>
                <w:szCs w:val="1"/>
                <w:color w:val="auto"/>
              </w:rPr>
            </w:pPr>
          </w:p>
        </w:tc>
      </w:tr>
      <w:tr>
        <w:trPr>
          <w:trHeight w:val="203"/>
        </w:trPr>
        <w:tc>
          <w:tcPr>
            <w:tcW w:w="1140" w:type="dxa"/>
            <w:vAlign w:val="bottom"/>
          </w:tcPr>
          <w:p>
            <w:pPr>
              <w:ind w:left="20"/>
              <w:spacing w:after="0"/>
              <w:rPr>
                <w:sz w:val="20"/>
                <w:szCs w:val="20"/>
                <w:color w:val="auto"/>
              </w:rPr>
            </w:pPr>
            <w:r>
              <w:rPr>
                <w:rFonts w:ascii="Arial" w:cs="Arial" w:eastAsia="Arial" w:hAnsi="Arial"/>
                <w:sz w:val="16"/>
                <w:szCs w:val="16"/>
                <w:color w:val="2573BA"/>
              </w:rPr>
              <w:t>VUMERITY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8,669,281</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Compounds and pharmaceutical compositions</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9,090,558</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10,080,733</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Crystalline forms, pharmaceutical compositions and methods of</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treatment</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2,970,101</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573BA"/>
              </w:rPr>
              <w:t>Crystalline forms, pharmaceutical compositions and methods of</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gridSpan w:val="2"/>
          </w:tcPr>
          <w:p>
            <w:pPr>
              <w:ind w:left="20"/>
              <w:spacing w:after="0" w:line="162" w:lineRule="exact"/>
              <w:rPr>
                <w:sz w:val="20"/>
                <w:szCs w:val="20"/>
                <w:color w:val="auto"/>
              </w:rPr>
            </w:pPr>
            <w:r>
              <w:rPr>
                <w:rFonts w:ascii="Arial" w:cs="Arial" w:eastAsia="Arial" w:hAnsi="Arial"/>
                <w:sz w:val="16"/>
                <w:szCs w:val="16"/>
                <w:color w:val="2573BA"/>
              </w:rPr>
              <w:t>treatment</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Prodrugs of fumarates and their use in treating various diseases</w:t>
            </w:r>
          </w:p>
        </w:tc>
        <w:tc>
          <w:tcPr>
            <w:tcW w:w="10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20"/>
              <w:spacing w:after="0"/>
              <w:rPr>
                <w:sz w:val="20"/>
                <w:szCs w:val="20"/>
                <w:color w:val="auto"/>
              </w:rPr>
            </w:pPr>
            <w:r>
              <w:rPr>
                <w:rFonts w:ascii="Arial" w:cs="Arial" w:eastAsia="Arial" w:hAnsi="Arial"/>
                <w:sz w:val="16"/>
                <w:szCs w:val="16"/>
                <w:color w:val="2573BA"/>
              </w:rPr>
              <w:t>SPINRAZA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7,101,993</w:t>
            </w:r>
          </w:p>
        </w:tc>
        <w:tc>
          <w:tcPr>
            <w:tcW w:w="100" w:type="dxa"/>
            <w:vAlign w:val="bottom"/>
          </w:tcPr>
          <w:p>
            <w:pPr>
              <w:spacing w:after="0"/>
              <w:rPr>
                <w:sz w:val="17"/>
                <w:szCs w:val="17"/>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Oligonucleotides containing 2’-O-modified purines</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7,838,657</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8,110,560</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8,361,977</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8,980,853</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9,717,750</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9,926,559</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10,266,822</w:t>
            </w:r>
          </w:p>
        </w:tc>
        <w:tc>
          <w:tcPr>
            <w:tcW w:w="100" w:type="dxa"/>
            <w:vAlign w:val="bottom"/>
          </w:tcPr>
          <w:p>
            <w:pPr>
              <w:spacing w:after="0"/>
              <w:rPr>
                <w:sz w:val="15"/>
                <w:szCs w:val="15"/>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sequences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10,436,802</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Methods for Treating Spinal Muscular Atrophy</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2035</w:t>
            </w: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1,910,395</w:t>
            </w:r>
          </w:p>
        </w:tc>
        <w:tc>
          <w:tcPr>
            <w:tcW w:w="1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line="221" w:lineRule="exact"/>
              <w:rPr>
                <w:sz w:val="20"/>
                <w:szCs w:val="20"/>
                <w:color w:val="auto"/>
              </w:rPr>
            </w:pPr>
            <w:r>
              <w:rPr>
                <w:rFonts w:ascii="Arial" w:cs="Arial" w:eastAsia="Arial" w:hAnsi="Arial"/>
                <w:sz w:val="16"/>
                <w:szCs w:val="16"/>
                <w:color w:val="2573BA"/>
                <w:w w:val="94"/>
              </w:rPr>
              <w:t>2026</w:t>
            </w:r>
            <w:r>
              <w:rPr>
                <w:rFonts w:ascii="Arial" w:cs="Arial" w:eastAsia="Arial" w:hAnsi="Arial"/>
                <w:sz w:val="21"/>
                <w:szCs w:val="21"/>
                <w:color w:val="2573BA"/>
                <w:w w:val="94"/>
                <w:vertAlign w:val="superscript"/>
              </w:rPr>
              <w:t>(8)</w:t>
            </w: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2,548,560</w:t>
            </w:r>
          </w:p>
        </w:tc>
        <w:tc>
          <w:tcPr>
            <w:tcW w:w="100" w:type="dxa"/>
            <w:vAlign w:val="bottom"/>
          </w:tcPr>
          <w:p>
            <w:pPr>
              <w:spacing w:after="0"/>
              <w:rPr>
                <w:sz w:val="20"/>
                <w:szCs w:val="20"/>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line="232" w:lineRule="exact"/>
              <w:rPr>
                <w:sz w:val="20"/>
                <w:szCs w:val="20"/>
                <w:color w:val="auto"/>
              </w:rPr>
            </w:pPr>
            <w:r>
              <w:rPr>
                <w:rFonts w:ascii="Arial" w:cs="Arial" w:eastAsia="Arial" w:hAnsi="Arial"/>
                <w:sz w:val="16"/>
                <w:szCs w:val="16"/>
                <w:color w:val="2573BA"/>
                <w:w w:val="94"/>
              </w:rPr>
              <w:t>2026</w:t>
            </w:r>
            <w:r>
              <w:rPr>
                <w:rFonts w:ascii="Arial" w:cs="Arial" w:eastAsia="Arial" w:hAnsi="Arial"/>
                <w:sz w:val="21"/>
                <w:szCs w:val="21"/>
                <w:color w:val="2573BA"/>
                <w:w w:val="94"/>
                <w:vertAlign w:val="superscript"/>
              </w:rPr>
              <w:t>(9)</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3,305,302</w:t>
            </w: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3,308,788</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19"/>
        </w:trPr>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0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3,449,926</w:t>
            </w:r>
          </w:p>
        </w:tc>
        <w:tc>
          <w:tcPr>
            <w:tcW w:w="100" w:type="dxa"/>
            <w:vAlign w:val="bottom"/>
          </w:tcPr>
          <w:p>
            <w:pPr>
              <w:spacing w:after="0"/>
              <w:rPr>
                <w:sz w:val="19"/>
                <w:szCs w:val="19"/>
                <w:color w:val="auto"/>
              </w:rPr>
            </w:pP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4" w:lineRule="exact"/>
              <w:rPr>
                <w:sz w:val="20"/>
                <w:szCs w:val="20"/>
                <w:color w:val="auto"/>
              </w:rPr>
            </w:pPr>
            <w:r>
              <w:rPr>
                <w:rFonts w:ascii="Arial" w:cs="Arial" w:eastAsia="Arial" w:hAnsi="Arial"/>
                <w:sz w:val="16"/>
                <w:szCs w:val="16"/>
                <w:color w:val="2573BA"/>
              </w:rPr>
              <w:t>ADUHELM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ind w:left="20"/>
              <w:spacing w:after="0" w:line="17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74" w:lineRule="exact"/>
              <w:rPr>
                <w:sz w:val="20"/>
                <w:szCs w:val="20"/>
                <w:color w:val="auto"/>
              </w:rPr>
            </w:pPr>
            <w:r>
              <w:rPr>
                <w:rFonts w:ascii="Arial" w:cs="Arial" w:eastAsia="Arial" w:hAnsi="Arial"/>
                <w:sz w:val="16"/>
                <w:szCs w:val="16"/>
                <w:color w:val="2573BA"/>
              </w:rPr>
              <w:t>8,906,367</w:t>
            </w:r>
          </w:p>
        </w:tc>
        <w:tc>
          <w:tcPr>
            <w:tcW w:w="100" w:type="dxa"/>
            <w:vAlign w:val="bottom"/>
          </w:tcPr>
          <w:p>
            <w:pPr>
              <w:spacing w:after="0"/>
              <w:rPr>
                <w:sz w:val="15"/>
                <w:szCs w:val="15"/>
                <w:color w:val="auto"/>
              </w:rPr>
            </w:pPr>
          </w:p>
        </w:tc>
        <w:tc>
          <w:tcPr>
            <w:tcW w:w="4960" w:type="dxa"/>
            <w:vAlign w:val="bottom"/>
            <w:gridSpan w:val="2"/>
          </w:tcPr>
          <w:p>
            <w:pPr>
              <w:ind w:left="20"/>
              <w:spacing w:after="0" w:line="174" w:lineRule="exact"/>
              <w:rPr>
                <w:sz w:val="20"/>
                <w:szCs w:val="20"/>
                <w:color w:val="auto"/>
              </w:rPr>
            </w:pPr>
            <w:r>
              <w:rPr>
                <w:rFonts w:ascii="Arial" w:cs="Arial" w:eastAsia="Arial" w:hAnsi="Arial"/>
                <w:sz w:val="16"/>
                <w:szCs w:val="16"/>
                <w:color w:val="2472B9"/>
              </w:rPr>
              <w:t>Method of providing disease-specific binding molecules and</w:t>
            </w:r>
          </w:p>
        </w:tc>
        <w:tc>
          <w:tcPr>
            <w:tcW w:w="1500" w:type="dxa"/>
            <w:vAlign w:val="bottom"/>
          </w:tcPr>
          <w:p>
            <w:pPr>
              <w:jc w:val="center"/>
              <w:spacing w:after="0" w:line="174" w:lineRule="exact"/>
              <w:rPr>
                <w:sz w:val="20"/>
                <w:szCs w:val="20"/>
                <w:color w:val="auto"/>
              </w:rPr>
            </w:pPr>
            <w:r>
              <w:rPr>
                <w:rFonts w:ascii="Arial" w:cs="Arial" w:eastAsia="Arial" w:hAnsi="Arial"/>
                <w:sz w:val="15"/>
                <w:szCs w:val="15"/>
                <w:color w:val="2573BA"/>
                <w:w w:val="94"/>
              </w:rPr>
              <w:t>2032</w:t>
            </w:r>
            <w:r>
              <w:rPr>
                <w:rFonts w:ascii="Arial" w:cs="Arial" w:eastAsia="Arial" w:hAnsi="Arial"/>
                <w:sz w:val="20"/>
                <w:szCs w:val="20"/>
                <w:color w:val="2573BA"/>
                <w:w w:val="94"/>
                <w:vertAlign w:val="superscript"/>
              </w:rPr>
              <w:t>(10)</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targets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10,131,708</w:t>
            </w:r>
          </w:p>
        </w:tc>
        <w:tc>
          <w:tcPr>
            <w:tcW w:w="100" w:type="dxa"/>
            <w:vAlign w:val="bottom"/>
          </w:tcPr>
          <w:p>
            <w:pPr>
              <w:spacing w:after="0"/>
              <w:rPr>
                <w:sz w:val="18"/>
                <w:szCs w:val="18"/>
                <w:color w:val="auto"/>
              </w:rPr>
            </w:pPr>
          </w:p>
        </w:tc>
        <w:tc>
          <w:tcPr>
            <w:tcW w:w="4960" w:type="dxa"/>
            <w:vAlign w:val="bottom"/>
            <w:gridSpan w:val="2"/>
          </w:tcPr>
          <w:p>
            <w:pPr>
              <w:ind w:left="20"/>
              <w:spacing w:after="0"/>
              <w:rPr>
                <w:sz w:val="20"/>
                <w:szCs w:val="20"/>
                <w:color w:val="auto"/>
              </w:rPr>
            </w:pPr>
            <w:r>
              <w:rPr>
                <w:rFonts w:ascii="Arial" w:cs="Arial" w:eastAsia="Arial" w:hAnsi="Arial"/>
                <w:sz w:val="16"/>
                <w:szCs w:val="16"/>
                <w:color w:val="2472B9"/>
              </w:rPr>
              <w:t>Methods of treating Alzheimer's disease</w:t>
            </w:r>
          </w:p>
        </w:tc>
        <w:tc>
          <w:tcPr>
            <w:tcW w:w="1500" w:type="dxa"/>
            <w:vAlign w:val="bottom"/>
          </w:tcPr>
          <w:p>
            <w:pPr>
              <w:jc w:val="center"/>
              <w:spacing w:after="0"/>
              <w:rPr>
                <w:sz w:val="20"/>
                <w:szCs w:val="20"/>
                <w:color w:val="auto"/>
              </w:rPr>
            </w:pPr>
            <w:r>
              <w:rPr>
                <w:rFonts w:ascii="Arial" w:cs="Arial" w:eastAsia="Arial" w:hAnsi="Arial"/>
                <w:sz w:val="16"/>
                <w:szCs w:val="16"/>
                <w:color w:val="2573BA"/>
              </w:rPr>
              <w:t>2028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Footnotes follow on next page.</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hanging="328"/>
        <w:spacing w:after="0" w:line="260"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to patent protection, certain of our products are entitled to regulatory exclusivity in the U.S. and the E.U. expected until the dates set forth below:</w:t>
      </w:r>
    </w:p>
    <w:p>
      <w:pPr>
        <w:spacing w:after="0" w:line="99" w:lineRule="exact"/>
        <w:rPr>
          <w:sz w:val="20"/>
          <w:szCs w:val="20"/>
          <w:color w:val="auto"/>
        </w:rPr>
      </w:pPr>
    </w:p>
    <w:tbl>
      <w:tblPr>
        <w:tblLayout w:type="fixed"/>
        <w:tblInd w:w="3040" w:type="dxa"/>
        <w:tblCellMar>
          <w:top w:w="0" w:type="dxa"/>
          <w:left w:w="0" w:type="dxa"/>
          <w:bottom w:w="0" w:type="dxa"/>
          <w:right w:w="0" w:type="dxa"/>
        </w:tblCellMar>
      </w:tblPr>
      <w:tr>
        <w:trPr>
          <w:trHeight w:val="189"/>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6"/>
                <w:szCs w:val="16"/>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Expiration</w:t>
            </w:r>
          </w:p>
        </w:tc>
      </w:tr>
      <w:tr>
        <w:trPr>
          <w:trHeight w:val="206"/>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TECFIDERA</w:t>
            </w:r>
          </w:p>
        </w:tc>
        <w:tc>
          <w:tcPr>
            <w:tcW w:w="120" w:type="dxa"/>
            <w:vAlign w:val="bottom"/>
          </w:tcPr>
          <w:p>
            <w:pPr>
              <w:spacing w:after="0"/>
              <w:rPr>
                <w:sz w:val="17"/>
                <w:szCs w:val="17"/>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7"/>
                <w:szCs w:val="17"/>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2024</w:t>
            </w:r>
          </w:p>
        </w:tc>
      </w:tr>
      <w:tr>
        <w:trPr>
          <w:trHeight w:val="207"/>
        </w:trPr>
        <w:tc>
          <w:tcPr>
            <w:tcW w:w="1200" w:type="dxa"/>
            <w:vAlign w:val="bottom"/>
            <w:gridSpan w:val="2"/>
          </w:tcPr>
          <w:p>
            <w:pPr>
              <w:spacing w:after="0"/>
              <w:rPr>
                <w:sz w:val="20"/>
                <w:szCs w:val="20"/>
                <w:color w:val="auto"/>
              </w:rPr>
            </w:pPr>
            <w:r>
              <w:rPr>
                <w:rFonts w:ascii="Arial" w:cs="Arial" w:eastAsia="Arial" w:hAnsi="Arial"/>
                <w:sz w:val="16"/>
                <w:szCs w:val="16"/>
                <w:color w:val="2573BA"/>
              </w:rPr>
              <w:t>PLEGRIDY</w:t>
            </w:r>
          </w:p>
        </w:tc>
        <w:tc>
          <w:tcPr>
            <w:tcW w:w="122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2760" w:type="dxa"/>
            <w:vAlign w:val="bottom"/>
          </w:tcPr>
          <w:p>
            <w:pPr>
              <w:ind w:left="20"/>
              <w:spacing w:after="0"/>
              <w:rPr>
                <w:sz w:val="20"/>
                <w:szCs w:val="20"/>
                <w:color w:val="auto"/>
              </w:rPr>
            </w:pPr>
            <w:r>
              <w:rPr>
                <w:rFonts w:ascii="Arial" w:cs="Arial" w:eastAsia="Arial" w:hAnsi="Arial"/>
                <w:sz w:val="16"/>
                <w:szCs w:val="16"/>
                <w:color w:val="2573BA"/>
              </w:rPr>
              <w:t>2026</w:t>
            </w:r>
          </w:p>
        </w:tc>
      </w:tr>
      <w:tr>
        <w:trPr>
          <w:trHeight w:val="219"/>
        </w:trPr>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9"/>
                <w:szCs w:val="19"/>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2024</w:t>
            </w:r>
          </w:p>
        </w:tc>
      </w:tr>
      <w:tr>
        <w:trPr>
          <w:trHeight w:val="207"/>
        </w:trPr>
        <w:tc>
          <w:tcPr>
            <w:tcW w:w="1200" w:type="dxa"/>
            <w:vAlign w:val="bottom"/>
            <w:gridSpan w:val="2"/>
          </w:tcPr>
          <w:p>
            <w:pPr>
              <w:spacing w:after="0"/>
              <w:rPr>
                <w:sz w:val="20"/>
                <w:szCs w:val="20"/>
                <w:color w:val="auto"/>
              </w:rPr>
            </w:pPr>
            <w:r>
              <w:rPr>
                <w:rFonts w:ascii="Arial" w:cs="Arial" w:eastAsia="Arial" w:hAnsi="Arial"/>
                <w:sz w:val="16"/>
                <w:szCs w:val="16"/>
                <w:color w:val="2573BA"/>
              </w:rPr>
              <w:t>SPINRAZA</w:t>
            </w:r>
          </w:p>
        </w:tc>
        <w:tc>
          <w:tcPr>
            <w:tcW w:w="122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2760" w:type="dxa"/>
            <w:vAlign w:val="bottom"/>
          </w:tcPr>
          <w:p>
            <w:pPr>
              <w:ind w:left="20"/>
              <w:spacing w:after="0"/>
              <w:rPr>
                <w:sz w:val="20"/>
                <w:szCs w:val="20"/>
                <w:color w:val="auto"/>
              </w:rPr>
            </w:pPr>
            <w:r>
              <w:rPr>
                <w:rFonts w:ascii="Arial" w:cs="Arial" w:eastAsia="Arial" w:hAnsi="Arial"/>
                <w:sz w:val="16"/>
                <w:szCs w:val="16"/>
                <w:color w:val="2573BA"/>
              </w:rPr>
              <w:t>2023</w:t>
            </w:r>
          </w:p>
        </w:tc>
      </w:tr>
      <w:tr>
        <w:trPr>
          <w:trHeight w:val="219"/>
        </w:trPr>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9"/>
                <w:szCs w:val="19"/>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2029</w:t>
            </w:r>
          </w:p>
        </w:tc>
      </w:tr>
      <w:tr>
        <w:trPr>
          <w:trHeight w:val="209"/>
        </w:trPr>
        <w:tc>
          <w:tcPr>
            <w:tcW w:w="10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ADUHELM</w:t>
            </w:r>
          </w:p>
        </w:tc>
        <w:tc>
          <w:tcPr>
            <w:tcW w:w="120" w:type="dxa"/>
            <w:vAlign w:val="bottom"/>
          </w:tcPr>
          <w:p>
            <w:pPr>
              <w:spacing w:after="0"/>
              <w:rPr>
                <w:sz w:val="18"/>
                <w:szCs w:val="18"/>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2033</w:t>
            </w:r>
          </w:p>
        </w:tc>
      </w:tr>
    </w:tbl>
    <w:p>
      <w:pPr>
        <w:spacing w:after="0" w:line="148" w:lineRule="exact"/>
        <w:rPr>
          <w:sz w:val="20"/>
          <w:szCs w:val="20"/>
          <w:color w:val="auto"/>
        </w:rPr>
      </w:pPr>
    </w:p>
    <w:p>
      <w:pPr>
        <w:ind w:left="660" w:right="24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For additional information as to the validity of this patent, please read </w:t>
      </w:r>
      <w:r>
        <w:rPr>
          <w:rFonts w:ascii="Arial" w:cs="Arial" w:eastAsia="Arial" w:hAnsi="Arial"/>
          <w:sz w:val="16"/>
          <w:szCs w:val="16"/>
          <w:i w:val="1"/>
          <w:iCs w:val="1"/>
          <w:color w:val="auto"/>
        </w:rPr>
        <w:t>Note 20, Litigation</w:t>
      </w:r>
      <w:r>
        <w:rPr>
          <w:rFonts w:ascii="Arial" w:cs="Arial" w:eastAsia="Arial" w:hAnsi="Arial"/>
          <w:sz w:val="16"/>
          <w:szCs w:val="16"/>
          <w:color w:val="auto"/>
        </w:rPr>
        <w:t>, to our consolidated financial statements included in this report.</w:t>
      </w:r>
    </w:p>
    <w:p>
      <w:pPr>
        <w:spacing w:after="0" w:line="12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patent with this subject matter may be entitled to patent term extension in the U.S.</w:t>
      </w:r>
    </w:p>
    <w:p>
      <w:pPr>
        <w:spacing w:after="0" w:line="164"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products, compounds and processes and those that we will likely file in the future, do not always provide complete or adequate protection.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third-parties to be pertinent to the manufacture, use or sale of our products. We also face challenges to our patents, regulatory exclusivities or other proprietary rights covering our products by third-parties, such as manufacturers of generics, biosimilars, prodrugs and products approved under abbreviated regulatory pathways. A discussion of certain risks and uncertainties that may affect our patent position, regulatory exclusivities or other proprietary rights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the discussion of legal proceedings related to certain patents described above is set forth in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Competition</w:t>
      </w:r>
    </w:p>
    <w:p>
      <w:pPr>
        <w:spacing w:after="0" w:line="13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Competition in the biopharmaceutical industry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9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commercial expertise to effectively market our products.</w:t>
      </w:r>
    </w:p>
    <w:p>
      <w:pPr>
        <w:spacing w:after="0" w:line="102" w:lineRule="exact"/>
        <w:rPr>
          <w:sz w:val="20"/>
          <w:szCs w:val="20"/>
          <w:color w:val="auto"/>
        </w:rPr>
      </w:pPr>
    </w:p>
    <w:p>
      <w:pPr>
        <w:ind w:right="140" w:firstLine="405"/>
        <w:spacing w:after="0" w:line="291" w:lineRule="auto"/>
        <w:rPr>
          <w:sz w:val="20"/>
          <w:szCs w:val="20"/>
          <w:color w:val="auto"/>
        </w:rPr>
      </w:pPr>
      <w:r>
        <w:rPr>
          <w:rFonts w:ascii="Arial" w:cs="Arial" w:eastAsia="Arial" w:hAnsi="Arial"/>
          <w:sz w:val="17"/>
          <w:szCs w:val="17"/>
          <w:color w:val="auto"/>
        </w:rPr>
        <w:t>Competition among products approved for sale may be based, among other things, on patent position, product efficacy,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also face increased competitive pressures from the introduction of generic versions, prodrugs and biosimilars of existing products and products approved under abbreviated regulatory pathways. Such products are likely to be sold at substantially lower prices than branded products, which may significantly reduce both the price that we are able to charge for our products and the volume of products we sell. In addition, in some markets, when a generic or biosimilar version of one of our products is commercialized, it may be automatically substituted for our product and significantly reduce our revenue in a short period of time.</w:t>
      </w:r>
    </w:p>
    <w:p>
      <w:pPr>
        <w:spacing w:after="0" w:line="103"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97"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 xml:space="preserve">Additional information about the competition that our marketed products face is set forth below and in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Multiple Sclerosis</w:t>
      </w:r>
    </w:p>
    <w:p>
      <w:pPr>
        <w:spacing w:after="0" w:line="139"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TECFIDERA, AVONEX, PLEGRIDY, TYSABRI and VUMERITY each compete with one or more of the following branded products as well as generic and biosimilar versions of these products:</w:t>
      </w:r>
    </w:p>
    <w:p>
      <w:pPr>
        <w:spacing w:after="0" w:line="123" w:lineRule="exact"/>
        <w:rPr>
          <w:sz w:val="20"/>
          <w:szCs w:val="20"/>
          <w:color w:val="auto"/>
        </w:rPr>
      </w:pPr>
    </w:p>
    <w:p>
      <w:pPr>
        <w:sectPr>
          <w:pgSz w:w="11900" w:h="16838" w:orient="portrait"/>
          <w:cols w:equalWidth="0" w:num="2">
            <w:col w:w="5200" w:space="700"/>
            <w:col w:w="5220"/>
          </w:cols>
          <w:pgMar w:left="320" w:top="144" w:right="459" w:bottom="1440" w:gutter="0" w:footer="0" w:header="0"/>
          <w:type w:val="continuous"/>
        </w:sectPr>
      </w:pPr>
    </w:p>
    <w:p>
      <w:pPr>
        <w:spacing w:after="0" w:line="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11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or standards of care or cures for the diseases our products treat reduces and could eliminate the use of our products or may limit the utility and application of ongoing clinical trials for our product candidates.</w:t>
      </w:r>
    </w:p>
    <w:p>
      <w:pPr>
        <w:spacing w:after="0" w:line="104" w:lineRule="exact"/>
        <w:rPr>
          <w:sz w:val="20"/>
          <w:szCs w:val="20"/>
          <w:color w:val="auto"/>
        </w:rPr>
      </w:pPr>
    </w:p>
    <w:p>
      <w:pPr>
        <w:ind w:right="300" w:firstLine="405"/>
        <w:spacing w:after="0" w:line="242" w:lineRule="auto"/>
        <w:rPr>
          <w:sz w:val="20"/>
          <w:szCs w:val="20"/>
          <w:color w:val="auto"/>
        </w:rPr>
      </w:pPr>
      <w:r>
        <w:rPr>
          <w:rFonts w:ascii="Arial" w:cs="Arial" w:eastAsia="Arial" w:hAnsi="Arial"/>
          <w:sz w:val="18"/>
          <w:szCs w:val="18"/>
          <w:color w:val="auto"/>
        </w:rPr>
        <w:t>In addition, the commercialization of certain of our own approved products, products of our collaborators and pipeline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wp:posOffset>
            </wp:positionV>
            <wp:extent cx="14998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2573BA"/>
        </w:rPr>
        <w:t>AUBAGIO (teriflunomide)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2573BA"/>
        </w:rPr>
        <w:t>BETASERON/BETAFERON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499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2573BA"/>
        </w:rPr>
        <w:t>COPAXONE</w:t>
      </w:r>
    </w:p>
    <w:p>
      <w:pPr>
        <w:spacing w:after="0"/>
        <w:rPr>
          <w:sz w:val="20"/>
          <w:szCs w:val="20"/>
          <w:color w:val="auto"/>
        </w:rPr>
      </w:pPr>
      <w:r>
        <w:rPr>
          <w:rFonts w:ascii="Arial" w:cs="Arial" w:eastAsia="Arial" w:hAnsi="Arial"/>
          <w:sz w:val="14"/>
          <w:szCs w:val="14"/>
          <w:color w:val="2573BA"/>
        </w:rPr>
        <w:t>(glatiramer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2573BA"/>
        </w:rPr>
        <w:t>EXTAVIA</w:t>
      </w:r>
    </w:p>
    <w:p>
      <w:pPr>
        <w:spacing w:after="0"/>
        <w:rPr>
          <w:sz w:val="20"/>
          <w:szCs w:val="20"/>
          <w:color w:val="auto"/>
        </w:rPr>
      </w:pPr>
      <w:r>
        <w:rPr>
          <w:rFonts w:ascii="Arial" w:cs="Arial" w:eastAsia="Arial" w:hAnsi="Arial"/>
          <w:sz w:val="14"/>
          <w:szCs w:val="14"/>
          <w:color w:val="2573BA"/>
        </w:rPr>
        <w:t>(interferon-beta-1b)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GILENYA (fingolimod)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GLATOPA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LEMTRADA (alemtuzumab)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MAVENCLAD (cladribine)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MAYZENT (siponimod)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OCREVUS (ocrelizumab)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PONVORY (ponesimod)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92075</wp:posOffset>
            </wp:positionV>
            <wp:extent cx="1499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2573BA"/>
        </w:rPr>
        <w:t>REBIF</w:t>
      </w:r>
    </w:p>
    <w:p>
      <w:pPr>
        <w:spacing w:after="0"/>
        <w:rPr>
          <w:sz w:val="20"/>
          <w:szCs w:val="20"/>
          <w:color w:val="auto"/>
        </w:rPr>
      </w:pPr>
      <w:r>
        <w:rPr>
          <w:rFonts w:ascii="Arial" w:cs="Arial" w:eastAsia="Arial" w:hAnsi="Arial"/>
          <w:sz w:val="14"/>
          <w:szCs w:val="14"/>
          <w:color w:val="2573BA"/>
        </w:rPr>
        <w:t>(interferon-beta-1)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ZEPOSIA (ozanimod)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2" w:lineRule="exact"/>
        <w:rPr>
          <w:sz w:val="20"/>
          <w:szCs w:val="20"/>
          <w:color w:val="auto"/>
        </w:rPr>
      </w:pPr>
    </w:p>
    <w:p>
      <w:pPr>
        <w:ind w:right="260"/>
        <w:spacing w:after="0" w:line="229" w:lineRule="auto"/>
        <w:rPr>
          <w:sz w:val="20"/>
          <w:szCs w:val="20"/>
          <w:color w:val="auto"/>
        </w:rPr>
      </w:pPr>
      <w:r>
        <w:rPr>
          <w:rFonts w:ascii="Arial" w:cs="Arial" w:eastAsia="Arial" w:hAnsi="Arial"/>
          <w:sz w:val="14"/>
          <w:szCs w:val="14"/>
          <w:color w:val="2573BA"/>
        </w:rPr>
        <w:t>BAFIERTAM (monomethyl 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1499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2573BA"/>
        </w:rPr>
        <w:t>KESIMPTA (ofatumumab)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1499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998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731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Bayer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31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Teva Pharmaceuticals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31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316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2"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2573BA"/>
        </w:rPr>
        <w:t>Janssen Pharmaceutical Companies of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7316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3164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BMS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2573BA"/>
        </w:rPr>
        <w:t>Banner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316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7316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3">
            <w:col w:w="5200" w:space="720"/>
            <w:col w:w="1940" w:space="540"/>
            <w:col w:w="2720"/>
          </w:cols>
          <w:pgMar w:left="320" w:top="144" w:right="459" w:bottom="1440" w:gutter="0" w:footer="0" w:header="0"/>
          <w:type w:val="continuous"/>
        </w:sectPr>
      </w:pPr>
    </w:p>
    <w:p>
      <w:pPr>
        <w:spacing w:after="0" w:line="1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product candidates may negatively impact future sales of our existing products.</w:t>
      </w:r>
    </w:p>
    <w:p>
      <w:pPr>
        <w:spacing w:after="0" w:line="20" w:lineRule="exact"/>
        <w:rPr>
          <w:sz w:val="20"/>
          <w:szCs w:val="20"/>
          <w:color w:val="auto"/>
        </w:rPr>
      </w:pPr>
      <w:r>
        <w:rPr>
          <w:sz w:val="20"/>
          <w:szCs w:val="20"/>
          <w:color w:val="auto"/>
        </w:rPr>
        <w:br w:type="column"/>
      </w:r>
    </w:p>
    <w:p>
      <w:pPr>
        <w:ind w:left="380"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continue to have a substantial and increasing negative impact on our U.S. TECFIDERA revenue in the future.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40" w:space="680"/>
            <w:col w:w="5600"/>
          </w:cols>
          <w:pgMar w:left="320" w:top="144" w:right="45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firstLine="405"/>
        <w:spacing w:after="0" w:line="223" w:lineRule="auto"/>
        <w:rPr>
          <w:sz w:val="20"/>
          <w:szCs w:val="20"/>
          <w:color w:val="auto"/>
        </w:rPr>
      </w:pPr>
      <w:r>
        <w:rPr>
          <w:rFonts w:ascii="Arial" w:cs="Arial" w:eastAsia="Arial" w:hAnsi="Arial"/>
          <w:sz w:val="18"/>
          <w:szCs w:val="18"/>
          <w:color w:val="auto"/>
        </w:rPr>
        <w:t>In May 2021 the European General Court annulled the EMA's decision not to validate applications for approval of TECFIDERA generics on the basis that the EMA conducted the wrong assessment when determining TECFIDERA's entitlement to regulatory data and marketing protection. Our Company, the EMA and the EC have each appealed the General Court’s decision as wrongly decided and the appeal is pending.</w:t>
      </w:r>
    </w:p>
    <w:p>
      <w:pPr>
        <w:spacing w:after="0" w:line="98"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In November 2021 the CHMP of the EMA issued an ad hoc opinion referencing the General Court’s decision which concluded that "the totality of the available data cannot establish that [monoethyl fumarate] exerts a clinically relevant therapeutic contribution within FUMADERM." The EC will decide TECFIDERA’s entitlement to regulatory data and market protection. If data and market protection is not upheld, we could face generic competition in the E.U. as early as the first half of 2022, which would have an adverse impact on our TECFIDERA sales in the E.U. and our results of operations.</w:t>
      </w:r>
    </w:p>
    <w:p>
      <w:pPr>
        <w:spacing w:after="0" w:line="10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FAMPYRA is indicated as a treatment to improve walking in adult patients with MS who have a walking disability and is the first treatment that addresses this unmet medical need with demonstrated efficacy in people with all types of MS. FAMPYRA is currently the only therapy approved to improve walking in patients with MS.</w:t>
      </w:r>
    </w:p>
    <w:p>
      <w:pPr>
        <w:spacing w:after="0" w:line="10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Competition in the MS market is intense. Along with us, a number of companies are working to develop additional treatments for MS that may in the future compete with our MS products. One such product that was approved in the U.S. in 2017 and in the E.U. in 2018 is OCREVUS, a treatment for RMS and PPMS that was developed by Genentech. While we have a financial interest in OCREVUS, future sales of our MS products may be adversely affected if OCREVUS continues to gain market share, or if other MS products that we or our competitors are developing are commercialized</w:t>
      </w:r>
      <w:r>
        <w:rPr>
          <w:rFonts w:ascii="Arial" w:cs="Arial" w:eastAsia="Arial" w:hAnsi="Arial"/>
          <w:sz w:val="18"/>
          <w:szCs w:val="18"/>
          <w:b w:val="1"/>
          <w:bCs w:val="1"/>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Spinal Muscular Atrophy</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face competition from a gene therapy product and an oral product. We expect that we will experience competition from both products in additional jurisdictions in the future, which may adversely affect our sales of SPINRAZA.</w:t>
      </w:r>
    </w:p>
    <w:p>
      <w:pPr>
        <w:spacing w:after="0" w:line="96" w:lineRule="exact"/>
        <w:rPr>
          <w:sz w:val="20"/>
          <w:szCs w:val="20"/>
          <w:color w:val="auto"/>
        </w:rPr>
      </w:pPr>
    </w:p>
    <w:p>
      <w:pPr>
        <w:ind w:right="600" w:firstLine="405"/>
        <w:spacing w:after="0" w:line="273" w:lineRule="auto"/>
        <w:rPr>
          <w:sz w:val="20"/>
          <w:szCs w:val="20"/>
          <w:color w:val="auto"/>
        </w:rPr>
      </w:pPr>
      <w:r>
        <w:rPr>
          <w:rFonts w:ascii="Arial" w:cs="Arial" w:eastAsia="Arial" w:hAnsi="Arial"/>
          <w:sz w:val="17"/>
          <w:szCs w:val="17"/>
          <w:color w:val="auto"/>
        </w:rPr>
        <w:t>Additionally, we are aware of other products now in development that, if launched, may also compete with SPINRAZA. Future sales of SPINRAZA may be adversely affected by the commercialization of competing products.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Psoriasis</w:t>
      </w:r>
    </w:p>
    <w:p>
      <w:pPr>
        <w:spacing w:after="0" w:line="139"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FUMADERM competes with several different types of therapies in the psoriasis market within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340"/>
        <w:spacing w:after="0" w:line="261" w:lineRule="auto"/>
        <w:rPr>
          <w:sz w:val="20"/>
          <w:szCs w:val="20"/>
          <w:color w:val="auto"/>
        </w:rPr>
      </w:pPr>
      <w:r>
        <w:rPr>
          <w:rFonts w:ascii="Arial" w:cs="Arial" w:eastAsia="Arial" w:hAnsi="Arial"/>
          <w:sz w:val="18"/>
          <w:szCs w:val="18"/>
          <w:color w:val="auto"/>
        </w:rPr>
        <w:t>Germany, including oral systemics such as methotrexate and cyclosporine.</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Biosimilars</w:t>
      </w:r>
    </w:p>
    <w:p>
      <w:pPr>
        <w:spacing w:after="0" w:line="139" w:lineRule="exact"/>
        <w:rPr>
          <w:sz w:val="20"/>
          <w:szCs w:val="20"/>
          <w:color w:val="auto"/>
        </w:rPr>
      </w:pPr>
    </w:p>
    <w:p>
      <w:pPr>
        <w:ind w:left="380" w:right="200" w:firstLine="445"/>
        <w:spacing w:after="0" w:line="253" w:lineRule="auto"/>
        <w:rPr>
          <w:sz w:val="20"/>
          <w:szCs w:val="20"/>
          <w:color w:val="auto"/>
        </w:rPr>
      </w:pPr>
      <w:r>
        <w:rPr>
          <w:rFonts w:ascii="Arial" w:cs="Arial" w:eastAsia="Arial" w:hAnsi="Arial"/>
          <w:sz w:val="18"/>
          <w:szCs w:val="18"/>
          <w:color w:val="auto"/>
        </w:rPr>
        <w:t>BENEPALI, IMRALDI and FLIXABI, the three biosimilar products we currently commercialize in certain countries in Europe for Samsung Bioepis, compete with their reference products, ENBREL, HUMIRA and REMICADE, respectively, as well as other biosimilars of those reference products.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Genentech Relationships in Other Indications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RITUXAN, RITUXAN HYCELA and GAZYVA in Oncology</w:t>
      </w:r>
    </w:p>
    <w:p>
      <w:pPr>
        <w:spacing w:after="0" w:line="135" w:lineRule="exact"/>
        <w:rPr>
          <w:sz w:val="20"/>
          <w:szCs w:val="20"/>
          <w:color w:val="auto"/>
        </w:rPr>
      </w:pPr>
    </w:p>
    <w:p>
      <w:pPr>
        <w:ind w:left="380" w:right="80" w:firstLine="445"/>
        <w:spacing w:after="0" w:line="254" w:lineRule="auto"/>
        <w:rPr>
          <w:sz w:val="20"/>
          <w:szCs w:val="20"/>
          <w:color w:val="auto"/>
        </w:rPr>
      </w:pPr>
      <w:r>
        <w:rPr>
          <w:rFonts w:ascii="Arial" w:cs="Arial" w:eastAsia="Arial" w:hAnsi="Arial"/>
          <w:sz w:val="18"/>
          <w:szCs w:val="18"/>
          <w:color w:val="auto"/>
        </w:rPr>
        <w:t>RITUXAN, RITUXAN HYCELA and GAZYVA compete with a number of therapies in the oncology market, including TREANDA (bendamustine HCL), ARZERRA (ofatumumab), IMBRUVICA (ibrutinib) and ZYDELIG (idelalisib).</w:t>
      </w:r>
    </w:p>
    <w:p>
      <w:pPr>
        <w:spacing w:after="0" w:line="96" w:lineRule="exact"/>
        <w:rPr>
          <w:sz w:val="20"/>
          <w:szCs w:val="20"/>
          <w:color w:val="auto"/>
        </w:rPr>
      </w:pPr>
    </w:p>
    <w:p>
      <w:pPr>
        <w:ind w:left="380" w:firstLine="445"/>
        <w:spacing w:after="0" w:line="267" w:lineRule="auto"/>
        <w:rPr>
          <w:sz w:val="20"/>
          <w:szCs w:val="20"/>
          <w:color w:val="auto"/>
        </w:rPr>
      </w:pPr>
      <w:r>
        <w:rPr>
          <w:rFonts w:ascii="Arial" w:cs="Arial" w:eastAsia="Arial" w:hAnsi="Arial"/>
          <w:sz w:val="17"/>
          <w:szCs w:val="17"/>
          <w:color w:val="auto"/>
        </w:rPr>
        <w:t>We also expect that over time RITUXAN HYCELA and GAZYVA will increasingly compete with RITUXAN in the oncology market. In addition, we are aware of several other anti-CD20 molecules, including biosimilar products, that have recently been approved and are expected to compete with RITUXAN, RITUXAN HYCELA and GAZYVA in the oncology market. In November 2019, January 2020 and January 2021 biosimilar products referencing RITUXAN were launched in the U.S and are being offered at lower prices. This competition has adversely affected the pre -tax profits of our collaboration arrangements with Genentech and could have a significant adverse affect our co-promotion profits in the U.S. in future years.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RITUXAN in Rheumatoid Arthritis</w:t>
      </w:r>
    </w:p>
    <w:p>
      <w:pPr>
        <w:spacing w:after="0" w:line="135" w:lineRule="exact"/>
        <w:rPr>
          <w:sz w:val="20"/>
          <w:szCs w:val="20"/>
          <w:color w:val="auto"/>
        </w:rPr>
      </w:pPr>
    </w:p>
    <w:p>
      <w:pPr>
        <w:ind w:left="380" w:right="180" w:firstLine="445"/>
        <w:spacing w:after="0" w:line="252" w:lineRule="auto"/>
        <w:rPr>
          <w:sz w:val="20"/>
          <w:szCs w:val="20"/>
          <w:color w:val="auto"/>
        </w:rPr>
      </w:pPr>
      <w:r>
        <w:rPr>
          <w:rFonts w:ascii="Arial" w:cs="Arial" w:eastAsia="Arial" w:hAnsi="Arial"/>
          <w:sz w:val="18"/>
          <w:szCs w:val="18"/>
          <w:color w:val="auto"/>
        </w:rPr>
        <w:t>RITUXAN competes with several different types of therapies in the rheumatoid arthritis market, including, among others, traditional disease-modifying anti-rheumatic drugs such as steroids, methotrexate and cyclosporine, TNF inhibitors, ORENCIA (abatacept), ACTEMRA (tocilizumab) and XELJANZ (tofacitinib).</w:t>
      </w:r>
    </w:p>
    <w:p>
      <w:pPr>
        <w:spacing w:after="0" w:line="100" w:lineRule="exact"/>
        <w:rPr>
          <w:sz w:val="20"/>
          <w:szCs w:val="20"/>
          <w:color w:val="auto"/>
        </w:rPr>
      </w:pPr>
    </w:p>
    <w:p>
      <w:pPr>
        <w:jc w:val="both"/>
        <w:ind w:left="380" w:right="60" w:firstLine="445"/>
        <w:spacing w:after="0" w:line="256" w:lineRule="auto"/>
        <w:rPr>
          <w:sz w:val="20"/>
          <w:szCs w:val="20"/>
          <w:color w:val="auto"/>
        </w:rPr>
      </w:pPr>
      <w:r>
        <w:rPr>
          <w:rFonts w:ascii="Arial" w:cs="Arial" w:eastAsia="Arial" w:hAnsi="Arial"/>
          <w:sz w:val="18"/>
          <w:szCs w:val="18"/>
          <w:color w:val="auto"/>
        </w:rPr>
        <w:t>We are also aware of other products, including biosimilars, in development that, if approved, may compete with RITUXAN in the rheumatoid arthritis market.</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Research and Development Programs</w:t>
      </w:r>
    </w:p>
    <w:p>
      <w:pPr>
        <w:spacing w:after="0" w:line="130"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growing capabilities in small molecule, antisense, gene therapy, gene editing and other technologies, we target specific</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580"/>
          </w:cols>
          <w:pgMar w:left="320" w:top="144" w:right="4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medical needs where we believe new or better treatments are needed.</w:t>
      </w:r>
    </w:p>
    <w:p>
      <w:pPr>
        <w:spacing w:after="0" w:line="9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a drug candidate has the potential to be highly differentiated. As part of our ongoing research and development efforts, we have devoted significant resources to conducting clinical studies to advance the development of new pharmaceutical products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technologies and to explore the utility of our existing products in treating disorders beyond those currently approved in their labels.</w:t>
      </w:r>
    </w:p>
    <w:p>
      <w:pPr>
        <w:spacing w:after="0" w:line="6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 xml:space="preserve">For additional information on our research and development expense included in our consolidated statements of income, please read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included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630" w:lineRule="exact"/>
        <w:rPr>
          <w:sz w:val="20"/>
          <w:szCs w:val="20"/>
          <w:color w:val="auto"/>
        </w:rPr>
      </w:pPr>
    </w:p>
    <w:p>
      <w:pPr>
        <w:sectPr>
          <w:pgSz w:w="11900" w:h="16838" w:orient="portrait"/>
          <w:cols w:equalWidth="0" w:num="2">
            <w:col w:w="5180" w:space="720"/>
            <w:col w:w="52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2339975" cy="651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39975" cy="651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MS and Neuroimmunology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339975" cy="651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399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Alzheimer's Disease and Dementia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2339975"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399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Neuromuscular Disorders,</w:t>
      </w:r>
    </w:p>
    <w:p>
      <w:pPr>
        <w:ind w:left="1040"/>
        <w:spacing w:after="0"/>
        <w:rPr>
          <w:sz w:val="20"/>
          <w:szCs w:val="20"/>
          <w:color w:val="auto"/>
        </w:rPr>
      </w:pPr>
      <w:r>
        <w:rPr>
          <w:rFonts w:ascii="Arial" w:cs="Arial" w:eastAsia="Arial" w:hAnsi="Arial"/>
          <w:sz w:val="14"/>
          <w:szCs w:val="14"/>
          <w:b w:val="1"/>
          <w:bCs w:val="1"/>
          <w:color w:val="auto"/>
        </w:rPr>
        <w:t>including SMA and 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2339975" cy="8229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3997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Parkinson's Disease and</w:t>
      </w:r>
    </w:p>
    <w:p>
      <w:pPr>
        <w:ind w:left="1160"/>
        <w:spacing w:after="0"/>
        <w:rPr>
          <w:sz w:val="20"/>
          <w:szCs w:val="20"/>
          <w:color w:val="auto"/>
        </w:rPr>
      </w:pPr>
      <w:r>
        <w:rPr>
          <w:rFonts w:ascii="Arial" w:cs="Arial" w:eastAsia="Arial" w:hAnsi="Arial"/>
          <w:sz w:val="14"/>
          <w:szCs w:val="14"/>
          <w:b w:val="1"/>
          <w:bCs w:val="1"/>
          <w:color w:val="auto"/>
        </w:rPr>
        <w:t>Movement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2339975" cy="4800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399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Neuropsychiatry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39975" cy="480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3399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Neurovascular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39975"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339975" cy="30861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Neuropathic 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339975"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39975" cy="120015"/>
                    </a:xfrm>
                    <a:prstGeom prst="rect">
                      <a:avLst/>
                    </a:prstGeom>
                    <a:noFill/>
                  </pic:spPr>
                </pic:pic>
              </a:graphicData>
            </a:graphic>
          </wp:anchor>
        </w:drawing>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Genetic Neurodevelopmental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39975" cy="4800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39975" cy="480060"/>
                    </a:xfrm>
                    <a:prstGeom prst="rect">
                      <a:avLst/>
                    </a:prstGeom>
                    <a:noFill/>
                  </pic:spPr>
                </pic:pic>
              </a:graphicData>
            </a:graphic>
          </wp:anchor>
        </w:drawing>
      </w:r>
    </w:p>
    <w:p>
      <w:pPr>
        <w:spacing w:after="0" w:line="346"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Specialized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339975" cy="4800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399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Biosimilars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BIIB135 (orelabrutinib)*</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BIIB061 (oral remyelination)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BIIB091 (BTK inhibitor)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BIIB107 (anti-VLA4) - MS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Aducanumab (Aβ mAb)* - Alzheimer's</w:t>
            </w:r>
          </w:p>
        </w:tc>
        <w:tc>
          <w:tcPr>
            <w:tcW w:w="100" w:type="dxa"/>
            <w:vAlign w:val="bottom"/>
          </w:tcPr>
          <w:p>
            <w:pPr>
              <w:spacing w:after="0"/>
              <w:rPr>
                <w:sz w:val="18"/>
                <w:szCs w:val="18"/>
                <w:color w:val="auto"/>
              </w:rPr>
            </w:pPr>
          </w:p>
        </w:tc>
        <w:tc>
          <w:tcPr>
            <w:tcW w:w="2660" w:type="dxa"/>
            <w:vAlign w:val="bottom"/>
            <w:gridSpan w:val="3"/>
            <w:shd w:val="clear" w:color="auto" w:fill="000000"/>
          </w:tcPr>
          <w:p>
            <w:pPr>
              <w:ind w:left="20"/>
              <w:spacing w:after="0"/>
              <w:rPr>
                <w:sz w:val="20"/>
                <w:szCs w:val="20"/>
                <w:color w:val="auto"/>
              </w:rPr>
            </w:pPr>
            <w:r>
              <w:rPr>
                <w:rFonts w:ascii="Arial" w:cs="Arial" w:eastAsia="Arial" w:hAnsi="Arial"/>
                <w:sz w:val="13"/>
                <w:szCs w:val="13"/>
                <w:color w:val="FFFFFF"/>
              </w:rPr>
              <w:t>Filed in E.U., Japan, Other Markets</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Lecanemab (Aβ mAb)* - Alzheimer's</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BIIB080 tau ASO) - Alzheimer's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BIIB076 (anti-tau mAb) - Alzheimer's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Tofersen (SOD1 ASO) - ALS</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BIIB078 (IONIS-C9</w:t>
            </w:r>
            <w:r>
              <w:rPr>
                <w:rFonts w:ascii="Arial" w:cs="Arial" w:eastAsia="Arial" w:hAnsi="Arial"/>
                <w:sz w:val="9"/>
                <w:szCs w:val="9"/>
                <w:b w:val="1"/>
                <w:bCs w:val="1"/>
                <w:color w:val="auto"/>
              </w:rPr>
              <w:t>Rx</w:t>
            </w: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BIIB105 (ataxin-2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BIIB100 (XP01 inhibitor) - ALS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BIIB124 (SAGE-324)* - Essential Tremor</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BIIB094 (ION859)</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BIIB118 (CK1 inhibitor) - ISWRD in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BIIB101 (ION464)</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Multiple System Atrophy</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BIIB122 (DNL151)</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BIIB125 (zuranolone)* - PPD</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BIIB125 (zuranolone)* - MDD</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BIIB104 (AMPA PAM) - CIAS</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BIIB093 (glibenclamide IV) - LHI^ Stroke</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BIIB093 (glibenclamide IV) - Brain Contusion</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BIIB131 (TMS-007) - Acute Ischemic Stroke</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BIIB074 (vixotrigine) - Trigeminal Neuralgia</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BIIB074 (vixotrigine) - Small Fiber Neuropathy</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189"/>
        </w:trPr>
        <w:tc>
          <w:tcPr>
            <w:tcW w:w="4680" w:type="dxa"/>
            <w:vAlign w:val="bottom"/>
            <w:shd w:val="clear" w:color="auto" w:fill="BFE4FF"/>
          </w:tcPr>
          <w:p>
            <w:pPr>
              <w:ind w:left="20"/>
              <w:spacing w:after="0" w:line="189" w:lineRule="exact"/>
              <w:rPr>
                <w:sz w:val="20"/>
                <w:szCs w:val="20"/>
                <w:color w:val="auto"/>
              </w:rPr>
            </w:pPr>
            <w:r>
              <w:rPr>
                <w:rFonts w:ascii="Arial" w:cs="Arial" w:eastAsia="Arial" w:hAnsi="Arial"/>
                <w:sz w:val="14"/>
                <w:szCs w:val="14"/>
                <w:b w:val="1"/>
                <w:bCs w:val="1"/>
                <w:color w:val="auto"/>
              </w:rPr>
              <w:t>BIIB121 (UBE3A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Angelman Syndrome</w:t>
            </w:r>
          </w:p>
        </w:tc>
        <w:tc>
          <w:tcPr>
            <w:tcW w:w="100" w:type="dxa"/>
            <w:vAlign w:val="bottom"/>
          </w:tcPr>
          <w:p>
            <w:pPr>
              <w:spacing w:after="0"/>
              <w:rPr>
                <w:sz w:val="16"/>
                <w:szCs w:val="16"/>
                <w:color w:val="auto"/>
              </w:rPr>
            </w:pPr>
          </w:p>
        </w:tc>
        <w:tc>
          <w:tcPr>
            <w:tcW w:w="780" w:type="dxa"/>
            <w:vAlign w:val="bottom"/>
            <w:shd w:val="clear" w:color="auto" w:fill="77AFE4"/>
          </w:tcPr>
          <w:p>
            <w:pPr>
              <w:ind w:left="12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6"/>
                <w:szCs w:val="16"/>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Dapirolizumab pegol (anti-CD40L)* - SLE</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BIIB059 (anti-BDCA2) - SLE</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gridSpan w:val="3"/>
          </w:tcPr>
          <w:p>
            <w:pPr>
              <w:spacing w:after="0"/>
              <w:rPr>
                <w:sz w:val="4"/>
                <w:szCs w:val="4"/>
                <w:color w:val="auto"/>
              </w:rPr>
            </w:pPr>
          </w:p>
        </w:tc>
      </w:tr>
      <w:tr>
        <w:trPr>
          <w:trHeight w:val="216"/>
        </w:trPr>
        <w:tc>
          <w:tcPr>
            <w:tcW w:w="4680" w:type="dxa"/>
            <w:vAlign w:val="bottom"/>
            <w:shd w:val="clear" w:color="auto" w:fill="DEF3C0"/>
          </w:tcPr>
          <w:p>
            <w:pPr>
              <w:ind w:left="20"/>
              <w:spacing w:after="0"/>
              <w:rPr>
                <w:sz w:val="20"/>
                <w:szCs w:val="20"/>
                <w:color w:val="auto"/>
              </w:rPr>
            </w:pPr>
            <w:r>
              <w:rPr>
                <w:rFonts w:ascii="Arial" w:cs="Arial" w:eastAsia="Arial" w:hAnsi="Arial"/>
                <w:sz w:val="14"/>
                <w:szCs w:val="14"/>
                <w:b w:val="1"/>
                <w:bCs w:val="1"/>
                <w:color w:val="auto"/>
              </w:rPr>
              <w:t>BIIB059 (anti-BDCA2) - CLE</w:t>
            </w:r>
          </w:p>
        </w:tc>
        <w:tc>
          <w:tcPr>
            <w:tcW w:w="100" w:type="dxa"/>
            <w:vAlign w:val="bottom"/>
          </w:tcPr>
          <w:p>
            <w:pPr>
              <w:spacing w:after="0"/>
              <w:rPr>
                <w:sz w:val="18"/>
                <w:szCs w:val="18"/>
                <w:color w:val="auto"/>
              </w:rPr>
            </w:pPr>
          </w:p>
        </w:tc>
        <w:tc>
          <w:tcPr>
            <w:tcW w:w="1940" w:type="dxa"/>
            <w:vAlign w:val="bottom"/>
            <w:gridSpan w:val="2"/>
            <w:shd w:val="clear" w:color="auto" w:fill="2573BA"/>
          </w:tcPr>
          <w:p>
            <w:pPr>
              <w:ind w:left="700"/>
              <w:spacing w:after="0"/>
              <w:rPr>
                <w:sz w:val="20"/>
                <w:szCs w:val="20"/>
                <w:color w:val="auto"/>
              </w:rPr>
            </w:pPr>
            <w:r>
              <w:rPr>
                <w:rFonts w:ascii="Arial" w:cs="Arial" w:eastAsia="Arial" w:hAnsi="Arial"/>
                <w:sz w:val="14"/>
                <w:szCs w:val="14"/>
                <w:color w:val="FFFFFF"/>
              </w:rPr>
              <w:t>Phase 2</w:t>
            </w:r>
          </w:p>
        </w:tc>
        <w:tc>
          <w:tcPr>
            <w:tcW w:w="72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auto"/>
              </w:rPr>
              <w:t>BYOOVIZ (referencing LUCENTIS®)</w:t>
            </w:r>
            <w:r>
              <w:rPr>
                <w:rFonts w:ascii="Arial" w:cs="Arial" w:eastAsia="Arial" w:hAnsi="Arial"/>
                <w:sz w:val="18"/>
                <w:szCs w:val="18"/>
                <w:b w:val="1"/>
                <w:bCs w:val="1"/>
                <w:color w:val="auto"/>
                <w:vertAlign w:val="superscript"/>
              </w:rPr>
              <w:t>*</w:t>
            </w:r>
          </w:p>
        </w:tc>
        <w:tc>
          <w:tcPr>
            <w:tcW w:w="100" w:type="dxa"/>
            <w:vAlign w:val="bottom"/>
          </w:tcPr>
          <w:p>
            <w:pPr>
              <w:spacing w:after="0"/>
              <w:rPr>
                <w:sz w:val="18"/>
                <w:szCs w:val="18"/>
                <w:color w:val="auto"/>
              </w:rPr>
            </w:pPr>
          </w:p>
        </w:tc>
        <w:tc>
          <w:tcPr>
            <w:tcW w:w="780" w:type="dxa"/>
            <w:vAlign w:val="bottom"/>
            <w:shd w:val="clear" w:color="auto" w:fill="000000"/>
          </w:tcPr>
          <w:p>
            <w:pPr>
              <w:spacing w:after="0"/>
              <w:rPr>
                <w:sz w:val="18"/>
                <w:szCs w:val="18"/>
                <w:color w:val="auto"/>
              </w:rPr>
            </w:pPr>
          </w:p>
        </w:tc>
        <w:tc>
          <w:tcPr>
            <w:tcW w:w="1880" w:type="dxa"/>
            <w:vAlign w:val="bottom"/>
            <w:gridSpan w:val="2"/>
            <w:shd w:val="clear" w:color="auto" w:fill="000000"/>
          </w:tcPr>
          <w:p>
            <w:pPr>
              <w:jc w:val="center"/>
              <w:ind w:right="780"/>
              <w:spacing w:after="0"/>
              <w:rPr>
                <w:sz w:val="20"/>
                <w:szCs w:val="20"/>
                <w:color w:val="auto"/>
              </w:rPr>
            </w:pPr>
            <w:r>
              <w:rPr>
                <w:rFonts w:ascii="Arial" w:cs="Arial" w:eastAsia="Arial" w:hAnsi="Arial"/>
                <w:sz w:val="14"/>
                <w:szCs w:val="14"/>
                <w:color w:val="FFFFFF"/>
              </w:rPr>
              <w:t>Approved**</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auto"/>
              </w:rPr>
              <w:t>SB15 (referencing EYLEA®)</w:t>
            </w:r>
            <w:r>
              <w:rPr>
                <w:rFonts w:ascii="Arial" w:cs="Arial" w:eastAsia="Arial" w:hAnsi="Arial"/>
                <w:sz w:val="18"/>
                <w:szCs w:val="18"/>
                <w:b w:val="1"/>
                <w:bCs w:val="1"/>
                <w:color w:val="auto"/>
                <w:vertAlign w:val="superscript"/>
              </w:rPr>
              <w:t>*</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auto"/>
              </w:rPr>
              <w:t>BIIB800 (referencing ACTEMRA®)*</w:t>
            </w:r>
          </w:p>
        </w:tc>
        <w:tc>
          <w:tcPr>
            <w:tcW w:w="100" w:type="dxa"/>
            <w:vAlign w:val="bottom"/>
          </w:tcPr>
          <w:p>
            <w:pPr>
              <w:spacing w:after="0"/>
              <w:rPr>
                <w:sz w:val="18"/>
                <w:szCs w:val="18"/>
                <w:color w:val="auto"/>
              </w:rPr>
            </w:pPr>
          </w:p>
        </w:tc>
        <w:tc>
          <w:tcPr>
            <w:tcW w:w="780" w:type="dxa"/>
            <w:vAlign w:val="bottom"/>
            <w:shd w:val="clear" w:color="auto" w:fill="1C5A7D"/>
          </w:tcPr>
          <w:p>
            <w:pPr>
              <w:spacing w:after="0"/>
              <w:rPr>
                <w:sz w:val="18"/>
                <w:szCs w:val="18"/>
                <w:color w:val="auto"/>
              </w:rPr>
            </w:pPr>
          </w:p>
        </w:tc>
        <w:tc>
          <w:tcPr>
            <w:tcW w:w="1880" w:type="dxa"/>
            <w:vAlign w:val="bottom"/>
            <w:gridSpan w:val="2"/>
            <w:shd w:val="clear" w:color="auto" w:fill="1C5A7D"/>
          </w:tcPr>
          <w:p>
            <w:pPr>
              <w:jc w:val="center"/>
              <w:ind w:right="780"/>
              <w:spacing w:after="0"/>
              <w:rPr>
                <w:sz w:val="20"/>
                <w:szCs w:val="20"/>
                <w:color w:val="auto"/>
              </w:rPr>
            </w:pPr>
            <w:r>
              <w:rPr>
                <w:rFonts w:ascii="Arial" w:cs="Arial" w:eastAsia="Arial" w:hAnsi="Arial"/>
                <w:sz w:val="14"/>
                <w:szCs w:val="14"/>
                <w:color w:val="FFFFFF"/>
              </w:rPr>
              <w:t>Phase 3</w:t>
            </w:r>
          </w:p>
        </w:tc>
      </w:tr>
    </w:tbl>
    <w:p>
      <w:pPr>
        <w:spacing w:after="0" w:line="99" w:lineRule="exact"/>
        <w:rPr>
          <w:sz w:val="20"/>
          <w:szCs w:val="20"/>
          <w:color w:val="auto"/>
        </w:rPr>
      </w:pPr>
    </w:p>
    <w:p>
      <w:pPr>
        <w:sectPr>
          <w:pgSz w:w="11900" w:h="16838" w:orient="portrait"/>
          <w:cols w:equalWidth="0" w:num="2">
            <w:col w:w="3200" w:space="600"/>
            <w:col w:w="7440"/>
          </w:cols>
          <w:pgMar w:left="320" w:top="144" w:right="339" w:bottom="1440" w:gutter="0" w:footer="0" w:header="0"/>
          <w:type w:val="continuous"/>
        </w:sectPr>
      </w:pPr>
    </w:p>
    <w:p>
      <w:pPr>
        <w:spacing w:after="0"/>
        <w:rPr>
          <w:sz w:val="20"/>
          <w:szCs w:val="20"/>
          <w:color w:val="auto"/>
        </w:rPr>
      </w:pPr>
      <w:r>
        <w:rPr>
          <w:rFonts w:ascii="Arial" w:cs="Arial" w:eastAsia="Arial" w:hAnsi="Arial"/>
          <w:sz w:val="14"/>
          <w:szCs w:val="14"/>
          <w:color w:val="auto"/>
        </w:rPr>
        <w:t>* Collaboration program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 yet commercially available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Option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Large Hemispheric Infarction (LHI); postpartum depression (PPD); major depressive disorder (MDD)</w:t>
      </w:r>
    </w:p>
    <w:p>
      <w:pPr>
        <w:spacing w:after="0" w:line="139" w:lineRule="exact"/>
        <w:rPr>
          <w:sz w:val="20"/>
          <w:szCs w:val="20"/>
          <w:color w:val="auto"/>
        </w:rPr>
      </w:pPr>
    </w:p>
    <w:p>
      <w:pPr>
        <w:jc w:val="both"/>
        <w:ind w:right="60" w:firstLine="445"/>
        <w:spacing w:after="0" w:line="266" w:lineRule="auto"/>
        <w:rPr>
          <w:sz w:val="20"/>
          <w:szCs w:val="20"/>
          <w:color w:val="auto"/>
        </w:rPr>
      </w:pPr>
      <w:r>
        <w:rPr>
          <w:rFonts w:ascii="Arial" w:cs="Arial" w:eastAsia="Arial" w:hAnsi="Arial"/>
          <w:sz w:val="18"/>
          <w:szCs w:val="18"/>
          <w:color w:val="auto"/>
        </w:rPr>
        <w:t xml:space="preserve">For information about certain of our agreements with collaborators and other third-parties, please read the subsection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Note 2, Acquisitions</w:t>
      </w:r>
      <w:r>
        <w:rPr>
          <w:rFonts w:ascii="Arial" w:cs="Arial" w:eastAsia="Arial" w:hAnsi="Arial"/>
          <w:sz w:val="18"/>
          <w:szCs w:val="18"/>
          <w:color w:val="auto"/>
        </w:rPr>
        <w:t>,</w:t>
      </w:r>
      <w:r>
        <w:rPr>
          <w:rFonts w:ascii="Arial" w:cs="Arial" w:eastAsia="Arial" w:hAnsi="Arial"/>
          <w:sz w:val="18"/>
          <w:szCs w:val="18"/>
          <w:i w:val="1"/>
          <w:iCs w:val="1"/>
          <w:color w:val="auto"/>
        </w:rPr>
        <w:t xml:space="preserve"> Note 18,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Business Relationships</w:t>
      </w:r>
    </w:p>
    <w:p>
      <w:pPr>
        <w:spacing w:after="0" w:line="13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As part of our business strategy, we establish business relationships, including entering into licenses,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10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 xml:space="preserve">Below is a brief description of certain business relationships and collaborations that expand our pipeline and provide us with certain rights to existing and potential new products and technologies. For additional information on certain of these relationships, including their ongoing financial and accounting impact on our business,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Acorda Therapeutics, Inc.</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have a collaboration and license agreement with Acorda to develop and commercialize products containing fampridine, such as FAMPYRA, in markets outside the U.S. We are responsible for all regulatory activities and the future clinical development of related products in those markets.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Alkermes</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have an exclusive license and collaboration agreement with Alkermes for VUMERITY, which was approved for the treatment of RMS in the U.S. in October 2019 and became commercially available in the U.S. in November 2019. During the fourth quarter of 2021 VUMERITY was approved for the treatment of RRMS in the E.U., Switzerland and the U.K. Under this agreement, we have an exclusive, worldwide license to develop and commercialize VUMERITY.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have a collaboration and license agreement with Denali to co-develop and co-commercialize Denali’s small molecule inhibitors of LRRK2 for Parkinson’s disease. In the LRRK2 collaboration, we and Denali share responsibility and costs for global development as well as profits and losses for commercialization in the U.S. and China. Outside the U.S. and China, we are responsible for commercialization and pay Denali tiered royalties.</w:t>
      </w:r>
    </w:p>
    <w:p>
      <w:pPr>
        <w:spacing w:after="0" w:line="9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addition to the LRRK2 program, we also have an exclusive option to license two preclinical programs from Denali’s Transport Vehicle platform, including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320"/>
        <w:spacing w:after="0" w:line="253" w:lineRule="auto"/>
        <w:rPr>
          <w:sz w:val="20"/>
          <w:szCs w:val="20"/>
          <w:color w:val="auto"/>
        </w:rPr>
      </w:pPr>
      <w:r>
        <w:rPr>
          <w:rFonts w:ascii="Arial" w:cs="Arial" w:eastAsia="Arial" w:hAnsi="Arial"/>
          <w:sz w:val="18"/>
          <w:szCs w:val="18"/>
          <w:color w:val="auto"/>
        </w:rPr>
        <w:t>Antibody Transport Vehicle: Abeta program and a second program utilizing its Transport Vehicle technology. Further, we have a right of first negotiation on two additional Transport Vehicle-enabled therapeutics, should Denali decide to seek a collaboration for such programs.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Eisai Co., Ltd.</w:t>
      </w:r>
    </w:p>
    <w:p>
      <w:pPr>
        <w:spacing w:after="0" w:line="139"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We have a collaboration agreement with Eisai to jointly develop and commercialize lecanemab (BAN2401), an Eisai product candidate for the potential treatment of Alzheimer's disease. Eisai serves as the global operational and regulatory lead for lecanemab and all costs, including research, development, sales and marketing expense, are shared equally between us and Eisai. If lecanemab receives marketing approval, we and Eisai will co-promote lecanemab and share profits equally.</w:t>
      </w:r>
    </w:p>
    <w:p>
      <w:pPr>
        <w:spacing w:after="0" w:line="104" w:lineRule="exact"/>
        <w:rPr>
          <w:sz w:val="20"/>
          <w:szCs w:val="20"/>
          <w:color w:val="auto"/>
        </w:rPr>
      </w:pPr>
    </w:p>
    <w:p>
      <w:pPr>
        <w:ind w:left="380" w:right="80" w:firstLine="405"/>
        <w:spacing w:after="0" w:line="252" w:lineRule="auto"/>
        <w:rPr>
          <w:sz w:val="20"/>
          <w:szCs w:val="20"/>
          <w:color w:val="auto"/>
        </w:rPr>
      </w:pPr>
      <w:r>
        <w:rPr>
          <w:rFonts w:ascii="Arial" w:cs="Arial" w:eastAsia="Arial" w:hAnsi="Arial"/>
          <w:sz w:val="18"/>
          <w:szCs w:val="18"/>
          <w:color w:val="auto"/>
        </w:rPr>
        <w:t>We also have a collaboration agreement with Eisai to jointly develop and commercialize ADUHELM (aducanumab) (the ADUHELM Collaboration Agreement). Under the ADUHELM Collaboration Agreement, the two companies will co-promote ADUHELM with a region-based profit split and we lead the ongoing development and commercialization of ADUHELM.</w:t>
      </w:r>
    </w:p>
    <w:p>
      <w:pPr>
        <w:spacing w:after="0" w:line="100" w:lineRule="exact"/>
        <w:rPr>
          <w:sz w:val="20"/>
          <w:szCs w:val="20"/>
          <w:color w:val="auto"/>
        </w:rPr>
      </w:pPr>
    </w:p>
    <w:p>
      <w:pPr>
        <w:ind w:left="380" w:right="200" w:firstLine="405"/>
        <w:spacing w:after="0" w:line="254" w:lineRule="auto"/>
        <w:rPr>
          <w:sz w:val="20"/>
          <w:szCs w:val="20"/>
          <w:color w:val="auto"/>
        </w:rPr>
      </w:pPr>
      <w:r>
        <w:rPr>
          <w:rFonts w:ascii="Arial" w:cs="Arial" w:eastAsia="Arial" w:hAnsi="Arial"/>
          <w:sz w:val="18"/>
          <w:szCs w:val="18"/>
          <w:color w:val="auto"/>
        </w:rPr>
        <w:t>We and Eisai co-promote AVONEX, TYSABRI and TECFIDERA in Japan in certain settings and Eisai distributes AVONEX, TYSABRI, TECFIDERA and PLEGRIDY in India and other Asia-Pacific markets, excluding China.</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Genentech, Inc. (Roche Group)</w:t>
      </w:r>
    </w:p>
    <w:p>
      <w:pPr>
        <w:spacing w:after="0" w:line="139" w:lineRule="exact"/>
        <w:rPr>
          <w:sz w:val="20"/>
          <w:szCs w:val="20"/>
          <w:color w:val="auto"/>
        </w:rPr>
      </w:pPr>
    </w:p>
    <w:p>
      <w:pPr>
        <w:ind w:left="380" w:right="60" w:firstLine="405"/>
        <w:spacing w:after="0" w:line="254" w:lineRule="auto"/>
        <w:rPr>
          <w:sz w:val="20"/>
          <w:szCs w:val="20"/>
          <w:color w:val="auto"/>
        </w:rPr>
      </w:pPr>
      <w:r>
        <w:rPr>
          <w:rFonts w:ascii="Arial" w:cs="Arial" w:eastAsia="Arial" w:hAnsi="Arial"/>
          <w:sz w:val="18"/>
          <w:szCs w:val="18"/>
          <w:color w:val="auto"/>
        </w:rPr>
        <w:t>We have collaboration arrangements with Genentech which entitle us to certain business and financial rights with respect to RITUXAN, RITUXAN HYCELA, GAZYVA, OCREVUS and other potential anti-CD20 therapies, including mosunetuzumab.</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Ionis Pharmaceuticals, Inc.</w:t>
      </w:r>
    </w:p>
    <w:p>
      <w:pPr>
        <w:spacing w:after="0" w:line="139"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We have an exclusive, worldwide option and collaboration agreement with Ionis relating to the development and commercialization of antisense therapeutics for up to three gene targets. Under a separate collaboration and license agreement with Ionis, we have an exclusive, worldwide license to develop and commercialize SPINRAZA for the treatment of SMA. We also have a 10-year exclusive collaboration agreement with Ionis to develop novel antisense oligonucleotide (ASO) drug candidates for a broad range of neurological diseases.</w:t>
      </w:r>
    </w:p>
    <w:p>
      <w:pPr>
        <w:spacing w:after="0" w:line="104" w:lineRule="exact"/>
        <w:rPr>
          <w:sz w:val="20"/>
          <w:szCs w:val="20"/>
          <w:color w:val="auto"/>
        </w:rPr>
      </w:pPr>
    </w:p>
    <w:p>
      <w:pPr>
        <w:ind w:left="380" w:right="20" w:firstLine="405"/>
        <w:spacing w:after="0" w:line="253" w:lineRule="auto"/>
        <w:rPr>
          <w:sz w:val="20"/>
          <w:szCs w:val="20"/>
          <w:color w:val="auto"/>
        </w:rPr>
      </w:pPr>
      <w:r>
        <w:rPr>
          <w:rFonts w:ascii="Arial" w:cs="Arial" w:eastAsia="Arial" w:hAnsi="Arial"/>
          <w:sz w:val="18"/>
          <w:szCs w:val="18"/>
          <w:color w:val="auto"/>
        </w:rPr>
        <w:t>In addition, we have research collaboration agreements with Ionis under which both companies perform discovery level research and will develop and commercialize new ASO drug candidates for the potential treatment of SMA and additional antisense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or other therapeutics for the potential treatment of neurological diseases.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InnoCare Pharma Limited</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have a collaboration and license agreement with InnoCare for orelabrutinib, an oral small molecule Bruton's tyrosine kinase inhibitor for the potential treatment of MS. Orelabrutinib is currently being studied in a multi-country, placebo-controlled Phase 2 trial in relapsing-remitting MS. Under the terms of this collaboration, we have exclusive rights to orelabrutinib in the field of MS worldwide and certain autoimmune diseases outside of China (including Hong Kong, Macau and Taiwan), while InnoCare retains exclusive worldwide rights to orelabrutinib in the field of oncology and certain autoimmune diseases in China (including Hong Kong, Macau and Taiwan).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SubOne AG</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have a collaboration and license agreement with Neurimmune SubOne AG (Neurimmune) for the development and commercialization of antibodies for the potential treatment of Alzheimer's disease, including ADUHELM (as amended, the Neurimmune Agreement). We are responsible for the development, manufacturing and commercialization of all licensed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and Samsung BioLogics established a joint venture, Samsung Bioepis, to develop, manufacture and market biosimilar products. We also have an agreement with Samsung Bioepis to commercialize, over a 10-year term, 3 anti-TNF biosimilar product candidates in certain countries in Europe and, in the case of BENEPALI, Japan. Under this agreement, we are commercializing BENEPALI, an etanercept biosimilar referencing ENBREL, IMRALDI, an adalimumab biosimilar referencing HUMIRA, and FLIXABI, an infliximab biosimilar referencing REMICADE, in certain countries in Europe.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January 2022 we entered into an agreement to sell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Biologics our equity in Samsung Bioepis.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terms of the proposed transaction, we would receive $1.0 billion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cash at closing and $1.3 billion to be deferred over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of $812.5 million due at the first anniversary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$437.5 million due at the second anniversary of the closing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We would also be eligible to receive up to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$50.0 million upon the achievement of certain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milestones.</w:t>
      </w:r>
    </w:p>
    <w:p>
      <w:pPr>
        <w:spacing w:after="0" w:line="11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Closing of the transaction is currently anticipated in mid-2022, contingent on the effectiveness of a securities registration statement filed by Samsung Biologics and satisfaction of certain regulatory and other customary closing conditions.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 xml:space="preserve">For additional information on the proposed transaction and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this report.</w:t>
      </w:r>
    </w:p>
    <w:p>
      <w:pPr>
        <w:spacing w:after="0" w:line="9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December 2019 we completed a transaction with Samsung Bioepis and acquired an option to extend our existing commercial agreement with Samsung Bioepis for BENEPALI, IMRALDI and FLIXABI in certain countries in Europe. We have also secured the exclusive rights to commercialize BYOOVIZ, a ranibizumab biosimilar referencing LUCENTIS, which was approved in the U.S., the E.U. and the U.K. during the third quarter of 2021. In addition to our joint venture and commercialization agreements with Samsung Bioepis, we license certain of our proprietary technology to Samsung Bioepis in connection with Samsung Bioepis' development, manufacture and commercialization of its biosimilar products.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have a global collaboration and license agreement with Sage to jointly develop and commercialize zuranolone for the potential treatment of major depressive disorder, postpartum depression and other psychiatric disorders and SAGE-324 for the potential treatment of essential tremor and other neurological disorders. We and Sage share equal responsibility and costs for development as well as profits and losses for commercialization in the U.S. Outside the U.S., we are responsible for development and commercialization, excluding Japan, Taiwan and South Korea with respect to zuranolone, and will pay Sage tiered royalties.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right="80" w:firstLine="405"/>
        <w:spacing w:after="0" w:line="267" w:lineRule="auto"/>
        <w:rPr>
          <w:sz w:val="20"/>
          <w:szCs w:val="20"/>
          <w:color w:val="auto"/>
        </w:rPr>
      </w:pPr>
      <w:r>
        <w:rPr>
          <w:rFonts w:ascii="Arial" w:cs="Arial" w:eastAsia="Arial" w:hAnsi="Arial"/>
          <w:sz w:val="17"/>
          <w:szCs w:val="17"/>
          <w:color w:val="auto"/>
        </w:rPr>
        <w:t>We have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to modulate the expression of key genes involved in neurological diseases. Sangamo will perform early research activities, costs for which will be shared by the companies, and we will assume responsibility and costs beyond the early research activities.</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Regulatory</w:t>
      </w:r>
    </w:p>
    <w:p>
      <w:pPr>
        <w:spacing w:after="0" w:line="130" w:lineRule="exact"/>
        <w:rPr>
          <w:sz w:val="20"/>
          <w:szCs w:val="20"/>
          <w:color w:val="auto"/>
        </w:rPr>
      </w:pPr>
    </w:p>
    <w:p>
      <w:pPr>
        <w:jc w:val="both"/>
        <w:ind w:right="220" w:firstLine="405"/>
        <w:spacing w:after="0" w:line="256" w:lineRule="auto"/>
        <w:rPr>
          <w:sz w:val="20"/>
          <w:szCs w:val="20"/>
          <w:color w:val="auto"/>
        </w:rPr>
      </w:pPr>
      <w:r>
        <w:rPr>
          <w:rFonts w:ascii="Arial" w:cs="Arial" w:eastAsia="Arial" w:hAnsi="Arial"/>
          <w:sz w:val="18"/>
          <w:szCs w:val="18"/>
          <w:color w:val="auto"/>
        </w:rPr>
        <w:t>Our current and contemplated activities and the products, technologies and processes that result from such activities are subject to substantial government regulation.</w:t>
      </w:r>
    </w:p>
    <w:p>
      <w:pPr>
        <w:spacing w:after="0" w:line="494" w:lineRule="exact"/>
        <w:rPr>
          <w:sz w:val="20"/>
          <w:szCs w:val="20"/>
          <w:color w:val="auto"/>
        </w:rPr>
      </w:pPr>
    </w:p>
    <w:p>
      <w:pPr>
        <w:sectPr>
          <w:pgSz w:w="11900" w:h="16838" w:orient="portrait"/>
          <w:cols w:equalWidth="0" w:num="2">
            <w:col w:w="5220" w:space="680"/>
            <w:col w:w="5200"/>
          </w:cols>
          <w:pgMar w:left="320" w:top="144" w:right="479" w:bottom="1440" w:gutter="0" w:footer="0" w:header="0"/>
          <w:type w:val="continuous"/>
        </w:sect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Regulation of Pharmaceuticals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Approval and Post-Approval Regulation in the U.S.</w:t>
      </w:r>
    </w:p>
    <w:p>
      <w:pPr>
        <w:spacing w:after="0" w:line="117"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color w:val="auto"/>
        </w:rPr>
        <w:t>APPROVAL PROCESS</w:t>
      </w:r>
    </w:p>
    <w:p>
      <w:pPr>
        <w:spacing w:after="0" w:line="13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NDA. In response to a BLA or NDA, the FDA may grant marketing approval, request additional information or deny the application if it determines the application does not provide an adequate basis for approval.</w:t>
      </w:r>
    </w:p>
    <w:p>
      <w:pPr>
        <w:spacing w:after="0" w:line="10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suitable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delays or expenses. Furthermore, even if a product is approved, the approval may be subject to limitations based on the FDA's interpretation of the existing pre-clinical and/or clinical data.</w:t>
      </w:r>
    </w:p>
    <w:p>
      <w:pPr>
        <w:spacing w:after="0" w:line="10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FDA has developed four distinct approaches intended to facilitate the development and expedite the regulatory review of therapeutically important drugs, especially when the drugs are the first available treatment or have advantages over existing treatments: accelerated approval, fast track, breakthrough therapy and priority review.</w:t>
      </w:r>
    </w:p>
    <w:p>
      <w:pPr>
        <w:spacing w:after="0" w:line="82" w:lineRule="exact"/>
        <w:rPr>
          <w:sz w:val="20"/>
          <w:szCs w:val="20"/>
          <w:color w:val="auto"/>
        </w:rPr>
      </w:pPr>
    </w:p>
    <w:p>
      <w:pPr>
        <w:ind w:left="420" w:right="260" w:hanging="331"/>
        <w:spacing w:after="0" w:line="266"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Accelerated Approval</w:t>
      </w:r>
      <w:r>
        <w:rPr>
          <w:rFonts w:ascii="Arial" w:cs="Arial" w:eastAsia="Arial" w:hAnsi="Arial"/>
          <w:sz w:val="18"/>
          <w:szCs w:val="18"/>
          <w:color w:val="auto"/>
        </w:rPr>
        <w:t>: The FDA may grant “accelerated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to products that treat serious or life-threatening illnesses and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0"/>
        <w:spacing w:after="0" w:line="250" w:lineRule="auto"/>
        <w:rPr>
          <w:sz w:val="20"/>
          <w:szCs w:val="20"/>
          <w:color w:val="auto"/>
        </w:rPr>
      </w:pPr>
      <w:r>
        <w:rPr>
          <w:rFonts w:ascii="Arial" w:cs="Arial" w:eastAsia="Arial" w:hAnsi="Arial"/>
          <w:sz w:val="18"/>
          <w:szCs w:val="18"/>
          <w:color w:val="auto"/>
        </w:rPr>
        <w:t>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provide the FDA with confirmatory data post-approval to verify and describe clinical benefit. Under the FDA's accelerated approval regulations, if the FDA concludes that a drug that has been shown to be effective can be safely used only if distribution or use is restricted, it may require certain post-marketing restrictions to assure safe use. In addition, for products approved under accelerated approval, sponsors may be required to submit all copies of their promotional materials, including advertisements, to the FDA at least 30 days prior to initial dissemination. The FDA may withdraw approval if, for instance, post-marketing studies fail to verify clinical benefit, it becomes clear that restrictions on the distribution of the product are inadequate to ensure its safe use or if a sponsor fails to comply with the conditions of the accelerated approval.</w:t>
      </w:r>
    </w:p>
    <w:p>
      <w:pPr>
        <w:spacing w:after="0" w:line="99" w:lineRule="exact"/>
        <w:rPr>
          <w:sz w:val="20"/>
          <w:szCs w:val="20"/>
          <w:color w:val="auto"/>
        </w:rPr>
      </w:pPr>
    </w:p>
    <w:p>
      <w:pPr>
        <w:ind w:left="800" w:right="280" w:hanging="334"/>
        <w:spacing w:after="0" w:line="258" w:lineRule="auto"/>
        <w:tabs>
          <w:tab w:leader="none" w:pos="75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Fast Track</w:t>
      </w:r>
      <w:r>
        <w:rPr>
          <w:rFonts w:ascii="Arial" w:cs="Arial" w:eastAsia="Arial" w:hAnsi="Arial"/>
          <w:sz w:val="18"/>
          <w:szCs w:val="18"/>
          <w:color w:val="auto"/>
        </w:rPr>
        <w:t>: The FDA may grant "fast track" status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that treat a serious condition and have data demonstrating the potential to address an unmet medical need or a drug that has been designated as a qualified infectious disease product.</w:t>
      </w:r>
    </w:p>
    <w:p>
      <w:pPr>
        <w:spacing w:after="0" w:line="75" w:lineRule="exact"/>
        <w:rPr>
          <w:rFonts w:ascii="Arial" w:cs="Arial" w:eastAsia="Arial" w:hAnsi="Arial"/>
          <w:sz w:val="18"/>
          <w:szCs w:val="18"/>
          <w:color w:val="auto"/>
        </w:rPr>
      </w:pPr>
    </w:p>
    <w:p>
      <w:pPr>
        <w:ind w:left="800" w:right="60" w:hanging="334"/>
        <w:spacing w:after="0" w:line="252" w:lineRule="auto"/>
        <w:tabs>
          <w:tab w:leader="none" w:pos="741"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Breakthrough Therapy</w:t>
      </w:r>
      <w:r>
        <w:rPr>
          <w:rFonts w:ascii="Arial" w:cs="Arial" w:eastAsia="Arial" w:hAnsi="Arial"/>
          <w:sz w:val="18"/>
          <w:szCs w:val="18"/>
          <w:color w:val="auto"/>
        </w:rPr>
        <w:t>: The FDA may grant “breakthrough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therapy” status to drugs designed to treat, alone or in combination with another drug or drugs, a serious or life-threatening disease or condition and for which preliminary clinical evidence suggests a substantial improvement over existing therapies based on a clinically significant endpoint.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eligible for priority review and does not ensure FDA approval.</w:t>
      </w:r>
    </w:p>
    <w:p>
      <w:pPr>
        <w:spacing w:after="0" w:line="89" w:lineRule="exact"/>
        <w:rPr>
          <w:rFonts w:ascii="Arial" w:cs="Arial" w:eastAsia="Arial" w:hAnsi="Arial"/>
          <w:sz w:val="18"/>
          <w:szCs w:val="18"/>
          <w:i w:val="1"/>
          <w:iCs w:val="1"/>
          <w:color w:val="auto"/>
        </w:rPr>
      </w:pPr>
    </w:p>
    <w:p>
      <w:pPr>
        <w:ind w:left="800" w:right="120" w:hanging="334"/>
        <w:spacing w:after="0" w:line="256" w:lineRule="auto"/>
        <w:tabs>
          <w:tab w:leader="none" w:pos="741"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Priority Review</w:t>
      </w:r>
      <w:r>
        <w:rPr>
          <w:rFonts w:ascii="Arial" w:cs="Arial" w:eastAsia="Arial" w:hAnsi="Arial"/>
          <w:sz w:val="18"/>
          <w:szCs w:val="18"/>
          <w:color w:val="auto"/>
        </w:rPr>
        <w:t>: “Priority review” only applies to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or efficacy supplement) for a drug that treats a serious condition and, if approved, would provide a significant improvement in safety or effectiveness of the treatment, diagnosis or prevention of a serious condition. Priority review may also be granted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right="60"/>
        <w:spacing w:after="0" w:line="252" w:lineRule="auto"/>
        <w:rPr>
          <w:sz w:val="20"/>
          <w:szCs w:val="20"/>
          <w:color w:val="auto"/>
        </w:rPr>
      </w:pPr>
      <w:r>
        <w:rPr>
          <w:rFonts w:ascii="Arial" w:cs="Arial" w:eastAsia="Arial" w:hAnsi="Arial"/>
          <w:sz w:val="18"/>
          <w:szCs w:val="18"/>
          <w:color w:val="auto"/>
        </w:rPr>
        <w:t>any supplement that proposes a labeling change due to studies completed in response to a written request from the FDA for pediatric studies, for an application for a drug that has been designated as a qualified infectious disease product or for any application or supplement for a drug submitted with a priority review voucher.</w:t>
      </w:r>
    </w:p>
    <w:p>
      <w:pPr>
        <w:spacing w:after="0" w:line="100" w:lineRule="exact"/>
        <w:rPr>
          <w:sz w:val="20"/>
          <w:szCs w:val="20"/>
          <w:color w:val="auto"/>
        </w:rPr>
      </w:pPr>
    </w:p>
    <w:p>
      <w:pPr>
        <w:jc w:val="both"/>
        <w:ind w:left="420" w:right="20"/>
        <w:spacing w:after="0" w:line="256" w:lineRule="auto"/>
        <w:rPr>
          <w:sz w:val="20"/>
          <w:szCs w:val="20"/>
          <w:color w:val="auto"/>
        </w:rPr>
      </w:pPr>
      <w:r>
        <w:rPr>
          <w:rFonts w:ascii="Arial" w:cs="Arial" w:eastAsia="Arial" w:hAnsi="Arial"/>
          <w:sz w:val="18"/>
          <w:szCs w:val="18"/>
          <w:color w:val="auto"/>
        </w:rPr>
        <w:t>In December 2016 the FDA issued a rare pediatric disease priority review voucher to us in connection with the approval of SPINRAZA.</w:t>
      </w:r>
    </w:p>
    <w:p>
      <w:pPr>
        <w:spacing w:after="0" w:line="76"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color w:val="auto"/>
        </w:rPr>
        <w:t>POST-MARKETING STUDIES</w:t>
      </w:r>
    </w:p>
    <w:p>
      <w:pPr>
        <w:spacing w:after="0" w:line="13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FDA may withdraw its approval. In addition, if the FDA concludes that a drug that has been shown to be effective can be safely used only if distribution or use is restricted, it can mandate post-marketing restrictions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82" w:lineRule="exact"/>
        <w:rPr>
          <w:sz w:val="20"/>
          <w:szCs w:val="20"/>
          <w:color w:val="auto"/>
        </w:rPr>
      </w:pPr>
    </w:p>
    <w:p>
      <w:pPr>
        <w:jc w:val="center"/>
        <w:ind w:left="280"/>
        <w:spacing w:after="0"/>
        <w:rPr>
          <w:sz w:val="20"/>
          <w:szCs w:val="20"/>
          <w:color w:val="auto"/>
        </w:rPr>
      </w:pPr>
      <w:r>
        <w:rPr>
          <w:rFonts w:ascii="Arial" w:cs="Arial" w:eastAsia="Arial" w:hAnsi="Arial"/>
          <w:sz w:val="18"/>
          <w:szCs w:val="18"/>
          <w:i w:val="1"/>
          <w:iCs w:val="1"/>
          <w:color w:val="auto"/>
        </w:rPr>
        <w:t>ADVERSE EVENT REPORTING</w:t>
      </w:r>
    </w:p>
    <w:p>
      <w:pPr>
        <w:spacing w:after="0" w:line="13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OF CHANGES TO AN APPROVED PRODUCT</w:t>
      </w:r>
    </w:p>
    <w:p>
      <w:pPr>
        <w:spacing w:after="0" w:line="13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If we seek to make certain types of changes to an approved product, such as adding a new indication, making certain manufacturing changes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right="100"/>
        <w:spacing w:after="0" w:line="251" w:lineRule="auto"/>
        <w:rPr>
          <w:sz w:val="20"/>
          <w:szCs w:val="20"/>
          <w:color w:val="auto"/>
        </w:rPr>
      </w:pPr>
      <w:r>
        <w:rPr>
          <w:rFonts w:ascii="Arial" w:cs="Arial" w:eastAsia="Arial" w:hAnsi="Arial"/>
          <w:sz w:val="18"/>
          <w:szCs w:val="18"/>
          <w:color w:val="auto"/>
        </w:rPr>
        <w:t>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what was initially approved. FDA regulatory review may result in denial or modification of the planned changes, or requirements to conduct additional tests or evaluations that can substantially delay or increase the cost of the planned changes.</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REGULATION OF PRODUCT ADVERTISING AND</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PROMOTION</w:t>
      </w:r>
    </w:p>
    <w:p>
      <w:pPr>
        <w:spacing w:after="0" w:line="117"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The FDA regulates all advertising and promotion activities and communications for products under its jurisdiction both before and after approval. Pursuant to FDA guidance, a company can make safety and efficacy claims either in or consistent with the product label. However, physicians may prescribe legally available drugs for uses that are not described in the drug's labeling. Such off-label prescribing is common across medical specialties, and often reflects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Regulation of Combination Products</w:t>
      </w:r>
    </w:p>
    <w:p>
      <w:pPr>
        <w:spacing w:after="0" w:line="135" w:lineRule="exact"/>
        <w:rPr>
          <w:sz w:val="20"/>
          <w:szCs w:val="20"/>
          <w:color w:val="auto"/>
        </w:rPr>
      </w:pPr>
    </w:p>
    <w:p>
      <w:pPr>
        <w:ind w:left="380" w:right="140" w:firstLine="405"/>
        <w:spacing w:after="0" w:line="251" w:lineRule="auto"/>
        <w:rPr>
          <w:sz w:val="20"/>
          <w:szCs w:val="20"/>
          <w:color w:val="auto"/>
        </w:rPr>
      </w:pPr>
      <w:r>
        <w:rPr>
          <w:rFonts w:ascii="Arial" w:cs="Arial" w:eastAsia="Arial" w:hAnsi="Arial"/>
          <w:sz w:val="18"/>
          <w:szCs w:val="18"/>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104" w:lineRule="exact"/>
        <w:rPr>
          <w:sz w:val="20"/>
          <w:szCs w:val="20"/>
          <w:color w:val="auto"/>
        </w:rPr>
      </w:pPr>
    </w:p>
    <w:p>
      <w:pPr>
        <w:ind w:left="380" w:right="80" w:firstLine="405"/>
        <w:spacing w:after="0" w:line="251" w:lineRule="auto"/>
        <w:rPr>
          <w:sz w:val="20"/>
          <w:szCs w:val="20"/>
          <w:color w:val="auto"/>
        </w:rPr>
      </w:pPr>
      <w:r>
        <w:rPr>
          <w:rFonts w:ascii="Arial" w:cs="Arial" w:eastAsia="Arial" w:hAnsi="Arial"/>
          <w:sz w:val="18"/>
          <w:szCs w:val="18"/>
          <w:color w:val="auto"/>
        </w:rPr>
        <w:t>In May 2017 new regulations governing medical devices (MDR) and in-vitro diagnostic medical devices (IVDR) entered into force in the E.U. The MDR became applicable in May 2021. The IVDR regulations are not expected to fully apply until May 2022. All products covered by these regulations will be required to comply with them at the end of the transitional periods. These regulations introduce new requirements, including for clinical investigation of certain classifications of medical devices, require increased regulatory scrutiny, enhance the requirements for post market surveillance and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vigilance and provide for greater transparency. These regulations also change the requirements for assessment of the medical device components of integral drug-device combination products, necessitating assessment of the device components under both the medical device and medicinal product regulatory regimes.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Approval and Post-Approval Regulation Outside the U.S.</w:t>
      </w:r>
    </w:p>
    <w:p>
      <w:pPr>
        <w:spacing w:after="0" w:line="135"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routes for marketing approval, depending on the type of product for which approval is sought. Under the centralized procedure, a company submits a single application to the EMA. The marketing authorization application is similar to the NDA or BLA in the U.S. and is evaluated by the CHMP, the expert scientific committee of the EMA responsible for human medicines. If the CHMP determines that the marketing authorization application fulfills the requirements for quality, safety and efficacy and that the medicine has a positive benefit risk balance, it will adopt a positive opinion recommending the granting of the marketing authorization by the EC. The CHMP opinion is not binding, but is typically adopted by the EC. A MAA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17"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addition to the centralized procedure, the European regulatory framework includes the following options for regulatory review and approval in the E.U. member states:</w:t>
      </w:r>
    </w:p>
    <w:p>
      <w:pPr>
        <w:spacing w:after="0" w:line="94" w:lineRule="exact"/>
        <w:rPr>
          <w:sz w:val="20"/>
          <w:szCs w:val="20"/>
          <w:color w:val="auto"/>
        </w:rPr>
      </w:pPr>
    </w:p>
    <w:p>
      <w:pPr>
        <w:ind w:left="420" w:right="200" w:hanging="331"/>
        <w:spacing w:after="0" w:line="291" w:lineRule="auto"/>
        <w:tabs>
          <w:tab w:leader="none" w:pos="3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national procedure, where the first application is made to the competent authority in one E.U. member state only;</w:t>
      </w:r>
    </w:p>
    <w:p>
      <w:pPr>
        <w:spacing w:after="0" w:line="65" w:lineRule="exact"/>
        <w:rPr>
          <w:rFonts w:ascii="Arial" w:cs="Arial" w:eastAsia="Arial" w:hAnsi="Arial"/>
          <w:sz w:val="17"/>
          <w:szCs w:val="17"/>
          <w:color w:val="auto"/>
        </w:rPr>
      </w:pPr>
    </w:p>
    <w:p>
      <w:pPr>
        <w:ind w:left="420" w:right="40" w:hanging="331"/>
        <w:spacing w:after="0" w:line="254"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decentralized procedure, where applicants submit identical applications to several E.U. member states and receive simultaneous approval, if the medicine has not yet been authorized in any E.U. member state; and</w:t>
      </w:r>
    </w:p>
    <w:p>
      <w:pPr>
        <w:spacing w:after="0" w:line="95" w:lineRule="exact"/>
        <w:rPr>
          <w:rFonts w:ascii="Arial" w:cs="Arial" w:eastAsia="Arial" w:hAnsi="Arial"/>
          <w:sz w:val="18"/>
          <w:szCs w:val="18"/>
          <w:color w:val="auto"/>
        </w:rPr>
      </w:pPr>
    </w:p>
    <w:p>
      <w:pPr>
        <w:ind w:left="420" w:right="140" w:hanging="331"/>
        <w:spacing w:after="0" w:line="254"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mutual recognition procedure, where applicants that have a medicine authorized in one E.U. member state can apply for mutual recognition of this authorization in other E.U. member states</w:t>
      </w:r>
    </w:p>
    <w:p>
      <w:pPr>
        <w:spacing w:after="0" w:line="96" w:lineRule="exact"/>
        <w:rPr>
          <w:sz w:val="20"/>
          <w:szCs w:val="20"/>
          <w:color w:val="auto"/>
        </w:rPr>
      </w:pPr>
    </w:p>
    <w:p>
      <w:pPr>
        <w:ind w:right="640" w:firstLine="405"/>
        <w:spacing w:after="0" w:line="261" w:lineRule="auto"/>
        <w:rPr>
          <w:sz w:val="20"/>
          <w:szCs w:val="20"/>
          <w:color w:val="auto"/>
        </w:rPr>
      </w:pPr>
      <w:r>
        <w:rPr>
          <w:rFonts w:ascii="Arial" w:cs="Arial" w:eastAsia="Arial" w:hAnsi="Arial"/>
          <w:sz w:val="18"/>
          <w:szCs w:val="18"/>
          <w:color w:val="auto"/>
        </w:rPr>
        <w:t>As in the U.S., the E.U. also has distinct approaches intended to optimize the regulatory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66" w:lineRule="auto"/>
        <w:rPr>
          <w:sz w:val="20"/>
          <w:szCs w:val="20"/>
          <w:color w:val="auto"/>
        </w:rPr>
      </w:pPr>
      <w:r>
        <w:rPr>
          <w:rFonts w:ascii="Arial" w:cs="Arial" w:eastAsia="Arial" w:hAnsi="Arial"/>
          <w:sz w:val="17"/>
          <w:szCs w:val="17"/>
          <w:color w:val="auto"/>
        </w:rPr>
        <w:t>pathways for therapeutically important drugs, including the Priority Medicines Evaluation Scheme (PRIME), accelerated assessment and conditional marketing authorization. PRIME is intended to provide additional support to medicine developers throughout the development process. Regulatory review timelines in the E.U. may be truncated under accelerated assessment for products that address an unmet medical need. In addition, conditional marketing authorizations may be granted for products in the interest of public health, where the benefit of immediate availability outweighs the risk of having less comprehensive data than normally required. Conditional marketing authorizations are valid for one year and can be renewed annually. The marketing authorization holder is required to complete specific obligations (ongoing or new studies and, in some cases, additional activities) with a view to providing comprehensive data confirming that the benefit risk balance is positive. Once comprehensive data on the product have been obtained, the marketing authorization may be converted into a standard marketing authorization.</w:t>
      </w:r>
    </w:p>
    <w:p>
      <w:pPr>
        <w:spacing w:after="0" w:line="96" w:lineRule="exact"/>
        <w:rPr>
          <w:sz w:val="20"/>
          <w:szCs w:val="20"/>
          <w:color w:val="auto"/>
        </w:rPr>
      </w:pPr>
    </w:p>
    <w:p>
      <w:pPr>
        <w:ind w:left="380" w:right="20" w:firstLine="405"/>
        <w:spacing w:after="0" w:line="253" w:lineRule="auto"/>
        <w:rPr>
          <w:sz w:val="20"/>
          <w:szCs w:val="20"/>
          <w:color w:val="auto"/>
        </w:rPr>
      </w:pPr>
      <w:r>
        <w:rPr>
          <w:rFonts w:ascii="Arial" w:cs="Arial" w:eastAsia="Arial" w:hAnsi="Arial"/>
          <w:sz w:val="18"/>
          <w:szCs w:val="18"/>
          <w:color w:val="auto"/>
        </w:rPr>
        <w:t>Aside from the U.S. and the E.U., there are countries in other regions where it is possible to receive an "accelerated" review whereby the national regulatory authority will commit to truncated review timelines for products that meet specific medical needs.</w:t>
      </w:r>
    </w:p>
    <w:p>
      <w:pPr>
        <w:spacing w:after="0" w:line="97" w:lineRule="exact"/>
        <w:rPr>
          <w:sz w:val="20"/>
          <w:szCs w:val="20"/>
          <w:color w:val="auto"/>
        </w:rPr>
      </w:pPr>
    </w:p>
    <w:p>
      <w:pPr>
        <w:ind w:left="380" w:right="180" w:firstLine="405"/>
        <w:spacing w:after="0" w:line="253" w:lineRule="auto"/>
        <w:rPr>
          <w:sz w:val="20"/>
          <w:szCs w:val="20"/>
          <w:color w:val="auto"/>
        </w:rPr>
      </w:pPr>
      <w:r>
        <w:rPr>
          <w:rFonts w:ascii="Arial" w:cs="Arial" w:eastAsia="Arial" w:hAnsi="Arial"/>
          <w:sz w:val="18"/>
          <w:szCs w:val="18"/>
          <w:color w:val="auto"/>
        </w:rPr>
        <w:t>In the E.U. there is detailed legislation on pharmacovigilance and extensive guidance on good pharmacovigilance practices. A failure to comply with the E.U. pharmacovigilance obligations may result in significant financial penalties for the marketing authorization holder.</w:t>
      </w:r>
    </w:p>
    <w:p>
      <w:pPr>
        <w:spacing w:after="0" w:line="97" w:lineRule="exact"/>
        <w:rPr>
          <w:sz w:val="20"/>
          <w:szCs w:val="20"/>
          <w:color w:val="auto"/>
        </w:rPr>
      </w:pPr>
    </w:p>
    <w:p>
      <w:pPr>
        <w:ind w:left="380" w:right="300" w:firstLine="405"/>
        <w:spacing w:after="0" w:line="251" w:lineRule="auto"/>
        <w:rPr>
          <w:sz w:val="20"/>
          <w:szCs w:val="20"/>
          <w:color w:val="auto"/>
        </w:rPr>
      </w:pPr>
      <w:r>
        <w:rPr>
          <w:rFonts w:ascii="Arial" w:cs="Arial" w:eastAsia="Arial" w:hAnsi="Arial"/>
          <w:sz w:val="18"/>
          <w:szCs w:val="18"/>
          <w:color w:val="auto"/>
        </w:rPr>
        <w:t>Regardless of the approval process employed, various parties share responsibilities for the monitoring, detection and evaluation of adverse events post-approval, including national competent authorities, the EMA, the EC and the marketing authorization holder. The EMA’s Pharmacovigilance Risk Assessment Committee is responsible for assessing and monitoring the safety of human medicines and makes recommendations on product safety issues. Marketing authorization holders have an obligation to inform regulatory agencies of any new information which may influence the evaluation of benefits and risks of the medicinal product concerned.</w:t>
      </w:r>
    </w:p>
    <w:p>
      <w:pPr>
        <w:spacing w:after="0" w:line="102" w:lineRule="exact"/>
        <w:rPr>
          <w:sz w:val="20"/>
          <w:szCs w:val="20"/>
          <w:color w:val="auto"/>
        </w:rPr>
      </w:pPr>
    </w:p>
    <w:p>
      <w:pPr>
        <w:ind w:left="380" w:right="280" w:firstLine="405"/>
        <w:spacing w:after="0" w:line="254" w:lineRule="auto"/>
        <w:rPr>
          <w:sz w:val="20"/>
          <w:szCs w:val="20"/>
          <w:color w:val="auto"/>
        </w:rPr>
      </w:pPr>
      <w:r>
        <w:rPr>
          <w:rFonts w:ascii="Arial" w:cs="Arial" w:eastAsia="Arial" w:hAnsi="Arial"/>
          <w:sz w:val="18"/>
          <w:szCs w:val="18"/>
          <w:color w:val="auto"/>
        </w:rPr>
        <w:t>In the U.S., the E.U. and other jurisdictions, regulatory agencies, including the FDA, conduct periodic inspections of NDA, BLA and marketing authorization holders to assess their compliance with pharmacovigilance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Good Manufacturing Practices</w:t>
      </w:r>
    </w:p>
    <w:p>
      <w:pPr>
        <w:spacing w:after="0" w:line="13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approval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Good Clinical Practices</w:t>
      </w:r>
    </w:p>
    <w:p>
      <w:pPr>
        <w:spacing w:after="0" w:line="13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guidelines,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third-parties, including CROs, to carry out many of our clinical trial-related activities. Failure of such third-parties to comply with cGCP can likewise result in rejection of our clinical trial data or other sanctions.</w:t>
      </w:r>
    </w:p>
    <w:p>
      <w:pPr>
        <w:spacing w:after="0" w:line="10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April 2014 the EC adopted a new Clinical Trial Regulation, which was entered into force in June 2014 but will not apply until January 2022. There are transitional provisions for clinical trials which are ongoing at the date of application. Clinical trial applications may also continue to be made under the Clinical Trial Directive (the existing regulatory framework) until January 2023. All clinical trials must fully comply with the Clinical Trial Regulation by January 2025. The regulation harmonizes the procedures for assessment and governance of clinical trials throughout the E.U. and will require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information on the authorization, conduct and results of each clinical trial conducted in the E.U. be publicly available.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Approval of Biosimilars</w:t>
      </w:r>
    </w:p>
    <w:p>
      <w:pPr>
        <w:spacing w:after="0" w:line="13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The Patient Protection and Affordable Care Act (PPACA) amended the Public Health Service Act (PHSA)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There have been,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99"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Orphan Drug Act</w:t>
      </w:r>
    </w:p>
    <w:p>
      <w:pPr>
        <w:spacing w:after="0" w:line="13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an initial FDA approval for the indication for which it has such designation, the product is entitled to orphan exclusivity, i.e., the FDA may not approve any other applications to market the same drug for the same indication for a period of seven years</w:t>
      </w:r>
    </w:p>
    <w:p>
      <w:pPr>
        <w:spacing w:after="0" w:line="578" w:lineRule="exact"/>
        <w:rPr>
          <w:sz w:val="20"/>
          <w:szCs w:val="20"/>
          <w:color w:val="auto"/>
        </w:rPr>
      </w:pPr>
    </w:p>
    <w:p>
      <w:pPr>
        <w:sectPr>
          <w:pgSz w:w="11900" w:h="16838" w:orient="portrait"/>
          <w:cols w:equalWidth="0" w:num="2">
            <w:col w:w="5220" w:space="680"/>
            <w:col w:w="5220"/>
          </w:cols>
          <w:pgMar w:left="320" w:top="144" w:right="459" w:bottom="1440" w:gutter="0" w:footer="0" w:header="0"/>
          <w:type w:val="continuous"/>
        </w:sectPr>
      </w:pP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and maintain an orphan designation are entitled to 10 years of market exclusivity following approval, protocol assistance and access to the centralized procedure for marketing authorization. SPINRAZA has been granted orphan drug designation in the U.S., the E.U. and Japan.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Regulation Pertaining to Pricing and Reimbursement</w:t>
      </w:r>
    </w:p>
    <w:p>
      <w:pPr>
        <w:spacing w:after="0" w:line="13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both domestic and foreign markets, sales of our products depend, to a significant extent,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Within the U.S.</w:t>
      </w:r>
    </w:p>
    <w:p>
      <w:pPr>
        <w:spacing w:after="0" w:line="117" w:lineRule="exact"/>
        <w:rPr>
          <w:sz w:val="20"/>
          <w:szCs w:val="20"/>
          <w:color w:val="auto"/>
        </w:rPr>
      </w:pPr>
    </w:p>
    <w:p>
      <w:pPr>
        <w:ind w:left="420" w:hanging="331"/>
        <w:spacing w:after="0" w:line="253"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Medicaid</w:t>
      </w:r>
      <w:r>
        <w:rPr>
          <w:rFonts w:ascii="Arial" w:cs="Arial" w:eastAsia="Arial" w:hAnsi="Arial"/>
          <w:sz w:val="18"/>
          <w:szCs w:val="18"/>
          <w:color w:val="auto"/>
        </w:rPr>
        <w:t>: Medicaid is a joint federal and state program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administered by the states for low income and disabled beneficiaries. Under the Medicaid Drug Rebate Program, we are required to pay a rebate for each unit of product reimbursed by the state Medicaid programs. The amount of the rebate is established by law and is adjusted upward if the average manufacturer price (AMP) increases more than inflation (measured by the Consumer Price Index - Urban). The rebate amount is calculated each quarter based on our report of current AMP and best price for each of our products to the Centers for Medicare &amp; Medicaid Services (CMS). The requirements for calculating AMP and best price are complex. We are required to report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0" w:right="140"/>
        <w:spacing w:after="0" w:line="252" w:lineRule="auto"/>
        <w:rPr>
          <w:sz w:val="20"/>
          <w:szCs w:val="20"/>
          <w:color w:val="auto"/>
        </w:rPr>
      </w:pPr>
      <w:r>
        <w:rPr>
          <w:rFonts w:ascii="Arial" w:cs="Arial" w:eastAsia="Arial" w:hAnsi="Arial"/>
          <w:sz w:val="18"/>
          <w:szCs w:val="18"/>
          <w:color w:val="auto"/>
        </w:rPr>
        <w:t>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81" w:lineRule="exact"/>
        <w:rPr>
          <w:sz w:val="20"/>
          <w:szCs w:val="20"/>
          <w:color w:val="auto"/>
        </w:rPr>
      </w:pPr>
    </w:p>
    <w:p>
      <w:pPr>
        <w:ind w:left="800" w:right="20" w:hanging="334"/>
        <w:spacing w:after="0" w:line="272" w:lineRule="auto"/>
        <w:tabs>
          <w:tab w:leader="none" w:pos="741"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Medicare is a federal program that is administered</w:t>
      </w:r>
      <w:r>
        <w:rPr>
          <w:rFonts w:ascii="Arial" w:cs="Arial" w:eastAsia="Arial" w:hAnsi="Arial"/>
          <w:sz w:val="17"/>
          <w:szCs w:val="17"/>
          <w:i w:val="1"/>
          <w:iCs w:val="1"/>
          <w:color w:val="auto"/>
        </w:rPr>
        <w:t xml:space="preserve"> </w:t>
      </w:r>
      <w:r>
        <w:rPr>
          <w:rFonts w:ascii="Arial" w:cs="Arial" w:eastAsia="Arial" w:hAnsi="Arial"/>
          <w:sz w:val="17"/>
          <w:szCs w:val="17"/>
          <w:color w:val="auto"/>
        </w:rPr>
        <w:t>by the federal government. The program covers individuals age 65 and over as well as those with certain disabilities.</w:t>
      </w:r>
    </w:p>
    <w:p>
      <w:pPr>
        <w:spacing w:after="0" w:line="1" w:lineRule="exact"/>
        <w:rPr>
          <w:rFonts w:ascii="Arial" w:cs="Arial" w:eastAsia="Arial" w:hAnsi="Arial"/>
          <w:sz w:val="17"/>
          <w:szCs w:val="17"/>
          <w:i w:val="1"/>
          <w:iCs w:val="1"/>
          <w:color w:val="auto"/>
        </w:rPr>
      </w:pPr>
    </w:p>
    <w:p>
      <w:pPr>
        <w:ind w:left="800"/>
        <w:spacing w:after="0" w:line="251" w:lineRule="auto"/>
        <w:rPr>
          <w:rFonts w:ascii="Arial" w:cs="Arial" w:eastAsia="Arial" w:hAnsi="Arial"/>
          <w:sz w:val="17"/>
          <w:szCs w:val="17"/>
          <w:i w:val="1"/>
          <w:iCs w:val="1"/>
          <w:color w:val="auto"/>
        </w:rPr>
      </w:pPr>
      <w:r>
        <w:rPr>
          <w:rFonts w:ascii="Arial" w:cs="Arial" w:eastAsia="Arial" w:hAnsi="Arial"/>
          <w:sz w:val="18"/>
          <w:szCs w:val="18"/>
          <w:color w:val="auto"/>
        </w:rPr>
        <w:t>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the CMS on a quarterly basis. The manufacturer-submitted information is used to calculate Medicare payment rates. If a manufacturer is found to have made a misrepresentation in the reporting of ASP, the governing statute provides for civil monetary penalties.</w:t>
      </w:r>
    </w:p>
    <w:p>
      <w:pPr>
        <w:spacing w:after="0" w:line="102" w:lineRule="exact"/>
        <w:rPr>
          <w:sz w:val="20"/>
          <w:szCs w:val="20"/>
          <w:color w:val="auto"/>
        </w:rPr>
      </w:pPr>
    </w:p>
    <w:p>
      <w:pPr>
        <w:ind w:left="800" w:right="20"/>
        <w:spacing w:after="0" w:line="251"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 discounts. In addition, manufacturers, including us, are required to provide to the CMS a discount of up to 70.0% on brand name prescription drugs utilized by Medicare Part D beneficiaries when those beneficiaries reach the coverage gap in their drug benefits.</w:t>
      </w:r>
    </w:p>
    <w:p>
      <w:pPr>
        <w:spacing w:after="0" w:line="101" w:lineRule="exact"/>
        <w:rPr>
          <w:sz w:val="20"/>
          <w:szCs w:val="20"/>
          <w:color w:val="auto"/>
        </w:rPr>
      </w:pPr>
    </w:p>
    <w:p>
      <w:pPr>
        <w:ind w:left="800" w:right="160"/>
        <w:spacing w:after="0" w:line="254" w:lineRule="auto"/>
        <w:rPr>
          <w:sz w:val="20"/>
          <w:szCs w:val="20"/>
          <w:color w:val="auto"/>
        </w:rPr>
      </w:pPr>
      <w:r>
        <w:rPr>
          <w:rFonts w:ascii="Arial" w:cs="Arial" w:eastAsia="Arial" w:hAnsi="Arial"/>
          <w:sz w:val="18"/>
          <w:szCs w:val="18"/>
          <w:color w:val="auto"/>
        </w:rPr>
        <w:t>Legislation is pending in Congress that includes significant modifications to Medicare Part B and Medicare Part D. Specifically, the Build Back Better Act includes provisions that would, among other things:</w:t>
      </w:r>
    </w:p>
    <w:p>
      <w:pPr>
        <w:spacing w:after="0" w:line="96" w:lineRule="exact"/>
        <w:rPr>
          <w:sz w:val="20"/>
          <w:szCs w:val="20"/>
          <w:color w:val="auto"/>
        </w:rPr>
      </w:pPr>
    </w:p>
    <w:p>
      <w:pPr>
        <w:jc w:val="both"/>
        <w:ind w:left="1040" w:right="260" w:hanging="7"/>
        <w:spacing w:after="0" w:line="256" w:lineRule="auto"/>
        <w:tabs>
          <w:tab w:leader="none" w:pos="12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CMS to directly negotiate the prices of certain drugs paid for by Medicare and impose a significantly discounted maximum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80" w:hanging="4"/>
        <w:spacing w:after="0" w:line="291" w:lineRule="auto"/>
        <w:tabs>
          <w:tab w:leader="none" w:pos="8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impose inflation penalties (in the form of rebates) for price increases that exceed the rate of inflation; and</w:t>
      </w:r>
    </w:p>
    <w:p>
      <w:pPr>
        <w:spacing w:after="0" w:line="65" w:lineRule="exact"/>
        <w:rPr>
          <w:rFonts w:ascii="Arial" w:cs="Arial" w:eastAsia="Arial" w:hAnsi="Arial"/>
          <w:sz w:val="17"/>
          <w:szCs w:val="17"/>
          <w:color w:val="auto"/>
        </w:rPr>
      </w:pPr>
    </w:p>
    <w:p>
      <w:pPr>
        <w:ind w:left="660" w:right="280" w:hanging="4"/>
        <w:spacing w:after="0" w:line="261" w:lineRule="auto"/>
        <w:tabs>
          <w:tab w:leader="none" w:pos="8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re-design the Medicare Part D benefit in a way that increases the financial liability of manufacturers.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enacted, this legislation could harm our business.</w:t>
      </w:r>
    </w:p>
    <w:p>
      <w:pPr>
        <w:spacing w:after="0" w:line="99" w:lineRule="exact"/>
        <w:rPr>
          <w:sz w:val="20"/>
          <w:szCs w:val="20"/>
          <w:color w:val="auto"/>
        </w:rPr>
      </w:pPr>
    </w:p>
    <w:p>
      <w:pPr>
        <w:ind w:left="420" w:hanging="331"/>
        <w:spacing w:after="0" w:line="251" w:lineRule="auto"/>
        <w:tabs>
          <w:tab w:leader="none" w:pos="361"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Federal Agency Discounted Pricing</w:t>
      </w:r>
      <w:r>
        <w:rPr>
          <w:rFonts w:ascii="Arial" w:cs="Arial" w:eastAsia="Arial" w:hAnsi="Arial"/>
          <w:sz w:val="18"/>
          <w:szCs w:val="18"/>
          <w:color w:val="auto"/>
        </w:rPr>
        <w:t>: Our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discounted pricing when 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97" w:lineRule="exact"/>
        <w:rPr>
          <w:rFonts w:ascii="Arial" w:cs="Arial" w:eastAsia="Arial" w:hAnsi="Arial"/>
          <w:sz w:val="18"/>
          <w:szCs w:val="18"/>
          <w:i w:val="1"/>
          <w:iCs w:val="1"/>
          <w:color w:val="auto"/>
        </w:rPr>
      </w:pPr>
    </w:p>
    <w:p>
      <w:pPr>
        <w:ind w:left="420" w:right="40" w:hanging="331"/>
        <w:spacing w:after="0" w:line="252" w:lineRule="auto"/>
        <w:tabs>
          <w:tab w:leader="none" w:pos="361"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340B Discounted Pricing</w:t>
      </w:r>
      <w:r>
        <w:rPr>
          <w:rFonts w:ascii="Arial" w:cs="Arial" w:eastAsia="Arial" w:hAnsi="Arial"/>
          <w:sz w:val="18"/>
          <w:szCs w:val="18"/>
          <w:color w:val="auto"/>
        </w:rPr>
        <w:t>: To maintain coverage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PHSA.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Outside the U.S.</w:t>
      </w:r>
    </w:p>
    <w:p>
      <w:pPr>
        <w:spacing w:after="0" w:line="135" w:lineRule="exact"/>
        <w:rPr>
          <w:sz w:val="20"/>
          <w:szCs w:val="20"/>
          <w:color w:val="auto"/>
        </w:rPr>
      </w:pPr>
    </w:p>
    <w:p>
      <w:pPr>
        <w:ind w:left="380" w:right="100" w:firstLine="445"/>
        <w:spacing w:after="0" w:line="251" w:lineRule="auto"/>
        <w:rPr>
          <w:sz w:val="20"/>
          <w:szCs w:val="20"/>
          <w:color w:val="auto"/>
        </w:rPr>
      </w:pPr>
      <w:r>
        <w:rPr>
          <w:rFonts w:ascii="Arial" w:cs="Arial" w:eastAsia="Arial" w:hAnsi="Arial"/>
          <w:sz w:val="18"/>
          <w:szCs w:val="18"/>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countries are continuing to cause governments to consider or implement various cost-containment measures, such as price freezes, increased price cuts and rebates and expanded generic substitution and patient cost-sharing.</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Regulation Pertaining to Sales and Marketing</w:t>
      </w:r>
    </w:p>
    <w:p>
      <w:pPr>
        <w:spacing w:after="0" w:line="139" w:lineRule="exact"/>
        <w:rPr>
          <w:sz w:val="20"/>
          <w:szCs w:val="20"/>
          <w:color w:val="auto"/>
        </w:rPr>
      </w:pPr>
    </w:p>
    <w:p>
      <w:pPr>
        <w:ind w:left="380" w:firstLine="445"/>
        <w:spacing w:after="0" w:line="250" w:lineRule="auto"/>
        <w:rPr>
          <w:sz w:val="20"/>
          <w:szCs w:val="20"/>
          <w:color w:val="auto"/>
        </w:rPr>
      </w:pPr>
      <w:r>
        <w:rPr>
          <w:rFonts w:ascii="Arial" w:cs="Arial" w:eastAsia="Arial" w:hAnsi="Arial"/>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119" w:lineRule="exact"/>
        <w:rPr>
          <w:sz w:val="20"/>
          <w:szCs w:val="20"/>
          <w:color w:val="auto"/>
        </w:rPr>
      </w:pPr>
    </w:p>
    <w:p>
      <w:pPr>
        <w:ind w:left="380" w:right="340" w:firstLine="445"/>
        <w:spacing w:after="0" w:line="256" w:lineRule="auto"/>
        <w:rPr>
          <w:sz w:val="20"/>
          <w:szCs w:val="20"/>
          <w:color w:val="auto"/>
        </w:rPr>
      </w:pPr>
      <w:r>
        <w:rPr>
          <w:rFonts w:ascii="Arial" w:cs="Arial" w:eastAsia="Arial" w:hAnsi="Arial"/>
          <w:sz w:val="18"/>
          <w:szCs w:val="18"/>
          <w:color w:val="auto"/>
        </w:rPr>
        <w:t>Laws and regulations have been enacted by the federal government and various states to regulate the sales and marketing practices of pharmaceutical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Foreign Anti-Corruption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various federal and foreign laws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 our international business practices with respect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government officials. Those laws include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Foreign Corrupt Practices Act (FCPA), which prohibits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companies and their representatives from paying, offering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 promising to pay or authorizing the payment of anything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to any foreign government official, government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 political party or political candidate for the purpose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obtaining or retaining business or to otherwise obtain favorable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treatment or influence a person working in an official capacity.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many countries, the health care professionals we regularly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 with may meet the FCPA's definition of a foreign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 official. The FCPA also requires public companies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make and keep books and records that accurately and fairly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reflect their transactions and to devise and maintain an adequate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system of internal accounting controls.</w:t>
      </w:r>
    </w:p>
    <w:p>
      <w:pPr>
        <w:spacing w:after="0" w:line="11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 companies and criminal sanctions for corporate officers under certain circumstances.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NIH Guidelines</w:t>
      </w:r>
    </w:p>
    <w:p>
      <w:pPr>
        <w:spacing w:after="0" w:line="135" w:lineRule="exact"/>
        <w:rPr>
          <w:sz w:val="20"/>
          <w:szCs w:val="20"/>
          <w:color w:val="auto"/>
        </w:rPr>
      </w:pPr>
    </w:p>
    <w:p>
      <w:pPr>
        <w:ind w:left="380" w:right="120" w:firstLine="445"/>
        <w:spacing w:after="0" w:line="252" w:lineRule="auto"/>
        <w:rPr>
          <w:sz w:val="20"/>
          <w:szCs w:val="20"/>
          <w:color w:val="auto"/>
        </w:rPr>
      </w:pPr>
      <w:r>
        <w:rPr>
          <w:rFonts w:ascii="Arial" w:cs="Arial" w:eastAsia="Arial" w:hAnsi="Arial"/>
          <w:sz w:val="18"/>
          <w:szCs w:val="18"/>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RTP, NC and are required to operate pursuant to certain permits.</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Other Laws</w:t>
      </w:r>
    </w:p>
    <w:p>
      <w:pPr>
        <w:spacing w:after="0" w:line="135"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101"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The European Parliament and the Council of the E.U. adopted a comprehensive general data privacy regulation (GDPR) in 2016 to replace the current E.U. Data Protection Directive and related country-specific legislation. The GDPR took effect in May 2018 and governs the collection and use of personal data in the E.U.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U.S., provides an enforcement authority and imposes large penalties for noncompliance, including the potential for fines of up to €20.0 million or 4.0% of the annual global revenue of the infringer, whichever is greater.</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Manufacturing</w:t>
      </w:r>
    </w:p>
    <w:p>
      <w:pPr>
        <w:spacing w:after="0" w:line="130" w:lineRule="exact"/>
        <w:rPr>
          <w:sz w:val="20"/>
          <w:szCs w:val="20"/>
          <w:color w:val="auto"/>
        </w:rPr>
      </w:pPr>
    </w:p>
    <w:p>
      <w:pPr>
        <w:ind w:left="380" w:right="60" w:firstLine="405"/>
        <w:spacing w:after="0" w:line="253"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We believe that our manufacturing facilities, together with the third-party contract manufacturing organizations we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outsource to, currently provide sufficient capacity for our products and to Samsung Bioepis, our joint venture that develops, manufactures and markets biosimilar products, and other strategic contract manufacturing partners.</w:t>
      </w:r>
    </w:p>
    <w:p>
      <w:pPr>
        <w:spacing w:after="0" w:line="9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In the second quarter of 2021 a portion of the facility received a GMP multi-product license from SWISSMEDIC.</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March 2021 we announced our plans to build a new gene therapy manufacturing facility in RTP, North Carolina to support our gene therapy pipeline across multiple therapeutic areas. The new facility will be approximately 175,000 square feet and is expected to be operational by the end of 2023. Construction for this new facility began during the fourth quarter of 2021.</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Facilities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drug substance manufacturing facility includes: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Drug Substance Manufactured</w:t>
            </w:r>
          </w:p>
        </w:tc>
      </w:tr>
      <w:tr>
        <w:trPr>
          <w:trHeight w:val="222"/>
        </w:trPr>
        <w:tc>
          <w:tcPr>
            <w:tcW w:w="2660" w:type="dxa"/>
            <w:vAlign w:val="bottom"/>
            <w:gridSpan w:val="2"/>
          </w:tcPr>
          <w:p>
            <w:pPr>
              <w:ind w:left="20"/>
              <w:spacing w:after="0"/>
              <w:rPr>
                <w:sz w:val="20"/>
                <w:szCs w:val="20"/>
                <w:color w:val="auto"/>
              </w:rPr>
            </w:pPr>
            <w:r>
              <w:rPr>
                <w:rFonts w:ascii="Arial" w:cs="Arial" w:eastAsia="Arial" w:hAnsi="Arial"/>
                <w:sz w:val="18"/>
                <w:szCs w:val="18"/>
                <w:color w:val="2573BA"/>
              </w:rPr>
              <w:t>RTP, NC</w:t>
            </w:r>
          </w:p>
        </w:tc>
        <w:tc>
          <w:tcPr>
            <w:tcW w:w="2540" w:type="dxa"/>
            <w:vAlign w:val="bottom"/>
          </w:tcPr>
          <w:p>
            <w:pPr>
              <w:jc w:val="center"/>
              <w:spacing w:after="0"/>
              <w:rPr>
                <w:sz w:val="20"/>
                <w:szCs w:val="20"/>
                <w:color w:val="auto"/>
              </w:rPr>
            </w:pPr>
            <w:r>
              <w:rPr>
                <w:rFonts w:ascii="Arial" w:cs="Arial" w:eastAsia="Arial" w:hAnsi="Arial"/>
                <w:sz w:val="18"/>
                <w:szCs w:val="18"/>
                <w:color w:val="2573BA"/>
                <w:w w:val="98"/>
              </w:rPr>
              <w:t>AVONEX</w:t>
            </w:r>
          </w:p>
        </w:tc>
      </w:tr>
      <w:tr>
        <w:trPr>
          <w:trHeight w:val="176"/>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2573BA"/>
                <w:w w:val="98"/>
              </w:rPr>
              <w:t>PLEGRIDY</w:t>
            </w: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Pr>
          <w:p>
            <w:pPr>
              <w:jc w:val="center"/>
              <w:spacing w:after="0" w:line="176" w:lineRule="exact"/>
              <w:rPr>
                <w:sz w:val="20"/>
                <w:szCs w:val="20"/>
                <w:color w:val="auto"/>
              </w:rPr>
            </w:pPr>
            <w:r>
              <w:rPr>
                <w:rFonts w:ascii="Arial" w:cs="Arial" w:eastAsia="Arial" w:hAnsi="Arial"/>
                <w:sz w:val="18"/>
                <w:szCs w:val="18"/>
                <w:color w:val="2573BA"/>
              </w:rPr>
              <w:t>TYSABRI</w:t>
            </w:r>
          </w:p>
        </w:tc>
      </w:tr>
      <w:tr>
        <w:trPr>
          <w:trHeight w:val="217"/>
        </w:trPr>
        <w:tc>
          <w:tcPr>
            <w:tcW w:w="2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2573BA"/>
                <w:w w:val="99"/>
              </w:rPr>
              <w:t>Other*</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0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addition to our drug substance manufacturing facility, we have a drug product manufacturing facility and supporting infrastructure in RTP, NC, including a parenteral facility and an oral solid dose products manufacturing facility.</w:t>
      </w:r>
    </w:p>
    <w:p>
      <w:pPr>
        <w:spacing w:after="0" w:line="9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parenteral facility adds capabilities and capacity for filling biologics into vials and is used for filling product candidates. The oral solid dose products facility can supplement our outsourced small molecule manufacturing capabilities, including the manufacture of TECFIDERA.</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also have an oligonucleotide synthesis manufacturing facility in RTP, North Carolina. This facility gives us the capability to manufacture ASO drugs like SPINRAZA as well as our other ASO candidates currently in our clinical pipeline.</w:t>
      </w:r>
    </w:p>
    <w:p>
      <w:pPr>
        <w:spacing w:after="0" w:line="96"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In the second quarter of 2021 a portion of the facility received a GMP multi-product license from SWISSMEDIC.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Genentech is responsible for all worldwide manufacturing activities for bulk RITUXAN, RITUXAN HYCELA and GAZYVA and has sourced the manufacture of certain bulk RITUXAN, RITUXAN HYCELA and GAZYVA requirements to a third party. Acorda supplies FAMPYRA to us pursuant to its supply agreement with Alkermes, Inc. and Ionis supplies the active pharmaceutical ingredient (API) for SPINRAZA. Alkermes currently supplies VUMERITY to us pursuant to a supply agreement. In October 2019 we entered into a new supply agreement and amended our license and collaboration agreement with Alkermes. We have elected to initiate a technology transfer and, following a transition period, to manufacture VUMERITY or have VUMERITY manufactured by a third-party we have engaged in exchange for paying an increased royalty rate to Alkermes on any portion of future worldwide net commercial sales of VUMERITY that is manufactured by us or our designee.</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Third-Party Suppliers and Manufacturers</w:t>
      </w:r>
    </w:p>
    <w:p>
      <w:pPr>
        <w:spacing w:after="0" w:line="139" w:lineRule="exact"/>
        <w:rPr>
          <w:sz w:val="20"/>
          <w:szCs w:val="20"/>
          <w:color w:val="auto"/>
        </w:rPr>
      </w:pPr>
    </w:p>
    <w:p>
      <w:pPr>
        <w:ind w:left="380" w:right="20" w:firstLine="405"/>
        <w:spacing w:after="0" w:line="253" w:lineRule="auto"/>
        <w:rPr>
          <w:sz w:val="20"/>
          <w:szCs w:val="20"/>
          <w:color w:val="auto"/>
        </w:rPr>
      </w:pPr>
      <w:r>
        <w:rPr>
          <w:rFonts w:ascii="Arial" w:cs="Arial" w:eastAsia="Arial" w:hAnsi="Arial"/>
          <w:sz w:val="18"/>
          <w:szCs w:val="18"/>
          <w:color w:val="auto"/>
        </w:rPr>
        <w:t>We principally use third-parties to manufacture the API and the final product for our small molecule products and product candidates, including TECFIDERA and FUMADERM, and the final drug product for our large molecule products and, to a lesser extent, product candidates.</w:t>
      </w:r>
    </w:p>
    <w:p>
      <w:pPr>
        <w:spacing w:after="0" w:line="97"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We source the majority of our fill-finish and all of our final product assembly and storage operations for our products, along with a substantial part of our label and packaging operations, to a concentrated group of third-party contract manufacturing organizations.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through inventory management and dual sourcing as appropriate. Our third-party service providers, suppliers and manufacturers may be subject to routine cGMP inspections by the FDA or comparable agencies in other jurisdictions and undergo assessment and certification by our quality management group.</w:t>
      </w:r>
    </w:p>
    <w:p>
      <w:pPr>
        <w:spacing w:after="0" w:line="23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Environmental Matters</w:t>
      </w:r>
    </w:p>
    <w:p>
      <w:pPr>
        <w:spacing w:after="0" w:line="130"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We remain committed to reducing our environmental footprint by eliminating harmful emissions and by minimizing resources used to manufacture our products. Since 2014 we have taken responsibility for our impact on climate change by matching 100% of our electricity usage with renewable energy, credits and offsets, driving efficiency initiatives internally and working with our suppliers. Green chemistry is embraced throughout our company, continually exploring new ways to make our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drug development processes safer, more efficient and more sustainable while also saving resources.</w:t>
      </w:r>
    </w:p>
    <w:p>
      <w:pPr>
        <w:spacing w:after="0" w:line="90"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Our Executive Committee has responsibility for evaluating the impact of climate change on the business and overseeing actions taken by the company to limit its adverse impact on the environment. In 2020 we launched our Healthy Climate, Healthy Lives initiative, which is our 20-year, $250 million initiative to address climate, health and equity. We aim to eliminate fossil fuel emissions across our operations by 2040, engage employees and suppliers and collaborate with renowned institutions to advance the science and action to improve health outcomes.</w:t>
      </w:r>
    </w:p>
    <w:p>
      <w:pPr>
        <w:spacing w:after="0" w:line="87" w:lineRule="exact"/>
        <w:rPr>
          <w:sz w:val="20"/>
          <w:szCs w:val="20"/>
          <w:color w:val="auto"/>
        </w:rPr>
      </w:pPr>
    </w:p>
    <w:p>
      <w:pPr>
        <w:ind w:right="160" w:firstLine="405"/>
        <w:spacing w:after="0" w:line="278" w:lineRule="auto"/>
        <w:rPr>
          <w:sz w:val="20"/>
          <w:szCs w:val="20"/>
          <w:color w:val="auto"/>
        </w:rPr>
      </w:pPr>
      <w:r>
        <w:rPr>
          <w:rFonts w:ascii="Arial" w:cs="Arial" w:eastAsia="Arial" w:hAnsi="Arial"/>
          <w:sz w:val="17"/>
          <w:szCs w:val="17"/>
          <w:color w:val="auto"/>
        </w:rPr>
        <w:t>As part of our commitment, we have tied a portion of our employees' and executive officers' 2021 compensation to advancing our Environmental, Social and Governance strategy.</w:t>
      </w:r>
    </w:p>
    <w:p>
      <w:pPr>
        <w:spacing w:after="0" w:line="77"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Human Capital</w:t>
      </w:r>
    </w:p>
    <w:p>
      <w:pPr>
        <w:spacing w:after="0" w:line="130"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As of December 31, 2021, we had approximately 9,610 employees worldwide. Approximately 5,645 employees were employed in the U.S. and approximately 3,965 employees were employed in foreign countries.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Diversity, Equity and Inclusion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Biogen, prejudice, racism and intolerance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unacceptable. We are committed to Diversity, Equity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Inclusion (DE&amp;I) across all aspects of our organization,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hiring, promotion and development practices.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25.8% of Biogen’s director-level and above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positions were held by ethnic or racial minorities in the U.S.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practices are global, but the laws in many countries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do not permit us to collect ethnic or racial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employees. Globally, 47.8% of Biogen’s positions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director-level and above were held by women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1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2020 we introduced an updated DE&amp;I strategy that outlines actionable steps to deepen our commitment across the business, building upon a strong foundation. This plan includes a four-part strategy to build our talent and leadership pipeline, improve health outcomes for minority communities in the disease areas we treat and expand sourcing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52" w:lineRule="auto"/>
        <w:rPr>
          <w:sz w:val="20"/>
          <w:szCs w:val="20"/>
          <w:color w:val="auto"/>
        </w:rPr>
      </w:pPr>
      <w:r>
        <w:rPr>
          <w:rFonts w:ascii="Arial" w:cs="Arial" w:eastAsia="Arial" w:hAnsi="Arial"/>
          <w:sz w:val="18"/>
          <w:szCs w:val="18"/>
          <w:color w:val="auto"/>
        </w:rPr>
        <w:t>minority-owned businesses. We plan to create greater awareness and capability in our organization through leadership accountability and transparency. To establish and progress this strategy, we rely on a cross-company governing body of employees known as the Diversity, Equity &amp; Inclusion Strategic Council.</w:t>
      </w:r>
    </w:p>
    <w:p>
      <w:pPr>
        <w:spacing w:after="0" w:line="100"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We are honored to be recognized as a company of choice. For the fourth consecutive year, we scored 100.0% on the 2021 Disability Equality Index, which measures our policies and practices related to disability inclusion. Additionally, for the second consecutive year, we were awarded by Disability:IN North Carolina with the 2021 DI-NC Employer Award for our commitment to champion and invest in disability inclusion at the affiliate and national levels. For the eighth consecutive year, we were recognized as a Best Place to Work for LGBTQ Equality by the Human Rights Campaign, scoring 100.0% on their Corporate Equality Index.</w:t>
      </w:r>
    </w:p>
    <w:p>
      <w:pPr>
        <w:spacing w:after="0" w:line="103" w:lineRule="exact"/>
        <w:rPr>
          <w:sz w:val="20"/>
          <w:szCs w:val="20"/>
          <w:color w:val="auto"/>
        </w:rPr>
      </w:pPr>
    </w:p>
    <w:p>
      <w:pPr>
        <w:ind w:left="380" w:right="40" w:firstLine="405"/>
        <w:spacing w:after="0" w:line="256" w:lineRule="auto"/>
        <w:rPr>
          <w:sz w:val="20"/>
          <w:szCs w:val="20"/>
          <w:color w:val="auto"/>
        </w:rPr>
      </w:pPr>
      <w:r>
        <w:rPr>
          <w:rFonts w:ascii="Arial" w:cs="Arial" w:eastAsia="Arial" w:hAnsi="Arial"/>
          <w:sz w:val="18"/>
          <w:szCs w:val="18"/>
          <w:color w:val="auto"/>
        </w:rPr>
        <w:t>In 2021 we were also ranked in the top five of Fortune 500's Measure Up initiative, which highlights the most progressive companies on DE&amp;I efforts.</w:t>
      </w:r>
    </w:p>
    <w:p>
      <w:pPr>
        <w:spacing w:after="0" w:line="94"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In January 2021 we shared the results of a global pay equity analysis. The analysis confirmed that fairness and equity are embedded in our compensation practices around the globe with respect to gender and additionally in the U.S. with respect to race. In 2021 we also committed to strengthen the DE&amp;I awareness and capability of our employees. We ended 2021 with close to 90.0% of people managers trained on inclusive recruiting and hiring, and a majority of global employees trained on DE&amp;I curriculum.</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Philosophy on Pay Equity</w:t>
      </w:r>
    </w:p>
    <w:p>
      <w:pPr>
        <w:spacing w:after="0" w:line="139"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We are committed to ensuring our employees receive equal pay for equal work.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business unit and company performance. In addition, we are committed to providing flexible benefits designed to allow our diverse global workforce to have reward opportunities that meet their varied needs so that they are inspired to perform their best on behalf of patients and stockholders each day.</w:t>
      </w:r>
    </w:p>
    <w:p>
      <w:pPr>
        <w:spacing w:after="0" w:line="102" w:lineRule="exact"/>
        <w:rPr>
          <w:sz w:val="20"/>
          <w:szCs w:val="20"/>
          <w:color w:val="auto"/>
        </w:rPr>
      </w:pPr>
    </w:p>
    <w:p>
      <w:pPr>
        <w:ind w:left="380" w:right="340" w:firstLine="405"/>
        <w:spacing w:after="0" w:line="253" w:lineRule="auto"/>
        <w:rPr>
          <w:sz w:val="20"/>
          <w:szCs w:val="20"/>
          <w:color w:val="auto"/>
        </w:rPr>
      </w:pPr>
      <w:r>
        <w:rPr>
          <w:rFonts w:ascii="Arial" w:cs="Arial" w:eastAsia="Arial" w:hAnsi="Arial"/>
          <w:sz w:val="18"/>
          <w:szCs w:val="18"/>
          <w:color w:val="auto"/>
        </w:rPr>
        <w:t>We regularly review our compensation practices and analyze the equity of compensation decisions, for individual employees and our workforce as a whole. If we identify employees with pay gaps, we review and take action to attain fidelity between our stated philosophy and actions.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We institute measures, such as communications and trainings, to recognize, interrupt and prevent bias in hiring, performance management and compensation decisions and we provide resources to further develop managers and leaders to help them make equitable decisions about pay.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Talent and Development</w:t>
      </w:r>
    </w:p>
    <w:p>
      <w:pPr>
        <w:spacing w:after="0" w:line="13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Our employees are encouraged to take advantage of an array of professional development resources. Managers coach employees for performance, and also engage in employee development discussions to support growth and learning.</w:t>
      </w:r>
    </w:p>
    <w:p>
      <w:pPr>
        <w:spacing w:after="0" w:line="83"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We provide our employees access to over 17,000 on-demand learning modules in English, French, German, Spanish, Japanese, Portuguese and Mandarin. Additionally, we have a wide selection of courses and trainings that are offered through Biogen University, our global validated learning management system.</w:t>
      </w:r>
    </w:p>
    <w:p>
      <w:pPr>
        <w:spacing w:after="0" w:line="10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To create and sustain a workplace as diverse and inclusive as the patients we serve, we offer programs that invest in our talent pipeline and in our current leaders, including:</w:t>
      </w:r>
    </w:p>
    <w:p>
      <w:pPr>
        <w:spacing w:after="0" w:line="94" w:lineRule="exact"/>
        <w:rPr>
          <w:sz w:val="20"/>
          <w:szCs w:val="20"/>
          <w:color w:val="auto"/>
        </w:rPr>
      </w:pPr>
    </w:p>
    <w:p>
      <w:pPr>
        <w:ind w:left="660" w:right="100" w:hanging="247"/>
        <w:spacing w:after="0" w:line="261"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Activate, Reflect and Co-Create: Preparing top talent for the rigors of executive roles.</w:t>
      </w:r>
    </w:p>
    <w:p>
      <w:pPr>
        <w:spacing w:after="0" w:line="89" w:lineRule="exact"/>
        <w:rPr>
          <w:rFonts w:ascii="Arial" w:cs="Arial" w:eastAsia="Arial" w:hAnsi="Arial"/>
          <w:sz w:val="18"/>
          <w:szCs w:val="18"/>
          <w:color w:val="auto"/>
        </w:rPr>
      </w:pPr>
    </w:p>
    <w:p>
      <w:pPr>
        <w:ind w:left="660" w:hanging="247"/>
        <w:spacing w:after="0" w:line="256"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Women’s Leadership Program: Addressing the unique challenges faced by female leaders to increase influence and impact.</w:t>
      </w:r>
    </w:p>
    <w:p>
      <w:pPr>
        <w:spacing w:after="0" w:line="93" w:lineRule="exact"/>
        <w:rPr>
          <w:rFonts w:ascii="Arial" w:cs="Arial" w:eastAsia="Arial" w:hAnsi="Arial"/>
          <w:sz w:val="18"/>
          <w:szCs w:val="18"/>
          <w:color w:val="auto"/>
        </w:rPr>
      </w:pPr>
    </w:p>
    <w:p>
      <w:pPr>
        <w:ind w:left="660" w:right="320" w:hanging="247"/>
        <w:spacing w:after="0" w:line="256"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Leadership Retreat: Immersing leaders in topics designed to help them shape culture and build resilience.</w:t>
      </w:r>
    </w:p>
    <w:p>
      <w:pPr>
        <w:spacing w:after="0" w:line="93" w:lineRule="exact"/>
        <w:rPr>
          <w:rFonts w:ascii="Arial" w:cs="Arial" w:eastAsia="Arial" w:hAnsi="Arial"/>
          <w:sz w:val="18"/>
          <w:szCs w:val="18"/>
          <w:color w:val="auto"/>
        </w:rPr>
      </w:pPr>
    </w:p>
    <w:p>
      <w:pPr>
        <w:ind w:left="660" w:right="100" w:hanging="247"/>
        <w:spacing w:after="0" w:line="253"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Partnership, Inc's BioDiversity Fellows Program: To continue to bolster our talent pipeline with a diverse mix of leaders, high potential, mid-career, underrepresented minorities participate in this program, which we helped create.</w:t>
      </w:r>
    </w:p>
    <w:p>
      <w:pPr>
        <w:spacing w:after="0" w:line="9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Our Employee Resource Networks (ERNs) provide invaluable opportunities for employees to share knowledge and build connections. Our current ERNs include:</w:t>
      </w:r>
    </w:p>
    <w:p>
      <w:pPr>
        <w:spacing w:after="0" w:line="94" w:lineRule="exact"/>
        <w:rPr>
          <w:sz w:val="20"/>
          <w:szCs w:val="20"/>
          <w:color w:val="auto"/>
        </w:rPr>
      </w:pPr>
    </w:p>
    <w:p>
      <w:pPr>
        <w:ind w:left="660" w:right="180" w:hanging="247"/>
        <w:spacing w:after="0" w:line="261"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IGNITE: Brings together early-career professionals and their advocates.</w:t>
      </w:r>
    </w:p>
    <w:p>
      <w:pPr>
        <w:spacing w:after="0" w:line="89" w:lineRule="exact"/>
        <w:rPr>
          <w:rFonts w:ascii="Arial" w:cs="Arial" w:eastAsia="Arial" w:hAnsi="Arial"/>
          <w:sz w:val="18"/>
          <w:szCs w:val="18"/>
          <w:color w:val="auto"/>
        </w:rPr>
      </w:pPr>
    </w:p>
    <w:p>
      <w:pPr>
        <w:ind w:left="660" w:right="160" w:hanging="247"/>
        <w:spacing w:after="0" w:line="256"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AccessAbility: Supports employees with disabilities and employees who are caretakers of individuals with disabilities.</w:t>
      </w:r>
    </w:p>
    <w:p>
      <w:pPr>
        <w:spacing w:after="0" w:line="93" w:lineRule="exact"/>
        <w:rPr>
          <w:rFonts w:ascii="Arial" w:cs="Arial" w:eastAsia="Arial" w:hAnsi="Arial"/>
          <w:sz w:val="18"/>
          <w:szCs w:val="18"/>
          <w:color w:val="auto"/>
        </w:rPr>
      </w:pPr>
    </w:p>
    <w:p>
      <w:pPr>
        <w:ind w:left="660" w:right="240" w:hanging="247"/>
        <w:spacing w:after="0" w:line="291"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Biogen Veterans Network: Encourages veterans and allies of veterans to connect and support one another.</w:t>
      </w:r>
    </w:p>
    <w:p>
      <w:pPr>
        <w:spacing w:after="0" w:line="65" w:lineRule="exact"/>
        <w:rPr>
          <w:rFonts w:ascii="Arial" w:cs="Arial" w:eastAsia="Arial" w:hAnsi="Arial"/>
          <w:sz w:val="17"/>
          <w:szCs w:val="17"/>
          <w:color w:val="auto"/>
        </w:rPr>
      </w:pPr>
    </w:p>
    <w:p>
      <w:pPr>
        <w:ind w:left="660" w:right="100" w:hanging="247"/>
        <w:spacing w:after="0" w:line="261"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Mosaic: Fosters awareness and appreciation of different cultural backgrounds, in addition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40" w:right="140"/>
        <w:spacing w:after="0" w:line="261" w:lineRule="auto"/>
        <w:rPr>
          <w:sz w:val="20"/>
          <w:szCs w:val="20"/>
          <w:color w:val="auto"/>
        </w:rPr>
      </w:pPr>
      <w:r>
        <w:rPr>
          <w:rFonts w:ascii="Arial" w:cs="Arial" w:eastAsia="Arial" w:hAnsi="Arial"/>
          <w:sz w:val="18"/>
          <w:szCs w:val="18"/>
          <w:color w:val="auto"/>
        </w:rPr>
        <w:t>to promoting networking and development opportunities for members.</w:t>
      </w:r>
    </w:p>
    <w:p>
      <w:pPr>
        <w:spacing w:after="0" w:line="90" w:lineRule="exact"/>
        <w:rPr>
          <w:sz w:val="20"/>
          <w:szCs w:val="20"/>
          <w:color w:val="auto"/>
        </w:rPr>
      </w:pPr>
    </w:p>
    <w:p>
      <w:pPr>
        <w:ind w:left="1040" w:right="320" w:hanging="250"/>
        <w:spacing w:after="0" w:line="256" w:lineRule="auto"/>
        <w:tabs>
          <w:tab w:leader="none" w:pos="9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ReachOUT: Supports a best-in-class working environment for LGBTQ employees and embraces all LGBTQ employees and their allies.</w:t>
      </w:r>
    </w:p>
    <w:p>
      <w:pPr>
        <w:spacing w:after="0" w:line="93" w:lineRule="exact"/>
        <w:rPr>
          <w:rFonts w:ascii="Arial" w:cs="Arial" w:eastAsia="Arial" w:hAnsi="Arial"/>
          <w:sz w:val="18"/>
          <w:szCs w:val="18"/>
          <w:color w:val="auto"/>
        </w:rPr>
      </w:pPr>
    </w:p>
    <w:p>
      <w:pPr>
        <w:ind w:left="1040" w:right="400" w:hanging="250"/>
        <w:spacing w:after="0" w:line="256" w:lineRule="auto"/>
        <w:tabs>
          <w:tab w:leader="none" w:pos="9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Women’s Innovation Network: Creates networking, mentoring and learning opportunities for women and allies worldwide.</w:t>
      </w:r>
    </w:p>
    <w:p>
      <w:pPr>
        <w:spacing w:after="0" w:line="93" w:lineRule="exact"/>
        <w:rPr>
          <w:rFonts w:ascii="Arial" w:cs="Arial" w:eastAsia="Arial" w:hAnsi="Arial"/>
          <w:sz w:val="18"/>
          <w:szCs w:val="18"/>
          <w:color w:val="auto"/>
        </w:rPr>
      </w:pPr>
    </w:p>
    <w:p>
      <w:pPr>
        <w:ind w:left="1040" w:right="40" w:hanging="250"/>
        <w:spacing w:after="0" w:line="256" w:lineRule="auto"/>
        <w:tabs>
          <w:tab w:leader="none" w:pos="9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ourIMPACT: Advances climate, health and equity at work, in employees' personal lives and in the communities where we live and work.</w:t>
      </w:r>
    </w:p>
    <w:p>
      <w:pPr>
        <w:spacing w:after="0" w:line="94"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Creating a culture where all colleagues feel supported and valued is paramount to our corporate mission. The ongoing COVID-19 pandemic has led to unique challenges, and we are striving to ensure the health, safety and general well-being of our employees. We continue to evolve our programs to meet our employees’ health and wellness needs, which we believe is essential to attract and retain employees of the highest caliber. For example, we have refreshed our flexible working arrangement policies to allow for more flexibility around work hours to help employees balance the demands of their work and home lives, shifted many of our on-site wellness services to virtual, including virtual behavior health, nutrition, fitness and overall well-being classes and counseling, rolled out the Headspace meditation app globally at no cost, provided workshops and programming to help employees cope with stress, isolation and building resilience, along with financial planning workshops and counseling sessions, expanded our child- and back-up care services to meet the growing childcare needs of our employees and provided additional holidays and time off for recharging, voting and volunteering.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Employee surveys</w:t>
      </w:r>
    </w:p>
    <w:p>
      <w:pPr>
        <w:spacing w:after="0" w:line="139"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We utilize an employee survey program to pulse employees through email and mobile apps as well as provide an opportunity for commentary and facilitate feedback to questions. The survey is designed to empower managers and leaders with anonymous information on their practices related to building culture, performance and an engaged workforce, allowing them to create plans and measure efficacy for continuous improvement. We care deeply about employee feedback and are building an analytics community across Human Resources to bring more rigor and sophistication to the collection and analysis of employee opinions. We use their perspectives to guide us to take actions that improve engagement and support and help maintain our reputation as a great place to work for all of our employees.</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Succession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600"/>
          </w:cols>
          <w:pgMar w:left="320" w:top="144" w:right="45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year we conduct a talent review across our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enterprise that includes, among other important topics, a review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succession plans for many of our roles. To help ensure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continuity of our business, we actively manage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talent to fill the roles that are most critical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on-going success of our company. In addition, each year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reviews the succession plan for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Workplace Health and Safety</w:t>
      </w:r>
    </w:p>
    <w:p>
      <w:pPr>
        <w:spacing w:after="0" w:line="139" w:lineRule="exact"/>
        <w:rPr>
          <w:sz w:val="20"/>
          <w:szCs w:val="20"/>
          <w:color w:val="auto"/>
        </w:rPr>
      </w:pPr>
    </w:p>
    <w:p>
      <w:pPr>
        <w:ind w:right="4919" w:firstLine="405"/>
        <w:spacing w:after="0" w:line="252" w:lineRule="auto"/>
        <w:rPr>
          <w:sz w:val="20"/>
          <w:szCs w:val="20"/>
          <w:color w:val="auto"/>
        </w:rPr>
      </w:pPr>
      <w:r>
        <w:rPr>
          <w:rFonts w:ascii="Arial" w:cs="Arial" w:eastAsia="Arial" w:hAnsi="Arial"/>
          <w:sz w:val="18"/>
          <w:szCs w:val="18"/>
          <w:color w:val="auto"/>
        </w:rPr>
        <w:t>The well-being of our employees is a top priority, and we believe each and every employee plays a role in creating a safe and healthy workplace. Our employees have varied roles and functions, which is why we empower them to promote a safe working environment, regardless of whether work happens in the lab, in an office or in a manufacturing plant. Our policies and practices are intended to protect not only our employees, but also the surrounding communities in which we operate.</w:t>
      </w:r>
    </w:p>
    <w:p>
      <w:pPr>
        <w:spacing w:after="0" w:line="97" w:lineRule="exact"/>
        <w:rPr>
          <w:sz w:val="20"/>
          <w:szCs w:val="20"/>
          <w:color w:val="auto"/>
        </w:rPr>
      </w:pPr>
    </w:p>
    <w:p>
      <w:pPr>
        <w:ind w:right="4919" w:firstLine="405"/>
        <w:spacing w:after="0" w:line="251" w:lineRule="auto"/>
        <w:rPr>
          <w:sz w:val="20"/>
          <w:szCs w:val="20"/>
          <w:color w:val="auto"/>
        </w:rPr>
      </w:pPr>
      <w:r>
        <w:rPr>
          <w:rFonts w:ascii="Arial" w:cs="Arial" w:eastAsia="Arial" w:hAnsi="Arial"/>
          <w:sz w:val="18"/>
          <w:szCs w:val="18"/>
          <w:color w:val="auto"/>
        </w:rPr>
        <w:t>In 2021 we continued to make significant progress integrating Human Performance into our Environment, Health and Safety programs. We believe that, when it comes to safety, workers are part of the solution. We encourage employees to collaboratively engage in proactive problem solving through practices such as Open Reporting and Work Observation and Risk Conversations. Additionally, our physical safety program focused on detailed evaluations of critical tasks that could expose employees to serious injury or fatality if controls are absent or not used. The actions we implement as a result of these evaluations reduce the risks associated with these essential activities and ensure our operational systems are safer and more resilient for employees. We also utilize “After Action Reviews” following the completion of a project. These reviews enable us to not only focus on areas for improvement, but also to learn and apply good practices from what goes well. By engaging and empowering our employees through such programs, we believe that we can help change how the entire industry approaches safety performance and risk management.</w:t>
      </w: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Information about our Executive Officers (as of February 3,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100" w:type="dxa"/>
            <w:vAlign w:val="bottom"/>
            <w:vMerge w:val="restart"/>
          </w:tcPr>
          <w:p>
            <w:pPr>
              <w:spacing w:after="0"/>
              <w:rPr>
                <w:sz w:val="14"/>
                <w:szCs w:val="14"/>
                <w:color w:val="auto"/>
              </w:rPr>
            </w:pPr>
          </w:p>
        </w:tc>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Current Position</w:t>
            </w:r>
          </w:p>
        </w:tc>
        <w:tc>
          <w:tcPr>
            <w:tcW w:w="100" w:type="dxa"/>
            <w:vAlign w:val="bottom"/>
            <w:vMerge w:val="restart"/>
          </w:tcPr>
          <w:p>
            <w:pPr>
              <w:spacing w:after="0"/>
              <w:rPr>
                <w:sz w:val="14"/>
                <w:szCs w:val="14"/>
                <w:color w:val="auto"/>
              </w:rPr>
            </w:pPr>
          </w:p>
        </w:tc>
        <w:tc>
          <w:tcPr>
            <w:tcW w:w="5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9"/>
              </w:rPr>
              <w:t>Age</w:t>
            </w:r>
          </w:p>
        </w:tc>
        <w:tc>
          <w:tcPr>
            <w:tcW w:w="100" w:type="dxa"/>
            <w:vAlign w:val="bottom"/>
            <w:vMerge w:val="restart"/>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Joined</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Biogen</w:t>
            </w:r>
          </w:p>
        </w:tc>
        <w:tc>
          <w:tcPr>
            <w:tcW w:w="0" w:type="dxa"/>
            <w:vAlign w:val="bottom"/>
          </w:tcPr>
          <w:p>
            <w:pPr>
              <w:spacing w:after="0"/>
              <w:rPr>
                <w:sz w:val="1"/>
                <w:szCs w:val="1"/>
                <w:color w:val="auto"/>
              </w:rPr>
            </w:pPr>
          </w:p>
        </w:tc>
      </w:tr>
      <w:tr>
        <w:trPr>
          <w:trHeight w:val="206"/>
        </w:trPr>
        <w:tc>
          <w:tcPr>
            <w:tcW w:w="2940" w:type="dxa"/>
            <w:vAlign w:val="bottom"/>
          </w:tcPr>
          <w:p>
            <w:pPr>
              <w:ind w:left="20"/>
              <w:spacing w:after="0"/>
              <w:rPr>
                <w:sz w:val="20"/>
                <w:szCs w:val="20"/>
                <w:color w:val="auto"/>
              </w:rPr>
            </w:pPr>
            <w:r>
              <w:rPr>
                <w:rFonts w:ascii="Arial" w:cs="Arial" w:eastAsia="Arial" w:hAnsi="Arial"/>
                <w:sz w:val="16"/>
                <w:szCs w:val="16"/>
                <w:b w:val="1"/>
                <w:bCs w:val="1"/>
                <w:color w:val="2573BA"/>
              </w:rPr>
              <w:t>Michel Vounatsos</w:t>
            </w:r>
          </w:p>
        </w:tc>
        <w:tc>
          <w:tcPr>
            <w:tcW w:w="100" w:type="dxa"/>
            <w:vAlign w:val="bottom"/>
          </w:tcPr>
          <w:p>
            <w:pPr>
              <w:spacing w:after="0"/>
              <w:rPr>
                <w:sz w:val="17"/>
                <w:szCs w:val="17"/>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15"/>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Susan H. Alexander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Chief Legal Officer and Secretary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Michael R. McDonnell</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Alphonse Galdes,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Pharmaceutical Operations and Technology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Ginger Gregory,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Chirfi Guindo</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 Strategy and Commercialization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Rachid Izzar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Alzheimer's and Dementia Business Unit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Robin C. Kramer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Senior Vice President, Chief Accounting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120"/>
        <w:spacing w:after="0" w:line="207" w:lineRule="auto"/>
        <w:rPr>
          <w:sz w:val="20"/>
          <w:szCs w:val="20"/>
          <w:color w:val="auto"/>
        </w:rPr>
      </w:pPr>
      <w:r>
        <w:rPr>
          <w:rFonts w:ascii="Arial" w:cs="Arial" w:eastAsia="Arial" w:hAnsi="Arial"/>
          <w:sz w:val="18"/>
          <w:szCs w:val="18"/>
          <w:color w:val="auto"/>
        </w:rPr>
        <w:t>Mr. Vounatsos has served as our Chief Executive Officer and as a member of our Board of Directors since January 2017. Prior to that, from April 2016 to December 2016, Mr. Vounatsos served as our Executive Vice President, Chief Commercial Officer. Prior to joining Biogen, Mr. Vounatsos spent 20 years at Merck &amp; Co., Inc. (Merck), a pharmaceutical company, where he most recently served as President, Primary Care, Customer Business Line and Merck Customer Centricity.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payors and retailers and the world’s largest governments. Mr. Vounatsos previously held leadership positions across Europe and in China for Merck. Prior to that, Mr. Vounatsos held management positions at Ciba-Geigy, a pharmaceutical company. Mr. Vounatsos currently serves on the advisory board of Tsinghua University School of Pharmaceutical Sciences, on the Supervisory Board of Liryc, the Electrophysiology and Heart Modeling Institute at the University of Bordeaux, as a member of the MIT Presidential CEO Advisory Board and as a member of NetZero International Leadership Counsel.</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2" w:lineRule="exact"/>
        <w:rPr>
          <w:sz w:val="20"/>
          <w:szCs w:val="20"/>
          <w:color w:val="auto"/>
        </w:rPr>
      </w:pPr>
    </w:p>
    <w:p>
      <w:pPr>
        <w:ind w:left="40" w:right="4080" w:firstLine="486"/>
        <w:spacing w:after="0" w:line="255"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 xml:space="preserve">PerkinElmer, Inc., a global scientific technology and life science research company </w:t>
      </w:r>
      <w:r>
        <w:rPr>
          <w:rFonts w:ascii="Arial" w:cs="Arial" w:eastAsia="Arial" w:hAnsi="Arial"/>
          <w:sz w:val="18"/>
          <w:szCs w:val="18"/>
          <w:i w:val="1"/>
          <w:iCs w:val="1"/>
          <w:color w:val="538235"/>
        </w:rPr>
        <w:t>Education</w:t>
      </w:r>
    </w:p>
    <w:p>
      <w:pPr>
        <w:ind w:left="580" w:hanging="54"/>
        <w:spacing w:after="0"/>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Universite Victor Segalen, Bordeaux II, France, C.S.C.T. Certificate in Medicine</w:t>
      </w:r>
    </w:p>
    <w:p>
      <w:pPr>
        <w:spacing w:after="0" w:line="39"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HEC School of Management - Paris,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-324485</wp:posOffset>
            </wp:positionV>
            <wp:extent cx="71062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4" w:lineRule="exact"/>
        <w:rPr>
          <w:sz w:val="20"/>
          <w:szCs w:val="20"/>
          <w:color w:val="auto"/>
        </w:rPr>
      </w:pPr>
    </w:p>
    <w:p>
      <w:pPr>
        <w:ind w:left="40" w:right="60"/>
        <w:spacing w:after="0" w:line="209" w:lineRule="auto"/>
        <w:rPr>
          <w:sz w:val="20"/>
          <w:szCs w:val="20"/>
          <w:color w:val="auto"/>
        </w:rPr>
      </w:pPr>
      <w:r>
        <w:rPr>
          <w:rFonts w:ascii="Arial" w:cs="Arial" w:eastAsia="Arial" w:hAnsi="Arial"/>
          <w:sz w:val="18"/>
          <w:szCs w:val="18"/>
          <w:color w:val="auto"/>
        </w:rPr>
        <w:t>Ms. Alexander has served as our Executive Vice President, Chief Legal Officer and Secretary since April 2018. Prior to that, Ms. Alexander served as our Executive Vice President, Chief Legal, Corporate Services and Secretary from March 2017 to March 2018, as our Executive Vice President, Chief Legal Officer and Secretary from December 2011 to March 2017 and as our Executive Vice President, General Counsel and Corporate Secretary from 2006 to December 2011. Prior to joining Biogen, Ms. Alexander served as the Senior Vice President, General Counsel and Corporate Secretary of PAREXEL International Corporation, a biopharmaceutical services company, from 2003 to January 2006.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9" w:lineRule="exact"/>
        <w:rPr>
          <w:sz w:val="20"/>
          <w:szCs w:val="20"/>
          <w:color w:val="auto"/>
        </w:rPr>
      </w:pPr>
    </w:p>
    <w:p>
      <w:pPr>
        <w:ind w:left="40" w:right="5440" w:firstLine="486"/>
        <w:spacing w:after="0" w:line="232" w:lineRule="auto"/>
        <w:tabs>
          <w:tab w:leader="none" w:pos="58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 xml:space="preserve">Invacare Corporation, a medical and healthcare product company </w:t>
      </w:r>
      <w:r>
        <w:rPr>
          <w:rFonts w:ascii="Arial" w:cs="Arial" w:eastAsia="Arial" w:hAnsi="Arial"/>
          <w:sz w:val="18"/>
          <w:szCs w:val="18"/>
          <w:i w:val="1"/>
          <w:iCs w:val="1"/>
          <w:color w:val="538235"/>
        </w:rPr>
        <w:t>Education</w:t>
      </w:r>
    </w:p>
    <w:p>
      <w:pPr>
        <w:spacing w:after="0" w:line="1" w:lineRule="exact"/>
        <w:rPr>
          <w:rFonts w:ascii="Arial" w:cs="Arial" w:eastAsia="Arial" w:hAnsi="Arial"/>
          <w:sz w:val="22"/>
          <w:szCs w:val="22"/>
          <w:color w:val="auto"/>
          <w:vertAlign w:val="superscript"/>
        </w:rPr>
      </w:pPr>
    </w:p>
    <w:p>
      <w:pPr>
        <w:ind w:left="580" w:hanging="54"/>
        <w:spacing w:after="0" w:line="230" w:lineRule="auto"/>
        <w:tabs>
          <w:tab w:leader="none" w:pos="58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Wellesley College, B.A.</w:t>
      </w:r>
    </w:p>
    <w:p>
      <w:pPr>
        <w:spacing w:after="0" w:line="13"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Boston University School of Law,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-299085</wp:posOffset>
            </wp:positionV>
            <wp:extent cx="71062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48" w:lineRule="exact"/>
        <w:rPr>
          <w:sz w:val="20"/>
          <w:szCs w:val="20"/>
          <w:color w:val="auto"/>
        </w:rPr>
      </w:pPr>
    </w:p>
    <w:p>
      <w:pPr>
        <w:ind w:left="40"/>
        <w:spacing w:after="0" w:line="236" w:lineRule="auto"/>
        <w:rPr>
          <w:sz w:val="20"/>
          <w:szCs w:val="20"/>
          <w:color w:val="auto"/>
        </w:rPr>
      </w:pPr>
      <w:r>
        <w:rPr>
          <w:rFonts w:ascii="Arial" w:cs="Arial" w:eastAsia="Arial" w:hAnsi="Arial"/>
          <w:sz w:val="18"/>
          <w:szCs w:val="18"/>
          <w:color w:val="auto"/>
        </w:rPr>
        <w:t>Mr. McDonnell has served as our Executive Vice President and Chief Financial Officer since August 2020. Prior to joining Biogen, Mr. McDonnell served as Executive Vice President and Chief Financial Officer of IQVIA Holdings Inc., a leading global provider of advanced analytics, technology solutions and contract research services to the life sciences industry, from December 2015 until July 2020. Prior to that, Mr. McDonnell served as the Executive Vice President and Chief Financial Officer of Intelsat, a leading global provider of satellite services, from November 2008 to December 2015, as Executive Vice President and Chief Financial Officer of MCG Capital Corporation, a publicly-held commercial finance company, from September 2004 until October 2008 and as MCG Capital Corporation’s Chief Operating Officer from August 2006 until October 2008. Before joining MCG Capital Corporation, Mr. McDonnell served as Executive Vice President and Chief Financial Officer for EchoStar Communications Corporation (f/k/a DISH Network Corporation), a direct-to-home satellite television operator, from July 2004 until August 2004 and as its Senior Vice President and Chief Financial Officer from August 2000 to July 2004. Mr. McDonnell spent 14 years at PricewaterhouseCoopers LLP, including 4 years as a partner. Mr. McDonnell is a licensed certified public accountant (CPA).</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580" w:hanging="54"/>
        <w:spacing w:after="0"/>
        <w:tabs>
          <w:tab w:leader="none" w:pos="580" w:val="left"/>
        </w:tabs>
        <w:numPr>
          <w:ilvl w:val="0"/>
          <w:numId w:val="36"/>
        </w:numPr>
        <w:rPr>
          <w:rFonts w:ascii="Arial" w:cs="Arial" w:eastAsia="Arial" w:hAnsi="Arial"/>
          <w:sz w:val="22"/>
          <w:szCs w:val="22"/>
          <w:color w:val="auto"/>
          <w:vertAlign w:val="superscript"/>
        </w:rPr>
      </w:pPr>
      <w:r>
        <w:rPr>
          <w:rFonts w:ascii="Arial" w:cs="Arial" w:eastAsia="Arial" w:hAnsi="Arial"/>
          <w:sz w:val="18"/>
          <w:szCs w:val="18"/>
          <w:color w:val="auto"/>
        </w:rPr>
        <w:t>Georgetown University, B.S. Accounting</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Alphonse Galdes,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right="80"/>
        <w:spacing w:after="0" w:line="213" w:lineRule="auto"/>
        <w:rPr>
          <w:sz w:val="20"/>
          <w:szCs w:val="20"/>
          <w:color w:val="auto"/>
        </w:rPr>
      </w:pPr>
      <w:r>
        <w:rPr>
          <w:rFonts w:ascii="Arial" w:cs="Arial" w:eastAsia="Arial" w:hAnsi="Arial"/>
          <w:sz w:val="18"/>
          <w:szCs w:val="18"/>
          <w:color w:val="auto"/>
        </w:rPr>
        <w:t>Dr. Galdes has served as our Executive Vice President, Pharmaceutical Operations and Technology since September 2019. Since joining Biogen in 1995, Dr. Galdes has held several senior executive positions, including most recently as Senior Vice President, Asset Development and Portfolio Management from November 2015 to September 2019 and Senior Vice President, Technical Development from October 2010 to November 2015. Dr. Galdes was a Rhodes Scholar at Oxford University and performed post-doctoral research work at the Department of Biological Chemistry at Harvard Medical School.</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University of Malta, B.Sc. Chemistry and Biology</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University of Malta, M.Sc. Biochemistry</w:t>
      </w:r>
    </w:p>
    <w:p>
      <w:pPr>
        <w:spacing w:after="0" w:line="13"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color w:val="auto"/>
        </w:rPr>
        <w:t>Oxford University, Ph.D. Biochemistry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4" w:lineRule="exact"/>
        <w:rPr>
          <w:sz w:val="20"/>
          <w:szCs w:val="20"/>
          <w:color w:val="auto"/>
        </w:rPr>
      </w:pPr>
    </w:p>
    <w:p>
      <w:pPr>
        <w:ind w:left="40" w:right="80"/>
        <w:spacing w:after="0" w:line="208" w:lineRule="auto"/>
        <w:rPr>
          <w:sz w:val="20"/>
          <w:szCs w:val="20"/>
          <w:color w:val="auto"/>
        </w:rPr>
      </w:pPr>
      <w:r>
        <w:rPr>
          <w:rFonts w:ascii="Arial" w:cs="Arial" w:eastAsia="Arial" w:hAnsi="Arial"/>
          <w:sz w:val="18"/>
          <w:szCs w:val="18"/>
          <w:color w:val="auto"/>
        </w:rPr>
        <w:t>Dr. Gregory has served as our Executive Vice President and Chief Human Resources Officer since July 2017. Prior to joining Biogen, Dr. 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 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 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University of Massachusetts, B.A. Psychology</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8"/>
        </w:numPr>
        <w:rPr>
          <w:rFonts w:ascii="Arial" w:cs="Arial" w:eastAsia="Arial" w:hAnsi="Arial"/>
          <w:sz w:val="22"/>
          <w:szCs w:val="22"/>
          <w:color w:val="auto"/>
          <w:vertAlign w:val="superscript"/>
        </w:rPr>
      </w:pPr>
      <w:r>
        <w:rPr>
          <w:rFonts w:ascii="Arial" w:cs="Arial" w:eastAsia="Arial" w:hAnsi="Arial"/>
          <w:sz w:val="18"/>
          <w:szCs w:val="18"/>
          <w:color w:val="auto"/>
        </w:rPr>
        <w:t>The George Washington University, Ph.D. Psychology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Chirfi Guindo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 w:lineRule="exact"/>
        <w:rPr>
          <w:sz w:val="20"/>
          <w:szCs w:val="20"/>
          <w:color w:val="auto"/>
        </w:rPr>
      </w:pPr>
    </w:p>
    <w:p>
      <w:pPr>
        <w:ind w:left="60" w:right="20"/>
        <w:spacing w:after="0" w:line="209" w:lineRule="auto"/>
        <w:rPr>
          <w:sz w:val="20"/>
          <w:szCs w:val="20"/>
          <w:color w:val="auto"/>
        </w:rPr>
      </w:pPr>
      <w:r>
        <w:rPr>
          <w:rFonts w:ascii="Arial" w:cs="Arial" w:eastAsia="Arial" w:hAnsi="Arial"/>
          <w:sz w:val="18"/>
          <w:szCs w:val="18"/>
          <w:color w:val="auto"/>
        </w:rPr>
        <w:t>Mr. Guindo has served as our Executive Vice President, Global Product Strategy and Commercialization since February 2019. Prior to that, Mr. Guindo served as our Executive Vice President and Head of Global Marketing, Market Access and Customer Innovation from November 2017 to February 2019. Prior to joining Biogen, Mr. Guindo spent 27 years in the global pharmaceutical industry and held several leadership positions at Merck, a pharmaceutical company, in Canada, the U.S., France, Africa and the Netherlands. He worked in several disciplines including Finance, Sales &amp; Marketing, General Management and Global Strategy/Product Development in specialty, acute and hospital care. Most recently Mr. Guindo was Vice President and Managing Director and President and Managing Director of Merck Canada from October 2014 to November 2017. From January 2011 to October 2014 he was Vice President and General Manager, Global HIV Franchise at Merck.</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ind w:left="580" w:hanging="54"/>
        <w:spacing w:after="0"/>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Ecole Central de Paris (France), Engineering</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Stern School of Business, New York University, M.B.A. Finance/Economics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Rachid Izzar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710628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4" w:lineRule="exact"/>
        <w:rPr>
          <w:sz w:val="20"/>
          <w:szCs w:val="20"/>
          <w:color w:val="auto"/>
        </w:rPr>
      </w:pPr>
    </w:p>
    <w:p>
      <w:pPr>
        <w:ind w:left="40"/>
        <w:spacing w:after="0" w:line="223" w:lineRule="auto"/>
        <w:rPr>
          <w:sz w:val="20"/>
          <w:szCs w:val="20"/>
          <w:color w:val="auto"/>
        </w:rPr>
      </w:pPr>
      <w:r>
        <w:rPr>
          <w:rFonts w:ascii="Arial" w:cs="Arial" w:eastAsia="Arial" w:hAnsi="Arial"/>
          <w:sz w:val="18"/>
          <w:szCs w:val="18"/>
          <w:color w:val="auto"/>
        </w:rPr>
        <w:t>Mr. Izzar has served as our Executive Vice President, Head of Alzheimer’s Disease and Dementia Business Unit since July 2021. Prior to that Mr. Izzar served as our President for the Intercontinental Region, which includes Latin America, Australia, Asia, Japan, the Middle East and Africa, Turkey and Russia, and the Global Biogen Biosimilars Unit. Prior to joining Biogen, Mr. Izzar was a Country President for AstraZeneca in France, where his responsibilities included leadership for commercial and manufacturing operations. He held numerous roles at his time with AstraZeneca, including the position of Global Vice President of the Cardiovascular Franchise where he contributed significantly to the development of the franchise within the North American subsidiary, as well as in Europe and China. Prior to that, Mr. Izzar was Vice President Strategic Transformation, also, China Portfolio for CEO based in Shanghai and Vice President Commercial International covering China, Australia, Brazil, Russia, America Latin, Asia, Turkey, the Middle East and Africa.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580" w:hanging="54"/>
        <w:spacing w:after="0"/>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University of Sherbrooke, Masters of Business Administration</w:t>
      </w:r>
    </w:p>
    <w:p>
      <w:pPr>
        <w:spacing w:after="0" w:line="12" w:lineRule="exact"/>
        <w:rPr>
          <w:rFonts w:ascii="Arial" w:cs="Arial" w:eastAsia="Arial" w:hAnsi="Arial"/>
          <w:sz w:val="22"/>
          <w:szCs w:val="22"/>
          <w:color w:val="auto"/>
          <w:vertAlign w:val="superscript"/>
        </w:rPr>
      </w:pPr>
    </w:p>
    <w:p>
      <w:pPr>
        <w:ind w:left="580" w:hanging="54"/>
        <w:spacing w:after="0" w:line="205" w:lineRule="auto"/>
        <w:tabs>
          <w:tab w:leader="none" w:pos="58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Harvard Business School, Enterprise Executive Transformation Program</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20320</wp:posOffset>
            </wp:positionV>
            <wp:extent cx="708914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4" w:lineRule="exact"/>
        <w:rPr>
          <w:sz w:val="20"/>
          <w:szCs w:val="20"/>
          <w:color w:val="auto"/>
        </w:rPr>
      </w:pPr>
    </w:p>
    <w:p>
      <w:pPr>
        <w:ind w:left="60" w:right="40"/>
        <w:spacing w:after="0" w:line="207" w:lineRule="auto"/>
        <w:rPr>
          <w:sz w:val="20"/>
          <w:szCs w:val="20"/>
          <w:color w:val="auto"/>
        </w:rPr>
      </w:pPr>
      <w:r>
        <w:rPr>
          <w:rFonts w:ascii="Arial" w:cs="Arial" w:eastAsia="Arial" w:hAnsi="Arial"/>
          <w:sz w:val="18"/>
          <w:szCs w:val="18"/>
          <w:color w:val="auto"/>
        </w:rPr>
        <w:t>Ms. Kramer has served as our Senior Vice President, Chief Accounting Officer since December 2020. Prior to that, Ms. Kramer served as our Vice President, Chief Accounting Officer from November 2018 to December 2020. Prior to joining Biogen, Ms. Kramer served as the Senior Vice President and Chief Accounting Officer of Hertz Global Holdings, Inc., a car rental company, from May 2014 to November 2018. Prior to that, Ms. Kramer was an audit partner at Deloitte &amp; Touche LLP (Deloitte), a professional services firm, from 2007 to 2014, including serving in Deloitte's National Office Accounting Standards and Communications Group from 2007 to 2010. From 2005 to 2007 Ms. Kramer served as Chief Accounting Officer of Fisher Scientific International, Inc., a laboratory supply and biotechnology company, and from 2004 to 2005 Ms. Kramer served as Director, External Reporting, Accounting and Control for the Gillette Company, a personal care company. Ms. Kramer also held partner positions in the public accounting firms of Ernst &amp; Young LLP and Arthur Anderson LLP. Ms. Kramer is a licensed CPA in Massachusetts. She is a member of the Massachusetts Society of CPAs and the American Institute of CPAs. Ms. Kramer currently serves on the board of directors of Samsung Bioepis and on the board of directors of the Center for Women and Enterprise. Ms. Kramer previously served as a Board Member for the Massachusetts State Board of Accountancy from September 2011 to December 2015 and Probus Insurance Company Europe DAC from 2016 to 2018.</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7089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9" w:lineRule="exact"/>
        <w:rPr>
          <w:sz w:val="20"/>
          <w:szCs w:val="20"/>
          <w:color w:val="auto"/>
        </w:rPr>
      </w:pPr>
    </w:p>
    <w:p>
      <w:pPr>
        <w:ind w:left="60" w:right="6120" w:firstLine="466"/>
        <w:spacing w:after="0" w:line="232" w:lineRule="auto"/>
        <w:tabs>
          <w:tab w:leader="none" w:pos="587"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 xml:space="preserve">Armata Pharmaceuticals, Inc., a biotechnology company </w:t>
      </w:r>
      <w:r>
        <w:rPr>
          <w:rFonts w:ascii="Arial" w:cs="Arial" w:eastAsia="Arial" w:hAnsi="Arial"/>
          <w:sz w:val="18"/>
          <w:szCs w:val="18"/>
          <w:i w:val="1"/>
          <w:iCs w:val="1"/>
          <w:color w:val="538235"/>
        </w:rPr>
        <w:t>Education</w:t>
      </w:r>
    </w:p>
    <w:p>
      <w:pPr>
        <w:spacing w:after="0" w:line="1" w:lineRule="exact"/>
        <w:rPr>
          <w:rFonts w:ascii="Arial" w:cs="Arial" w:eastAsia="Arial" w:hAnsi="Arial"/>
          <w:sz w:val="22"/>
          <w:szCs w:val="22"/>
          <w:color w:val="auto"/>
          <w:vertAlign w:val="superscript"/>
        </w:rPr>
      </w:pPr>
    </w:p>
    <w:p>
      <w:pPr>
        <w:ind w:left="580" w:hanging="54"/>
        <w:spacing w:after="0" w:line="230" w:lineRule="auto"/>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Salem State University, B.B.A.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-153035</wp:posOffset>
            </wp:positionV>
            <wp:extent cx="7089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Available Information</w:t>
      </w:r>
    </w:p>
    <w:p>
      <w:pPr>
        <w:spacing w:after="0" w:line="10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Our principal executive offices are located at 225 Binney Street, Cambridge, MA 02142 and our telephone number is (617) 679 -2000. Our website address is www.biogen.com. We make available free of charge through the </w:t>
      </w:r>
      <w:r>
        <w:rPr>
          <w:rFonts w:ascii="Arial" w:cs="Arial" w:eastAsia="Arial" w:hAnsi="Arial"/>
          <w:sz w:val="18"/>
          <w:szCs w:val="18"/>
          <w:i w:val="1"/>
          <w:iCs w:val="1"/>
          <w:color w:val="auto"/>
        </w:rPr>
        <w:t>Investors</w:t>
      </w:r>
      <w:r>
        <w:rPr>
          <w:rFonts w:ascii="Arial" w:cs="Arial" w:eastAsia="Arial" w:hAnsi="Arial"/>
          <w:sz w:val="18"/>
          <w:szCs w:val="18"/>
          <w:color w:val="auto"/>
        </w:rPr>
        <w:t xml:space="preserve"> section of our website our Annual Reports on Form 10-K, Quarterly Reports on Form 10-Q, Current Reports on Form 8-K and all amendments to those reports as soon as reasonably practicable after such material is electronically filed with or furnished to the U.S. Securities and Exchange Commission. We include our website address in this report only as an inactive textual reference and do not intend it to be an active link to our website. The contents of our website are not incorporated into this report.</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1C5A7D"/>
        </w:rPr>
        <w:t>ITEM 1A.</w:t>
      </w:r>
      <w:r>
        <w:rPr>
          <w:sz w:val="20"/>
          <w:szCs w:val="20"/>
          <w:color w:val="auto"/>
        </w:rPr>
        <w:tab/>
      </w:r>
      <w:r>
        <w:rPr>
          <w:rFonts w:ascii="Arial" w:cs="Arial" w:eastAsia="Arial" w:hAnsi="Arial"/>
          <w:sz w:val="21"/>
          <w:szCs w:val="21"/>
          <w:b w:val="1"/>
          <w:bCs w:val="1"/>
          <w:color w:val="1C5A7D"/>
        </w:rPr>
        <w:t>RISK FACTORS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12"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 -CD20 therapeutic programs. A significant portion of our revenue is concentrated on sales of our products in increasingly competitive markets and in markets affected directly and indirectly by the COVID-19 pandemic. Any of the following negative developments relating to any of our products or any of our anti-CD20 therapeutic programs may adversely affect our revenue and results of operations or could cause a decline in our stock price:</w:t>
      </w:r>
    </w:p>
    <w:p>
      <w:pPr>
        <w:spacing w:after="0" w:line="97" w:lineRule="exact"/>
        <w:rPr>
          <w:sz w:val="20"/>
          <w:szCs w:val="20"/>
          <w:color w:val="auto"/>
        </w:rPr>
      </w:pPr>
    </w:p>
    <w:p>
      <w:pPr>
        <w:ind w:left="740" w:right="8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or greater acceptance of competing products, including new originator therapies, generics, prodrugs and biosimilars of existing products and products approved under abbreviated regulatory pathways;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740" w:right="40" w:hanging="327"/>
        <w:spacing w:after="0" w:line="256"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third-parties;</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legal, administrative, regulatory or legislative developments;</w:t>
      </w:r>
    </w:p>
    <w:p>
      <w:pPr>
        <w:spacing w:after="0" w:line="117"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 or</w:t>
      </w:r>
    </w:p>
    <w:p>
      <w:pPr>
        <w:spacing w:after="0" w:line="89"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or reluctance of patients to receive a diagnosis, prescription or administration of our products or a decision to prescribe and administer competitive therapies as a direct or indirect result of the COVID-19 pandemic.</w:t>
      </w:r>
    </w:p>
    <w:p>
      <w:pPr>
        <w:spacing w:after="0" w:line="90" w:lineRule="exact"/>
        <w:rPr>
          <w:sz w:val="20"/>
          <w:szCs w:val="20"/>
          <w:color w:val="auto"/>
        </w:rPr>
      </w:pPr>
    </w:p>
    <w:p>
      <w:pPr>
        <w:ind w:left="80" w:right="380" w:firstLine="324"/>
        <w:spacing w:after="0" w:line="261" w:lineRule="auto"/>
        <w:rPr>
          <w:sz w:val="20"/>
          <w:szCs w:val="20"/>
          <w:color w:val="auto"/>
        </w:rPr>
      </w:pPr>
      <w:r>
        <w:rPr>
          <w:rFonts w:ascii="Arial" w:cs="Arial" w:eastAsia="Arial" w:hAnsi="Arial"/>
          <w:sz w:val="18"/>
          <w:szCs w:val="18"/>
          <w:color w:val="auto"/>
        </w:rPr>
        <w:t>ADUHELM is in the early stages of commercial launch in the U.S. In addition to risks associated with new product launches and the other factors described in these Risk Factors, our ability to successfully commercialize ADUHELM may be adversely affected due to:</w:t>
      </w:r>
    </w:p>
    <w:p>
      <w:pPr>
        <w:spacing w:after="0" w:line="90" w:lineRule="exact"/>
        <w:rPr>
          <w:sz w:val="20"/>
          <w:szCs w:val="20"/>
          <w:color w:val="auto"/>
        </w:rPr>
      </w:pPr>
    </w:p>
    <w:p>
      <w:pPr>
        <w:ind w:left="740" w:right="10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readiness of healthcare providers to initiate treatment as well as our ability to successfully identify eligible patients based on the information included in ADUHELM’s label;</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concern regarding the accelerated approval of ADUHELM and its data;</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and maintain reimbursement for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market acceptance of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effectiveness of our commercial strategy for marketing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manufacturing, distribution and supply of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 and</w:t>
      </w:r>
    </w:p>
    <w:p>
      <w:pPr>
        <w:spacing w:after="0" w:line="117" w:lineRule="exact"/>
        <w:rPr>
          <w:rFonts w:ascii="Arial" w:cs="Arial" w:eastAsia="Arial" w:hAnsi="Arial"/>
          <w:sz w:val="18"/>
          <w:szCs w:val="18"/>
          <w:color w:val="auto"/>
        </w:rPr>
      </w:pPr>
    </w:p>
    <w:p>
      <w:pPr>
        <w:ind w:left="740" w:right="18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in the Alzheimer’s disease community, which may be impacted by pricing and reimbursement decisions relating to ADUHELM.</w:t>
      </w:r>
    </w:p>
    <w:p>
      <w:pPr>
        <w:spacing w:after="0" w:line="90" w:lineRule="exact"/>
        <w:rPr>
          <w:sz w:val="20"/>
          <w:szCs w:val="20"/>
          <w:color w:val="auto"/>
        </w:rPr>
      </w:pPr>
    </w:p>
    <w:p>
      <w:pPr>
        <w:ind w:left="80" w:firstLine="324"/>
        <w:spacing w:after="0" w:line="256" w:lineRule="auto"/>
        <w:rPr>
          <w:sz w:val="20"/>
          <w:szCs w:val="20"/>
          <w:color w:val="auto"/>
        </w:rPr>
      </w:pPr>
      <w:r>
        <w:rPr>
          <w:rFonts w:ascii="Arial" w:cs="Arial" w:eastAsia="Arial" w:hAnsi="Arial"/>
          <w:sz w:val="18"/>
          <w:szCs w:val="18"/>
          <w:color w:val="auto"/>
        </w:rPr>
        <w:t>As part of the accelerated approval, we will conduct a confirmatory trial to verify the clinical benefit of ADUHELM in patients with Alzheimer's disease. The FDA may withdraw approval if, among other things, the confirmatory trial fails to verify clinical benefit, ADUHELM's benefit-risk is no longer positive or we fail to comply with the conditions of the accelerated approval.</w:t>
      </w:r>
    </w:p>
    <w:p>
      <w:pPr>
        <w:spacing w:after="0" w:line="12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6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Our long-term success will depend upon the successful development of new products from our research and development activities or our licenses or acquisitions from third-parties, including our commercialization agreements with Samsung Bioepis, as well as additional indications for our existing products.</w:t>
      </w:r>
    </w:p>
    <w:p>
      <w:pPr>
        <w:spacing w:after="0" w:line="94" w:lineRule="exact"/>
        <w:rPr>
          <w:sz w:val="20"/>
          <w:szCs w:val="20"/>
          <w:color w:val="auto"/>
        </w:rPr>
      </w:pPr>
    </w:p>
    <w:p>
      <w:pPr>
        <w:ind w:right="420" w:firstLine="405"/>
        <w:spacing w:after="0" w:line="246"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 with the development of such therapies.</w:t>
      </w:r>
    </w:p>
    <w:p>
      <w:pPr>
        <w:spacing w:after="0" w:line="97"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9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97" w:lineRule="exact"/>
        <w:rPr>
          <w:sz w:val="20"/>
          <w:szCs w:val="20"/>
          <w:color w:val="auto"/>
        </w:rPr>
      </w:pPr>
    </w:p>
    <w:p>
      <w:pPr>
        <w:ind w:right="180" w:firstLine="401"/>
        <w:spacing w:after="0" w:line="256"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of new products or products with additional indications may not meet investor expectations.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39"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117" w:lineRule="exact"/>
        <w:rPr>
          <w:sz w:val="20"/>
          <w:szCs w:val="20"/>
          <w:color w:val="auto"/>
        </w:rPr>
      </w:pPr>
    </w:p>
    <w:p>
      <w:pPr>
        <w:ind w:left="740" w:right="64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740" w:right="4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89" w:lineRule="exact"/>
        <w:rPr>
          <w:rFonts w:ascii="Arial" w:cs="Arial" w:eastAsia="Arial" w:hAnsi="Arial"/>
          <w:sz w:val="18"/>
          <w:szCs w:val="18"/>
          <w:color w:val="auto"/>
        </w:rPr>
      </w:pPr>
    </w:p>
    <w:p>
      <w:pPr>
        <w:ind w:left="740" w:right="4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89" w:lineRule="exact"/>
        <w:rPr>
          <w:rFonts w:ascii="Arial" w:cs="Arial" w:eastAsia="Arial" w:hAnsi="Arial"/>
          <w:sz w:val="18"/>
          <w:szCs w:val="18"/>
          <w:color w:val="auto"/>
        </w:rPr>
      </w:pPr>
    </w:p>
    <w:p>
      <w:pPr>
        <w:ind w:left="740" w:right="120" w:hanging="327"/>
        <w:spacing w:after="0" w:line="254"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spacing w:after="0" w:line="95" w:lineRule="exact"/>
        <w:rPr>
          <w:rFonts w:ascii="Arial" w:cs="Arial" w:eastAsia="Arial" w:hAnsi="Arial"/>
          <w:sz w:val="18"/>
          <w:szCs w:val="18"/>
          <w:color w:val="auto"/>
        </w:rPr>
      </w:pPr>
    </w:p>
    <w:p>
      <w:pPr>
        <w:ind w:left="740" w:right="10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inability to obtain appropriate pricing and reimbursement for our products compared to our competitors in key international markets; or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hanging="287"/>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49" w:lineRule="exact"/>
        <w:rPr>
          <w:sz w:val="20"/>
          <w:szCs w:val="20"/>
          <w:color w:val="auto"/>
        </w:rPr>
      </w:pPr>
    </w:p>
    <w:p>
      <w:pPr>
        <w:ind w:left="80" w:right="180"/>
        <w:spacing w:after="0" w:line="287"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67" w:lineRule="exact"/>
        <w:rPr>
          <w:sz w:val="20"/>
          <w:szCs w:val="20"/>
          <w:color w:val="auto"/>
        </w:rPr>
      </w:pPr>
    </w:p>
    <w:p>
      <w:pPr>
        <w:ind w:left="80" w:right="140" w:firstLine="324"/>
        <w:spacing w:after="0" w:line="256"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and companies or the entry into strategic alliances and collaborations.</w:t>
      </w:r>
    </w:p>
    <w:p>
      <w:pPr>
        <w:spacing w:after="0" w:line="94" w:lineRule="exact"/>
        <w:rPr>
          <w:sz w:val="20"/>
          <w:szCs w:val="20"/>
          <w:color w:val="auto"/>
        </w:rPr>
      </w:pPr>
    </w:p>
    <w:p>
      <w:pPr>
        <w:jc w:val="both"/>
        <w:ind w:right="60" w:firstLine="401"/>
        <w:spacing w:after="0" w:line="256"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94" w:lineRule="exact"/>
        <w:rPr>
          <w:sz w:val="20"/>
          <w:szCs w:val="20"/>
          <w:color w:val="auto"/>
        </w:rPr>
      </w:pPr>
    </w:p>
    <w:p>
      <w:pPr>
        <w:ind w:right="120" w:firstLine="401"/>
        <w:spacing w:after="0" w:line="253"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97" w:lineRule="exact"/>
        <w:rPr>
          <w:sz w:val="20"/>
          <w:szCs w:val="20"/>
          <w:color w:val="auto"/>
        </w:rPr>
      </w:pPr>
    </w:p>
    <w:p>
      <w:pPr>
        <w:ind w:right="420" w:firstLine="401"/>
        <w:spacing w:after="0" w:line="256"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94" w:lineRule="exact"/>
        <w:rPr>
          <w:sz w:val="20"/>
          <w:szCs w:val="20"/>
          <w:color w:val="auto"/>
        </w:rPr>
      </w:pPr>
    </w:p>
    <w:p>
      <w:pPr>
        <w:ind w:right="20" w:firstLine="401"/>
        <w:spacing w:after="0" w:line="254"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9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127"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88" w:lineRule="exact"/>
        <w:rPr>
          <w:sz w:val="20"/>
          <w:szCs w:val="20"/>
          <w:color w:val="auto"/>
        </w:rPr>
      </w:pPr>
    </w:p>
    <w:p>
      <w:pPr>
        <w:jc w:val="both"/>
        <w:ind w:right="80" w:firstLine="401"/>
        <w:spacing w:after="0" w:line="256"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may be uncertain, as is the pricing and amount for which that product will be reimbursed.</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740" w:right="380" w:hanging="327"/>
        <w:spacing w:after="0" w:line="261"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740" w:right="160" w:hanging="327"/>
        <w:spacing w:after="0" w:line="256"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recieve reimbursement for our products; and</w:t>
      </w:r>
    </w:p>
    <w:p>
      <w:pPr>
        <w:spacing w:after="0" w:line="117" w:lineRule="exact"/>
        <w:rPr>
          <w:rFonts w:ascii="Arial" w:cs="Arial" w:eastAsia="Arial" w:hAnsi="Arial"/>
          <w:sz w:val="18"/>
          <w:szCs w:val="18"/>
          <w:color w:val="auto"/>
        </w:rPr>
      </w:pPr>
    </w:p>
    <w:p>
      <w:pPr>
        <w:ind w:left="740" w:right="460" w:hanging="327"/>
        <w:spacing w:after="0" w:line="256"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94"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third-party cross-border trade or influence our decision to sell or not to sell a product, thus adversely affecting our geographic expansion plans and revenue.</w:t>
      </w:r>
    </w:p>
    <w:p>
      <w:pPr>
        <w:spacing w:after="0" w:line="90"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 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10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97" w:lineRule="exact"/>
        <w:rPr>
          <w:sz w:val="20"/>
          <w:szCs w:val="20"/>
          <w:color w:val="auto"/>
        </w:rPr>
      </w:pPr>
    </w:p>
    <w:p>
      <w:pPr>
        <w:ind w:right="360" w:firstLine="405"/>
        <w:spacing w:after="0" w:line="246"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2573BA"/>
        </w:rPr>
        <w:t>We depend on relationships with collaborators, joint venture partners and other third-parties for revenue, and for the development, regulatory approval, commercialization and marketing of certain of our products and product candidates, which are outside of our full control.</w:t>
      </w:r>
    </w:p>
    <w:p>
      <w:pPr>
        <w:spacing w:after="0" w:line="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rely on a number of collaborative, joint venture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spacing w:after="0" w:line="96" w:lineRule="exact"/>
        <w:rPr>
          <w:sz w:val="20"/>
          <w:szCs w:val="20"/>
          <w:color w:val="auto"/>
        </w:rPr>
      </w:pPr>
    </w:p>
    <w:p>
      <w:pPr>
        <w:ind w:left="740" w:right="2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joint venture partners or third-parties devote to our programs, products or product candidates;</w:t>
      </w:r>
    </w:p>
    <w:p>
      <w:pPr>
        <w:spacing w:after="0" w:line="89" w:lineRule="exact"/>
        <w:rPr>
          <w:rFonts w:ascii="Arial" w:cs="Arial" w:eastAsia="Arial" w:hAnsi="Arial"/>
          <w:sz w:val="18"/>
          <w:szCs w:val="18"/>
          <w:color w:val="auto"/>
        </w:rPr>
      </w:pPr>
    </w:p>
    <w:p>
      <w:pPr>
        <w:ind w:left="740" w:right="180" w:hanging="327"/>
        <w:spacing w:after="0" w:line="254"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joint ventures partners or third-parties fail to perform;</w:t>
      </w:r>
    </w:p>
    <w:p>
      <w:pPr>
        <w:spacing w:after="0" w:line="95" w:lineRule="exact"/>
        <w:rPr>
          <w:rFonts w:ascii="Arial" w:cs="Arial" w:eastAsia="Arial" w:hAnsi="Arial"/>
          <w:sz w:val="18"/>
          <w:szCs w:val="18"/>
          <w:color w:val="auto"/>
        </w:rPr>
      </w:pPr>
    </w:p>
    <w:p>
      <w:pPr>
        <w:ind w:left="740" w:right="260" w:hanging="327"/>
        <w:spacing w:after="0" w:line="254"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interests of our collaborators, joint venture partners or third-parties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95" w:lineRule="exact"/>
        <w:rPr>
          <w:rFonts w:ascii="Arial" w:cs="Arial" w:eastAsia="Arial" w:hAnsi="Arial"/>
          <w:sz w:val="18"/>
          <w:szCs w:val="18"/>
          <w:color w:val="auto"/>
        </w:rPr>
      </w:pPr>
    </w:p>
    <w:p>
      <w:pPr>
        <w:jc w:val="both"/>
        <w:ind w:left="740" w:right="200" w:hanging="327"/>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93" w:lineRule="exact"/>
        <w:rPr>
          <w:rFonts w:ascii="Arial" w:cs="Arial" w:eastAsia="Arial" w:hAnsi="Arial"/>
          <w:sz w:val="18"/>
          <w:szCs w:val="18"/>
          <w:color w:val="auto"/>
        </w:rPr>
      </w:pPr>
    </w:p>
    <w:p>
      <w:pPr>
        <w:ind w:left="740" w:hanging="327"/>
        <w:spacing w:after="0" w:line="254"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failure on the part of our collaborators, joint venture partners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spacing w:after="0" w:line="95" w:lineRule="exact"/>
        <w:rPr>
          <w:rFonts w:ascii="Arial" w:cs="Arial" w:eastAsia="Arial" w:hAnsi="Arial"/>
          <w:sz w:val="18"/>
          <w:szCs w:val="18"/>
          <w:color w:val="auto"/>
        </w:rPr>
      </w:pPr>
    </w:p>
    <w:p>
      <w:pPr>
        <w:ind w:left="740" w:right="340" w:hanging="327"/>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joint venture partners or third-parties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may impact its operations and business or divert the attention of the Samsung Bioepis management team from its ongoing operations. In addition, as Samsung Bioepis is a privately-held entity, our ability to liquidate our investment may be limited and we may realize significantly less than the value of such investment.</w:t>
      </w:r>
    </w:p>
    <w:p>
      <w:pPr>
        <w:spacing w:after="0" w:line="96"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For example, provisions of the Patient Protection and Affordable Care Act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96"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There is increasing public attention on the costs of prescription drugs and we expect drug pricing and other health care costs to continue to be subject to intense political and societal pressures on a global basis. For example, two committees of the U.S. House of Representatives are investigating the approval and price of ADUHELM. In addition, there have been,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9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97" w:lineRule="exact"/>
        <w:rPr>
          <w:sz w:val="20"/>
          <w:szCs w:val="20"/>
          <w:color w:val="auto"/>
        </w:rPr>
      </w:pPr>
    </w:p>
    <w:p>
      <w:pPr>
        <w:ind w:right="260" w:firstLine="405"/>
        <w:spacing w:after="0" w:line="236"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1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72" w:lineRule="exact"/>
        <w:rPr>
          <w:sz w:val="20"/>
          <w:szCs w:val="20"/>
          <w:color w:val="auto"/>
        </w:rPr>
      </w:pPr>
    </w:p>
    <w:p>
      <w:pPr>
        <w:ind w:left="740" w:right="4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Third-Parties. </w:t>
      </w:r>
      <w:r>
        <w:rPr>
          <w:rFonts w:ascii="Arial" w:cs="Arial" w:eastAsia="Arial" w:hAnsi="Arial"/>
          <w:sz w:val="18"/>
          <w:szCs w:val="18"/>
          <w:color w:val="auto"/>
        </w:rPr>
        <w:t>We are dependent, in part, on the efforts of Samsung Bioepis, collaboration partners and other third-parties over whom we have limited or no control in the development and manufacturing of biosimilars products. If these third-parties fail to perform successfully, our biosimilar product development or commercialization of biosimilar products could be delayed, revenue from biosimilar products could decline and/or we may not realize the anticipated benefits of these arrangements;</w:t>
      </w:r>
    </w:p>
    <w:p>
      <w:pPr>
        <w:spacing w:after="0" w:line="71" w:lineRule="exact"/>
        <w:rPr>
          <w:rFonts w:ascii="Arial" w:cs="Arial" w:eastAsia="Arial" w:hAnsi="Arial"/>
          <w:sz w:val="18"/>
          <w:szCs w:val="18"/>
          <w:color w:val="auto"/>
        </w:rPr>
      </w:pPr>
    </w:p>
    <w:p>
      <w:pPr>
        <w:ind w:left="740" w:right="80" w:hanging="327"/>
        <w:spacing w:after="0" w:line="282"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740" w:right="80" w:hanging="327"/>
        <w:spacing w:after="0" w:line="26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740" w:right="320" w:hanging="327"/>
        <w:spacing w:after="0" w:line="26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and/or payors do not accept biosimilar products as safe and efficacious products offering a more competitive price or other benefit over existing therapies;</w:t>
      </w:r>
    </w:p>
    <w:p>
      <w:pPr>
        <w:spacing w:after="0" w:line="67" w:lineRule="exact"/>
        <w:rPr>
          <w:rFonts w:ascii="Arial" w:cs="Arial" w:eastAsia="Arial" w:hAnsi="Arial"/>
          <w:sz w:val="18"/>
          <w:szCs w:val="18"/>
          <w:color w:val="auto"/>
        </w:rPr>
      </w:pPr>
    </w:p>
    <w:p>
      <w:pPr>
        <w:ind w:left="740" w:hanging="327"/>
        <w:spacing w:after="0" w:line="25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we may be unable to meet higher than anticipated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 and</w:t>
      </w:r>
    </w:p>
    <w:p>
      <w:pPr>
        <w:spacing w:after="0" w:line="75" w:lineRule="exact"/>
        <w:rPr>
          <w:rFonts w:ascii="Arial" w:cs="Arial" w:eastAsia="Arial" w:hAnsi="Arial"/>
          <w:sz w:val="18"/>
          <w:szCs w:val="18"/>
          <w:color w:val="auto"/>
        </w:rPr>
      </w:pPr>
    </w:p>
    <w:p>
      <w:pPr>
        <w:ind w:left="740" w:right="140" w:hanging="327"/>
        <w:spacing w:after="0" w:line="258"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and/or the success of Samsung Bioepis in this business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4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5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patent and other protections, resulting in a reduction in revenue from affected products.</w:t>
      </w:r>
    </w:p>
    <w:p>
      <w:pPr>
        <w:spacing w:after="0" w:line="151"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15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Such proceedings are unpredictable and are often</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would reduce our profits from the covered products and services. Any of these circumstances could result in financial, business or reputational harm to us or could cause a decline or volatility in our stock price.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4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53"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For example, as part of the accelerated approval, we will conduct a confirmatory trial to verify the clinical benefit of ADUHELM in patients with Alzheimer's disease.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13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67" w:lineRule="exact"/>
        <w:rPr>
          <w:sz w:val="20"/>
          <w:szCs w:val="20"/>
          <w:color w:val="auto"/>
        </w:rPr>
      </w:pPr>
    </w:p>
    <w:p>
      <w:pPr>
        <w:jc w:val="both"/>
        <w:ind w:right="260" w:firstLine="324"/>
        <w:spacing w:after="0" w:line="254"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96"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We may need to replace our CROs, which may result in the delay of the affected trials or otherwise adversely affect our efforts to obtain regulatory approvals and commercialize our product candidates.</w:t>
      </w:r>
    </w:p>
    <w:p>
      <w:pPr>
        <w:spacing w:after="0" w:line="13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67"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84" w:lineRule="exact"/>
        <w:rPr>
          <w:sz w:val="20"/>
          <w:szCs w:val="20"/>
          <w:color w:val="auto"/>
        </w:rPr>
      </w:pPr>
    </w:p>
    <w:p>
      <w:pPr>
        <w:ind w:right="280" w:firstLine="401"/>
        <w:spacing w:after="0" w:line="254"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760" w:firstLine="401"/>
        <w:spacing w:after="0" w:line="261"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and require significant expense and management time.</w:t>
      </w:r>
    </w:p>
    <w:p>
      <w:pPr>
        <w:spacing w:after="0" w:line="12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573BA"/>
        </w:rPr>
        <w:t>The illegal distribution and sale by third-parties of counterfeit or unfit versions of our products or stolen products could have a negative impact on our reputation and business.</w:t>
      </w:r>
    </w:p>
    <w:p>
      <w:pPr>
        <w:spacing w:after="0" w:line="67" w:lineRule="exact"/>
        <w:rPr>
          <w:sz w:val="20"/>
          <w:szCs w:val="20"/>
          <w:color w:val="auto"/>
        </w:rPr>
      </w:pPr>
    </w:p>
    <w:p>
      <w:pPr>
        <w:ind w:right="40" w:firstLine="401"/>
        <w:spacing w:after="0" w:line="253" w:lineRule="auto"/>
        <w:rPr>
          <w:sz w:val="20"/>
          <w:szCs w:val="20"/>
          <w:color w:val="auto"/>
        </w:rPr>
      </w:pPr>
      <w:r>
        <w:rPr>
          <w:rFonts w:ascii="Arial" w:cs="Arial" w:eastAsia="Arial" w:hAnsi="Arial"/>
          <w:sz w:val="18"/>
          <w:szCs w:val="18"/>
          <w:color w:val="auto"/>
        </w:rPr>
        <w:t>Third-parties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85" w:lineRule="exact"/>
        <w:rPr>
          <w:sz w:val="20"/>
          <w:szCs w:val="20"/>
          <w:color w:val="auto"/>
        </w:rPr>
      </w:pPr>
    </w:p>
    <w:p>
      <w:pPr>
        <w:ind w:firstLine="401"/>
        <w:spacing w:after="0" w:line="221"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26"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increasingly dependent upon technology systems and data to operate our business. The COVID-19 pandemic has caused us to modify our business practices in ways that heighten this dependence, including changing the requirement that most of our office-based employees in the U.S. and our other key markets work from the office.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Breakdowns, invasions, corruptions, destructions and/or breaches of our technology systems, including our cloud technologies, and/or unauthorized access to our data and information could subject us to liability, negatively impact our business operations, and/or require replacement of technology and/or ransom payments. Our technology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89"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when they impact vendors, customers or companies, including vendors, suppliers and other companies in our supply chain. They are often carried out by motivated, well-resourced, skilled and persistent actors, including nation states, organized crime groups, “hacktivists” and employees or contractors acting with careless or malicious intent. Cyber-attacks include deployment of harmful malware and key loggers, ransomware, a denial-of-service attack, a malicious website,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providers to adequately safeguard their systems and prevent cyber-attacks could disrupt our operations and result in misappropriation, corruption or loss of confidential or propriety information.</w:t>
      </w:r>
    </w:p>
    <w:p>
      <w:pPr>
        <w:spacing w:after="0" w:line="6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15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California Consumer Privacy Act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13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2573BA"/>
        </w:rPr>
        <w:t>Management and other personnel changes may disrupt our operations, and we may have difficulty retaining personnel or attracting and retaining qualified replacements on a timely basis for the management and other personnel who may leave the Company.</w:t>
      </w:r>
    </w:p>
    <w:p>
      <w:pPr>
        <w:spacing w:after="0" w:line="85" w:lineRule="exact"/>
        <w:rPr>
          <w:sz w:val="20"/>
          <w:szCs w:val="20"/>
          <w:color w:val="auto"/>
        </w:rPr>
      </w:pPr>
    </w:p>
    <w:p>
      <w:pPr>
        <w:ind w:right="480" w:firstLine="405"/>
        <w:spacing w:after="0" w:line="254"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15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Our success is dependent upon our ability to attract and retain qualified management and key personnel in a highly competitive environment. Qualified individuals are in high demand, and we may incur significant costs to attract or retain them. We may face difficulty in attracting and retaining talent for a number of reasons, including management changes, the underperformance or discontinuation of one or more marketed or late stage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13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53"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740" w:right="100" w:hanging="327"/>
        <w:spacing w:after="0" w:line="253"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97" w:lineRule="exact"/>
        <w:rPr>
          <w:rFonts w:ascii="Arial" w:cs="Arial" w:eastAsia="Arial" w:hAnsi="Arial"/>
          <w:sz w:val="18"/>
          <w:szCs w:val="18"/>
          <w:color w:val="auto"/>
        </w:rPr>
      </w:pPr>
    </w:p>
    <w:p>
      <w:pPr>
        <w:ind w:left="740" w:right="580" w:hanging="327"/>
        <w:spacing w:after="0" w:line="261"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89" w:lineRule="exact"/>
        <w:rPr>
          <w:rFonts w:ascii="Arial" w:cs="Arial" w:eastAsia="Arial" w:hAnsi="Arial"/>
          <w:sz w:val="18"/>
          <w:szCs w:val="18"/>
          <w:color w:val="auto"/>
        </w:rPr>
      </w:pPr>
    </w:p>
    <w:p>
      <w:pPr>
        <w:ind w:left="740" w:right="180" w:hanging="327"/>
        <w:spacing w:after="0" w:line="261"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89" w:lineRule="exact"/>
        <w:rPr>
          <w:rFonts w:ascii="Arial" w:cs="Arial" w:eastAsia="Arial" w:hAnsi="Arial"/>
          <w:sz w:val="18"/>
          <w:szCs w:val="18"/>
          <w:color w:val="auto"/>
        </w:rPr>
      </w:pPr>
    </w:p>
    <w:p>
      <w:pPr>
        <w:ind w:left="740" w:right="40" w:hanging="327"/>
        <w:spacing w:after="0" w:line="254"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95" w:lineRule="exact"/>
        <w:rPr>
          <w:rFonts w:ascii="Arial" w:cs="Arial" w:eastAsia="Arial" w:hAnsi="Arial"/>
          <w:sz w:val="18"/>
          <w:szCs w:val="18"/>
          <w:color w:val="auto"/>
        </w:rPr>
      </w:pPr>
    </w:p>
    <w:p>
      <w:pPr>
        <w:ind w:left="740" w:right="60" w:hanging="327"/>
        <w:spacing w:after="0" w:line="278"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3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2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and unfamiliar operations and arrangements previously utilized by companies we collaborate with or acquire in emerging markets.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740" w:right="540" w:hanging="327"/>
        <w:spacing w:after="0" w:line="261"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right="16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or receive price increases, including those resulting from governmental or regulatory requirements;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complexity in manufacturing internationally;</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740" w:right="50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740" w:right="8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89" w:lineRule="exact"/>
        <w:rPr>
          <w:rFonts w:ascii="Arial" w:cs="Arial" w:eastAsia="Arial" w:hAnsi="Arial"/>
          <w:sz w:val="18"/>
          <w:szCs w:val="18"/>
          <w:color w:val="auto"/>
        </w:rPr>
      </w:pPr>
    </w:p>
    <w:p>
      <w:pPr>
        <w:ind w:left="740" w:right="24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United Kingdom (U.K.), including the U.K. Bribery Act 2010, and elsewhere and escalation of investigations and prosecutions pursuant to such laws;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04" w:lineRule="exact"/>
        <w:rPr>
          <w:sz w:val="20"/>
          <w:szCs w:val="20"/>
          <w:color w:val="auto"/>
        </w:rPr>
      </w:pPr>
    </w:p>
    <w:p>
      <w:pPr>
        <w:ind w:right="60" w:firstLine="405"/>
        <w:spacing w:after="0" w:line="221" w:lineRule="auto"/>
        <w:rPr>
          <w:sz w:val="20"/>
          <w:szCs w:val="20"/>
          <w:color w:val="auto"/>
        </w:rPr>
      </w:pPr>
      <w:r>
        <w:rPr>
          <w:rFonts w:ascii="Arial" w:cs="Arial" w:eastAsia="Arial" w:hAnsi="Arial"/>
          <w:sz w:val="18"/>
          <w:szCs w:val="18"/>
          <w:color w:val="auto"/>
        </w:rPr>
        <w:t>In addition, our international operations are subject to regulation under U.S. law. For example, the U.S.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which will result in the incurrence of significant investment with no assurance that such investment will be recouped.</w:t>
      </w:r>
    </w:p>
    <w:p>
      <w:pPr>
        <w:spacing w:after="0" w:line="5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spacing w:after="0" w:line="67"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continue to occur and would have a negative effect on our financial condition and results of operations.</w:t>
      </w:r>
    </w:p>
    <w:p>
      <w:pPr>
        <w:spacing w:after="0" w:line="63"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Although a portion of the Solothurn facility received a GMP multi-product license from SWISSMEDIC in May 2021, the manufacturing of a product or product candidate at the Solothurn facility must be approved by the applicable regulatory agencies, including the FDA. There can be no assurance that the regulatory authorities will approve the Solothurn facility for the manufacturing of a product or a product candidate. If we do not receive the necessary regulatory approvals of the Solothurn facility or if our future growth and drug development plans increase, we may not have sufficient large-scale manufacturing capacity to meet our long-term manufacturing requirements.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ind w:left="740" w:hanging="327"/>
        <w:spacing w:after="0" w:line="221"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Third-Parties and Single Source Providers. </w:t>
      </w:r>
      <w:r>
        <w:rPr>
          <w:rFonts w:ascii="Arial" w:cs="Arial" w:eastAsia="Arial" w:hAnsi="Arial"/>
          <w:sz w:val="18"/>
          <w:szCs w:val="18"/>
          <w:color w:val="auto"/>
        </w:rPr>
        <w:t>We rely on third-party suppliers and manufacturers for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our manufacturing process for our products and product candidates. In some cases, due to the unique manner in which our products are manufactured, we rely on single source providers of raw materials and manufacturing supplies. These third-parties are independent entities subject to their own unique operational and financial risks that are outside of our control.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 Furthermore, factors such as the COVID-19 pandemic, weather events, labor or raw material shortages and other supply chain disruptions could result in difficulties and delays in manufacturing our products, which could have an adverse impact on our results in operations or result in product shortages.</w:t>
      </w:r>
    </w:p>
    <w:p>
      <w:pPr>
        <w:spacing w:after="0" w:line="70" w:lineRule="exact"/>
        <w:rPr>
          <w:rFonts w:ascii="Arial" w:cs="Arial" w:eastAsia="Arial" w:hAnsi="Arial"/>
          <w:sz w:val="18"/>
          <w:szCs w:val="18"/>
          <w:color w:val="auto"/>
        </w:rPr>
      </w:pPr>
    </w:p>
    <w:p>
      <w:pPr>
        <w:ind w:left="740" w:right="160" w:hanging="327"/>
        <w:spacing w:after="0" w:line="232"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product candidates. Our global bulk supply of these products and product candidates depends on the uninterrupted and efficient operation of these facilities, which could be adversely affected by equipment failures, labor or raw material shortages, public health epidemics, natural disasters, power failures, cyber-attacks and many other factors.</w:t>
      </w:r>
    </w:p>
    <w:p>
      <w:pPr>
        <w:spacing w:after="0" w:line="77" w:lineRule="exact"/>
        <w:rPr>
          <w:rFonts w:ascii="Arial" w:cs="Arial" w:eastAsia="Arial" w:hAnsi="Arial"/>
          <w:sz w:val="18"/>
          <w:szCs w:val="18"/>
          <w:color w:val="auto"/>
        </w:rPr>
      </w:pPr>
    </w:p>
    <w:p>
      <w:pPr>
        <w:ind w:left="740" w:right="100" w:hanging="327"/>
        <w:spacing w:after="0" w:line="255"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GMP (cGMP). </w:t>
      </w:r>
      <w:r>
        <w:rPr>
          <w:rFonts w:ascii="Arial" w:cs="Arial" w:eastAsia="Arial" w:hAnsi="Arial"/>
          <w:sz w:val="18"/>
          <w:szCs w:val="18"/>
          <w:color w:val="auto"/>
        </w:rPr>
        <w:t>We and our third-party providers are generally required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80" w:lineRule="exact"/>
        <w:rPr>
          <w:rFonts w:ascii="Arial" w:cs="Arial" w:eastAsia="Arial" w:hAnsi="Arial"/>
          <w:sz w:val="18"/>
          <w:szCs w:val="18"/>
          <w:color w:val="auto"/>
        </w:rPr>
      </w:pPr>
    </w:p>
    <w:p>
      <w:pPr>
        <w:ind w:left="740" w:right="300" w:hanging="327"/>
        <w:spacing w:after="0" w:line="258"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75" w:lineRule="exact"/>
        <w:rPr>
          <w:rFonts w:ascii="Arial" w:cs="Arial" w:eastAsia="Arial" w:hAnsi="Arial"/>
          <w:sz w:val="18"/>
          <w:szCs w:val="18"/>
          <w:color w:val="auto"/>
        </w:rPr>
      </w:pPr>
    </w:p>
    <w:p>
      <w:pPr>
        <w:ind w:left="740" w:right="540" w:hanging="327"/>
        <w:spacing w:after="0" w:line="266"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Risk Relating to Government Actions</w:t>
      </w:r>
      <w:r>
        <w:rPr>
          <w:rFonts w:ascii="Arial" w:cs="Arial" w:eastAsia="Arial" w:hAnsi="Arial"/>
          <w:sz w:val="18"/>
          <w:szCs w:val="18"/>
          <w:color w:val="auto"/>
        </w:rPr>
        <w:t>. We and/or our third-party providers may be required by the U.S. federal government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medical supplies needed to treat COVID-19 patients under the Defense Production Act or other acts or orders of government entities, which may result in delays in the manufacturing and supply of our products.</w:t>
      </w:r>
    </w:p>
    <w:p>
      <w:pPr>
        <w:spacing w:after="0" w:line="8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00"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12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2573BA"/>
        </w:rPr>
        <w:t>The ongoing COVID-19 pandemic may, directly or indirectly, adversely affect our business, results of operations and financial condition.</w:t>
      </w:r>
    </w:p>
    <w:p>
      <w:pPr>
        <w:spacing w:after="0" w:line="40"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Our business has and could continue to be adversely affected, directly or indirectly, by the ongoing COVID-19 pandemic. National, state and local governments have implemented and may continue to implement safety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precautions. These measures may disrupt normal business operations and may have significant negative impacts on businesses and financial markets worldwide.</w:t>
      </w:r>
    </w:p>
    <w:p>
      <w:pPr>
        <w:spacing w:after="0" w:line="63"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we have made modifications to our normal operations because of the COVID-19 pandemic, including limiting travel and working from home. We have also suspended the vast majority of our in-person interactions by our customer-facing professionals in healthcare settings. This limits our ability to market our products and educate physicians, which, in turn, could have an adverse effect on our ability to compete in the marketing and sales of our products.</w:t>
      </w:r>
    </w:p>
    <w:p>
      <w:pPr>
        <w:spacing w:after="0" w:line="6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82" w:lineRule="exact"/>
        <w:rPr>
          <w:sz w:val="20"/>
          <w:szCs w:val="20"/>
          <w:color w:val="auto"/>
        </w:rPr>
      </w:pPr>
    </w:p>
    <w:p>
      <w:pPr>
        <w:ind w:right="500" w:firstLine="405"/>
        <w:spacing w:after="0" w:line="254"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third-parties we rely on. Furthermore, delays and disruptions experienced by our collaborators, joint venture partners or other third-parties due to the COVID-19 pandemic could adversely impact the ability of such parties to fulfill their obligations, which could affect product sales or the clinical development or regulatory approvals of product candidates under joint control.</w:t>
      </w:r>
    </w:p>
    <w:p>
      <w:pPr>
        <w:spacing w:after="0" w:line="96" w:lineRule="exact"/>
        <w:rPr>
          <w:sz w:val="20"/>
          <w:szCs w:val="20"/>
          <w:color w:val="auto"/>
        </w:rPr>
      </w:pPr>
    </w:p>
    <w:p>
      <w:pPr>
        <w:ind w:right="20" w:firstLine="405"/>
        <w:spacing w:after="0" w:line="237" w:lineRule="auto"/>
        <w:rPr>
          <w:sz w:val="20"/>
          <w:szCs w:val="20"/>
          <w:color w:val="auto"/>
        </w:rPr>
      </w:pPr>
      <w:r>
        <w:rPr>
          <w:rFonts w:ascii="Arial" w:cs="Arial" w:eastAsia="Arial" w:hAnsi="Arial"/>
          <w:sz w:val="18"/>
          <w:szCs w:val="18"/>
          <w:color w:val="auto"/>
        </w:rPr>
        <w:t>Our ability to continue our existing clinical trials or to initiate new clinical trials has been and may continue to be adversely affected, directly or indirectly, by the COVID-19 pandemic. Restrictions on travel and/or transport of clinical materials as well as diversion of hospital staff and resources to COVID-19 infected patients could disrupt trial operations and recruitment, possibly resulting in a slowdown in enrollment and/or deviations from or disruptions in key clinical trial activities, such as clinical trial site monitoring. These challenges may lead to difficulties in meeting protocol-specified procedures. We may need to make certain adjustments to the operation of clinical trials in an effort to minimize risks to trial data integrity during the COVID-19 pandemic. In addition, the impact of the COVID-19 pandemic on the operations of the FDA and other health authorities may delay potential approvals of our product candidates.</w:t>
      </w:r>
    </w:p>
    <w:p>
      <w:pPr>
        <w:spacing w:after="0" w:line="9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 response to the COVID-19 pandemic, legislation has been enacted aimed at providing emergency assistance and health care for individuals, families and businesses and broadly supporting the U.S. economy. Additional state and federal healthcare reform measures may be adopted in the future, any of which could limit the amounts that federal and state governments will pay for healthcare products and services, which could result in reduced demand for our products or additional pricing pressures and have a financial impact on our business that we cannot predict.</w:t>
      </w:r>
    </w:p>
    <w:p>
      <w:pPr>
        <w:spacing w:after="0" w:line="70"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will have on our business, operations, employees, customers, suppliers or collaboration partners, continued spread of COVID-19, measures taken by governments, actions taken to protect employees and the broad impact of the pandemic on all business activities may materially and adversely affect our business, supply chain and distribution systems, results of operations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w:t>
      </w:r>
      <w:r>
        <w:rPr>
          <w:rFonts w:ascii="Arial" w:cs="Arial" w:eastAsia="Arial" w:hAnsi="Arial"/>
          <w:sz w:val="21"/>
          <w:szCs w:val="21"/>
          <w:b w:val="1"/>
          <w:bCs w:val="1"/>
          <w:color w:val="008080"/>
        </w:rPr>
        <w:t>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2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be required to record, charges that include:</w:t>
      </w:r>
    </w:p>
    <w:p>
      <w:pPr>
        <w:spacing w:after="0" w:line="94" w:lineRule="exact"/>
        <w:rPr>
          <w:sz w:val="20"/>
          <w:szCs w:val="20"/>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740" w:right="68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in-process research and development (IPR&amp;D) and other intangible assets;</w:t>
      </w:r>
    </w:p>
    <w:p>
      <w:pPr>
        <w:spacing w:after="0" w:line="89" w:lineRule="exact"/>
        <w:rPr>
          <w:rFonts w:ascii="Arial" w:cs="Arial" w:eastAsia="Arial" w:hAnsi="Arial"/>
          <w:sz w:val="18"/>
          <w:szCs w:val="18"/>
          <w:color w:val="auto"/>
        </w:rPr>
      </w:pPr>
    </w:p>
    <w:p>
      <w:pPr>
        <w:ind w:left="740" w:right="20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recurring charges for excess or obsolete inventory and charges for inventory write-downs relating to product suspensions, expirations or recalls;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74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hanging="287"/>
        <w:spacing w:after="0"/>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740" w:right="440" w:hanging="327"/>
        <w:spacing w:after="0" w:line="261"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9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2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12"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2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 reduction in repurchases under, or the completion of, our share repurchase programs could have a negative effect on our stock price. We can provide no assurance that we will repurchase shares at favorable prices, if at all.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2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Changes in credit ratings issued by nationally recognized credit rating agencies could also adversely affect our cost of financing and the market price of our securities.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26"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90" w:lineRule="exact"/>
        <w:rPr>
          <w:sz w:val="20"/>
          <w:szCs w:val="20"/>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740" w:right="100" w:hanging="327"/>
        <w:spacing w:after="0" w:line="256"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93" w:lineRule="exact"/>
        <w:rPr>
          <w:rFonts w:ascii="Arial" w:cs="Arial" w:eastAsia="Arial" w:hAnsi="Arial"/>
          <w:sz w:val="18"/>
          <w:szCs w:val="18"/>
          <w:color w:val="auto"/>
        </w:rPr>
      </w:pPr>
    </w:p>
    <w:p>
      <w:pPr>
        <w:ind w:left="740" w:right="100" w:hanging="327"/>
        <w:spacing w:after="0" w:line="261"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third-party from attempting to acquire us.</w:t>
      </w:r>
    </w:p>
    <w:p>
      <w:pPr>
        <w:spacing w:after="0" w:line="67" w:lineRule="exact"/>
        <w:rPr>
          <w:sz w:val="20"/>
          <w:szCs w:val="20"/>
          <w:color w:val="auto"/>
        </w:rPr>
      </w:pPr>
    </w:p>
    <w:p>
      <w:pPr>
        <w:ind w:right="140" w:firstLine="202"/>
        <w:spacing w:after="0" w:line="254"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3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(including those related to the impact of the Tax Cuts and Jobs Act of 2017), adjustments to the value of our uncertain tax positions, interpretations by tax authorities or other bodies with jurisdiction, the result of tax cases, changes in accounting for income taxes and changes in tax laws and regulations either prospectively or retrospectively.</w:t>
      </w:r>
    </w:p>
    <w:p>
      <w:pPr>
        <w:spacing w:after="0" w:line="86"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90"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enactment of some or all of the recommendations set forth or that may be forthcoming in the Organization for Economic Cooperation and Development’s project on “Base Erosion and Profit Shifting” (BEPS) by tax authorities and economic blocs in the countries in which we operate, could unfavorably impact our effective tax rate. These initiatives focus on common international principles for the entitlement to taxation of global corporate profits and minimum global tax rates.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1C5A7D"/>
        </w:rPr>
        <w:t>ITEM 1B.</w:t>
      </w:r>
      <w:r>
        <w:rPr>
          <w:sz w:val="20"/>
          <w:szCs w:val="20"/>
          <w:color w:val="auto"/>
        </w:rPr>
        <w:tab/>
      </w:r>
      <w:r>
        <w:rPr>
          <w:rFonts w:ascii="Arial" w:cs="Arial" w:eastAsia="Arial" w:hAnsi="Arial"/>
          <w:sz w:val="21"/>
          <w:szCs w:val="21"/>
          <w:b w:val="1"/>
          <w:bCs w:val="1"/>
          <w:color w:val="1C5A7D"/>
        </w:rPr>
        <w:t>UNRESOLVED STAFF COMMENTS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1C5A7D"/>
        </w:rPr>
        <w:t>ITEM 2.</w:t>
      </w:r>
      <w:r>
        <w:rPr>
          <w:sz w:val="20"/>
          <w:szCs w:val="20"/>
          <w:color w:val="auto"/>
        </w:rPr>
        <w:tab/>
      </w:r>
      <w:r>
        <w:rPr>
          <w:rFonts w:ascii="Arial" w:cs="Arial" w:eastAsia="Arial" w:hAnsi="Arial"/>
          <w:sz w:val="21"/>
          <w:szCs w:val="21"/>
          <w:b w:val="1"/>
          <w:bCs w:val="1"/>
          <w:color w:val="1C5A7D"/>
        </w:rPr>
        <w:t>PROPERTIES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owned and leased properties as of December 31,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Massachusetts</w:t>
      </w:r>
    </w:p>
    <w:p>
      <w:pPr>
        <w:spacing w:after="0" w:line="126" w:lineRule="exact"/>
        <w:rPr>
          <w:sz w:val="20"/>
          <w:szCs w:val="20"/>
          <w:color w:val="auto"/>
        </w:rPr>
      </w:pPr>
    </w:p>
    <w:p>
      <w:pPr>
        <w:jc w:val="both"/>
        <w:ind w:right="440" w:firstLine="445"/>
        <w:spacing w:after="0" w:line="256" w:lineRule="auto"/>
        <w:rPr>
          <w:sz w:val="20"/>
          <w:szCs w:val="20"/>
          <w:color w:val="auto"/>
        </w:rPr>
      </w:pPr>
      <w:r>
        <w:rPr>
          <w:rFonts w:ascii="Arial" w:cs="Arial" w:eastAsia="Arial" w:hAnsi="Arial"/>
          <w:sz w:val="18"/>
          <w:szCs w:val="18"/>
          <w:color w:val="auto"/>
        </w:rPr>
        <w:t>In Cambridge, MA we own approximately 508,000 square feet of real estate space, consisting of a building that houses a research laboratory and a cogeneration plant totaling approximately 263,000 square feet and a building that contains research, development and quality laboratories totaling approximately 245,000 square feet.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a total of approximately 1,157,000 square feet in Massachusetts, which is summarized as follows:</w:t>
      </w:r>
    </w:p>
    <w:p>
      <w:pPr>
        <w:spacing w:after="0" w:line="171" w:lineRule="exact"/>
        <w:rPr>
          <w:sz w:val="20"/>
          <w:szCs w:val="20"/>
          <w:color w:val="auto"/>
        </w:rPr>
      </w:pPr>
    </w:p>
    <w:p>
      <w:pPr>
        <w:ind w:left="740" w:right="100" w:hanging="327"/>
        <w:spacing w:after="0" w:line="256"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800,000 square feet in Cambridge, MA, which is comprised of offices for our corporate headquarters and other administrative and development functions and laboratories, of which 289,000 square feet is subleased by multiple companies for general office space, laboratories and manufacturing facilities; and</w:t>
      </w:r>
    </w:p>
    <w:p>
      <w:pPr>
        <w:spacing w:after="0" w:line="147" w:lineRule="exact"/>
        <w:rPr>
          <w:rFonts w:ascii="Arial" w:cs="Arial" w:eastAsia="Arial" w:hAnsi="Arial"/>
          <w:sz w:val="18"/>
          <w:szCs w:val="18"/>
          <w:color w:val="auto"/>
        </w:rPr>
      </w:pPr>
    </w:p>
    <w:p>
      <w:pPr>
        <w:ind w:left="740" w:right="340" w:hanging="327"/>
        <w:spacing w:after="0" w:line="261"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357,000 square feet of office space in Weston, MA, of which 174,000 square feet is subleased through the remaining term of our lease agreement.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Massachusetts lease agreements expire at various dates through the year 2028.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North Carolina</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RTP, NC we own approximately 1,040,000 square feet of real estate space, which is summarized as follows:</w:t>
      </w:r>
    </w:p>
    <w:p>
      <w:pPr>
        <w:spacing w:after="0" w:line="171" w:lineRule="exact"/>
        <w:rPr>
          <w:sz w:val="20"/>
          <w:szCs w:val="20"/>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357,000 square feet of laboratory and office space;</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206,000 square foot multi-purpose facility, including an ASO manufacturing suite and administrative space;</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175,000 square feet related to a large-scale biologics manufacturing facility;</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105,000 square feet related to a small-scale biologics manufacturing facility;</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84,000 square feet of warehouse space and utilities;</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70,000 square feet related to a parenteral fill-finish facility; and</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43,000 square feet related to a large-scale purification facility.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lease approximately 65,000 square feet of warehouse space and 103,000 square feet of office space in Durham, 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North Carolina lease agreements expire at various dates through the year 2031.</w:t>
      </w:r>
    </w:p>
    <w:p>
      <w:pPr>
        <w:spacing w:after="0" w:line="171"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In March 2021 we announced our plans to build a new gene therapy manufacturing facility in RTP, NC to support our gene therapy pipeline across multiple therapeutic areas. The new facility will be 175,000 square feet and is expected to be operational by the end of 2023, with an estimated total investment of $200.0 million. Construction for this new facility began during the fourth quarter of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Switzerland</w:t>
      </w:r>
    </w:p>
    <w:p>
      <w:pPr>
        <w:spacing w:after="0" w:line="12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Upon completion, the facility will include 393,000 square feet related to a large-scale biologics manufacturing facility, 290,000 square feet of warehouse, utilities and support space and 51,000 square feet of administrative space. In the second quarter of 2021 a portion of the facility received a GMP multi-product license from SWISSMEDIC.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International</w:t>
      </w:r>
    </w:p>
    <w:p>
      <w:pPr>
        <w:spacing w:after="0" w:line="12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lease office space in Baar, Switzerland, our international headquarters; the U.K.; Germany; France; Japan; Canada and numerous other countries. Our international lease agreements expire at various dates through the year 2031.</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1C5A7D"/>
        </w:rPr>
        <w:t>ITEM 3.</w:t>
      </w:r>
      <w:r>
        <w:rPr>
          <w:sz w:val="20"/>
          <w:szCs w:val="20"/>
          <w:color w:val="auto"/>
        </w:rPr>
        <w:tab/>
      </w:r>
      <w:r>
        <w:rPr>
          <w:rFonts w:ascii="Arial" w:cs="Arial" w:eastAsia="Arial" w:hAnsi="Arial"/>
          <w:sz w:val="21"/>
          <w:szCs w:val="21"/>
          <w:b w:val="1"/>
          <w:bCs w:val="1"/>
          <w:color w:val="1C5A7D"/>
        </w:rPr>
        <w:t>LEGAL PROCEEDINGS</w:t>
      </w:r>
    </w:p>
    <w:p>
      <w:pPr>
        <w:spacing w:after="0" w:line="98"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 discussion of legal matters as of December 31, 2021,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 which is incorporated into this item by reference.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1C5A7D"/>
        </w:rPr>
        <w:t>ITEM 4.</w:t>
      </w:r>
      <w:r>
        <w:rPr>
          <w:sz w:val="20"/>
          <w:szCs w:val="20"/>
          <w:color w:val="auto"/>
        </w:rPr>
        <w:tab/>
      </w:r>
      <w:r>
        <w:rPr>
          <w:rFonts w:ascii="Arial" w:cs="Arial" w:eastAsia="Arial" w:hAnsi="Arial"/>
          <w:sz w:val="21"/>
          <w:szCs w:val="21"/>
          <w:b w:val="1"/>
          <w:bCs w:val="1"/>
          <w:color w:val="1C5A7D"/>
        </w:rPr>
        <w:t>MINE SAFETY DISCLOSURES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PART II</w:t>
      </w:r>
    </w:p>
    <w:p>
      <w:pPr>
        <w:spacing w:after="0" w:line="30" w:lineRule="exact"/>
        <w:rPr>
          <w:sz w:val="20"/>
          <w:szCs w:val="20"/>
          <w:color w:val="auto"/>
        </w:rPr>
      </w:pPr>
    </w:p>
    <w:p>
      <w:pPr>
        <w:ind w:right="680"/>
        <w:spacing w:after="0" w:line="249" w:lineRule="auto"/>
        <w:rPr>
          <w:sz w:val="20"/>
          <w:szCs w:val="20"/>
          <w:color w:val="auto"/>
        </w:rPr>
      </w:pPr>
      <w:r>
        <w:rPr>
          <w:rFonts w:ascii="Arial" w:cs="Arial" w:eastAsia="Arial" w:hAnsi="Arial"/>
          <w:sz w:val="22"/>
          <w:szCs w:val="22"/>
          <w:b w:val="1"/>
          <w:bCs w:val="1"/>
          <w:color w:val="1C5A7D"/>
        </w:rPr>
        <w:t>ITEM 5. MARKET FOR REGISTRANT'S COMMON EQUITY, RELATED STOCKHOLDER MATTERS AND ISSUER PURCHASES OF EQUITY SECURITIES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Market and Stockholder Information</w:t>
      </w:r>
    </w:p>
    <w:p>
      <w:pPr>
        <w:spacing w:after="0" w:line="103" w:lineRule="exact"/>
        <w:rPr>
          <w:sz w:val="20"/>
          <w:szCs w:val="20"/>
          <w:color w:val="auto"/>
        </w:rPr>
      </w:pPr>
    </w:p>
    <w:p>
      <w:pPr>
        <w:ind w:right="880" w:firstLine="445"/>
        <w:spacing w:after="0" w:line="261" w:lineRule="auto"/>
        <w:rPr>
          <w:sz w:val="20"/>
          <w:szCs w:val="20"/>
          <w:color w:val="auto"/>
        </w:rPr>
      </w:pPr>
      <w:r>
        <w:rPr>
          <w:rFonts w:ascii="Arial" w:cs="Arial" w:eastAsia="Arial" w:hAnsi="Arial"/>
          <w:sz w:val="18"/>
          <w:szCs w:val="18"/>
          <w:color w:val="auto"/>
        </w:rPr>
        <w:t>Our common stock trades on The Nasdaq Global Select Market under the symbol “BIIB.” As of February 2, 2022, there were approximately 479 shareholders of record of our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Dividends</w:t>
      </w:r>
    </w:p>
    <w:p>
      <w:pPr>
        <w:spacing w:after="0" w:line="116"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share repurchases and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Issuer Purchases of Equity Securities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2021:</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8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rPr>
              <w:t>Average Price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rPr>
              <w:t>as Part of Publicly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ind w:left="328"/>
              <w:spacing w:after="0" w:line="135" w:lineRule="exact"/>
              <w:rPr>
                <w:sz w:val="20"/>
                <w:szCs w:val="20"/>
                <w:color w:val="auto"/>
              </w:rPr>
            </w:pPr>
            <w:r>
              <w:rPr>
                <w:rFonts w:ascii="Arial" w:cs="Arial" w:eastAsia="Arial" w:hAnsi="Arial"/>
                <w:sz w:val="14"/>
                <w:szCs w:val="14"/>
                <w:b w:val="1"/>
                <w:bCs w:val="1"/>
                <w:color w:val="auto"/>
              </w:rPr>
              <w:t>Paid per Share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Announced Programs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76"/>
        </w:trPr>
        <w:tc>
          <w:tcPr>
            <w:tcW w:w="212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76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9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Our Programs ($</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3"/>
        </w:trPr>
        <w:tc>
          <w:tcPr>
            <w:tcW w:w="2120" w:type="dxa"/>
            <w:vAlign w:val="bottom"/>
          </w:tcPr>
          <w:p>
            <w:pPr>
              <w:ind w:left="20"/>
              <w:spacing w:after="0"/>
              <w:rPr>
                <w:sz w:val="20"/>
                <w:szCs w:val="20"/>
                <w:color w:val="auto"/>
              </w:rPr>
            </w:pPr>
            <w:r>
              <w:rPr>
                <w:rFonts w:ascii="Arial" w:cs="Arial" w:eastAsia="Arial" w:hAnsi="Arial"/>
                <w:sz w:val="14"/>
                <w:szCs w:val="14"/>
                <w:color w:val="auto"/>
              </w:rPr>
              <w:t>October 2021</w:t>
            </w:r>
          </w:p>
        </w:tc>
        <w:tc>
          <w:tcPr>
            <w:tcW w:w="1840" w:type="dxa"/>
            <w:vAlign w:val="bottom"/>
            <w:shd w:val="clear" w:color="auto" w:fill="DDDDDD"/>
          </w:tcPr>
          <w:p>
            <w:pPr>
              <w:spacing w:after="0"/>
              <w:rPr>
                <w:sz w:val="15"/>
                <w:szCs w:val="15"/>
                <w:color w:val="auto"/>
              </w:rPr>
            </w:pPr>
          </w:p>
        </w:tc>
        <w:tc>
          <w:tcPr>
            <w:tcW w:w="300" w:type="dxa"/>
            <w:vAlign w:val="bottom"/>
            <w:shd w:val="clear" w:color="auto" w:fill="DDDDDD"/>
          </w:tcPr>
          <w:p>
            <w:pPr>
              <w:ind w:left="120"/>
              <w:spacing w:after="0"/>
              <w:rPr>
                <w:sz w:val="20"/>
                <w:szCs w:val="20"/>
                <w:color w:val="auto"/>
              </w:rPr>
            </w:pPr>
            <w:r>
              <w:rPr>
                <w:rFonts w:ascii="Arial" w:cs="Arial" w:eastAsia="Arial" w:hAnsi="Arial"/>
                <w:sz w:val="14"/>
                <w:szCs w:val="14"/>
                <w:color w:val="257ACB"/>
              </w:rPr>
              <w:t>—</w:t>
            </w:r>
          </w:p>
        </w:tc>
        <w:tc>
          <w:tcPr>
            <w:tcW w:w="1900" w:type="dxa"/>
            <w:vAlign w:val="bottom"/>
            <w:gridSpan w:val="3"/>
            <w:shd w:val="clear" w:color="auto" w:fill="DDDDDD"/>
          </w:tcPr>
          <w:p>
            <w:pPr>
              <w:jc w:val="right"/>
              <w:ind w:right="1588"/>
              <w:spacing w:after="0"/>
              <w:rPr>
                <w:sz w:val="20"/>
                <w:szCs w:val="20"/>
                <w:color w:val="auto"/>
              </w:rPr>
            </w:pPr>
            <w:r>
              <w:rPr>
                <w:rFonts w:ascii="Arial" w:cs="Arial" w:eastAsia="Arial" w:hAnsi="Arial"/>
                <w:sz w:val="14"/>
                <w:szCs w:val="14"/>
                <w:color w:val="257ACB"/>
              </w:rPr>
              <w:t>$</w:t>
            </w:r>
          </w:p>
        </w:tc>
        <w:tc>
          <w:tcPr>
            <w:tcW w:w="2420" w:type="dxa"/>
            <w:vAlign w:val="bottom"/>
            <w:gridSpan w:val="3"/>
            <w:shd w:val="clear" w:color="auto" w:fill="DDDDDD"/>
          </w:tcPr>
          <w:p>
            <w:pPr>
              <w:ind w:left="200"/>
              <w:spacing w:after="0"/>
              <w:rPr>
                <w:sz w:val="20"/>
                <w:szCs w:val="20"/>
                <w:color w:val="auto"/>
              </w:rPr>
            </w:pPr>
            <w:r>
              <w:rPr>
                <w:rFonts w:ascii="Arial" w:cs="Arial" w:eastAsia="Arial" w:hAnsi="Arial"/>
                <w:sz w:val="14"/>
                <w:szCs w:val="14"/>
                <w:color w:val="257ACB"/>
              </w:rPr>
              <w:t>—</w:t>
            </w:r>
          </w:p>
        </w:tc>
        <w:tc>
          <w:tcPr>
            <w:tcW w:w="38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2,800.0</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November 2021</w:t>
            </w:r>
          </w:p>
        </w:tc>
        <w:tc>
          <w:tcPr>
            <w:tcW w:w="1840" w:type="dxa"/>
            <w:vAlign w:val="bottom"/>
            <w:shd w:val="clear" w:color="auto" w:fill="DDDDDD"/>
          </w:tcPr>
          <w:p>
            <w:pPr>
              <w:spacing w:after="0"/>
              <w:rPr>
                <w:sz w:val="16"/>
                <w:szCs w:val="16"/>
                <w:color w:val="auto"/>
              </w:rPr>
            </w:pPr>
          </w:p>
        </w:tc>
        <w:tc>
          <w:tcPr>
            <w:tcW w:w="300" w:type="dxa"/>
            <w:vAlign w:val="bottom"/>
            <w:shd w:val="clear" w:color="auto" w:fill="DDDDDD"/>
          </w:tcPr>
          <w:p>
            <w:pPr>
              <w:ind w:left="120"/>
              <w:spacing w:after="0"/>
              <w:rPr>
                <w:sz w:val="20"/>
                <w:szCs w:val="20"/>
                <w:color w:val="auto"/>
              </w:rPr>
            </w:pPr>
            <w:r>
              <w:rPr>
                <w:rFonts w:ascii="Arial" w:cs="Arial" w:eastAsia="Arial" w:hAnsi="Arial"/>
                <w:sz w:val="14"/>
                <w:szCs w:val="14"/>
                <w:color w:val="257ACB"/>
              </w:rPr>
              <w:t>—</w:t>
            </w:r>
          </w:p>
        </w:tc>
        <w:tc>
          <w:tcPr>
            <w:tcW w:w="40" w:type="dxa"/>
            <w:vAlign w:val="bottom"/>
            <w:shd w:val="clear" w:color="auto" w:fill="DDDDDD"/>
          </w:tcPr>
          <w:p>
            <w:pPr>
              <w:spacing w:after="0"/>
              <w:rPr>
                <w:sz w:val="16"/>
                <w:szCs w:val="16"/>
                <w:color w:val="auto"/>
              </w:rPr>
            </w:pPr>
          </w:p>
        </w:tc>
        <w:tc>
          <w:tcPr>
            <w:tcW w:w="1860" w:type="dxa"/>
            <w:vAlign w:val="bottom"/>
            <w:gridSpan w:val="2"/>
            <w:shd w:val="clear" w:color="auto" w:fill="DDDDDD"/>
          </w:tcPr>
          <w:p>
            <w:pPr>
              <w:jc w:val="right"/>
              <w:ind w:right="1588"/>
              <w:spacing w:after="0"/>
              <w:rPr>
                <w:sz w:val="20"/>
                <w:szCs w:val="20"/>
                <w:color w:val="auto"/>
              </w:rPr>
            </w:pPr>
            <w:r>
              <w:rPr>
                <w:rFonts w:ascii="Arial" w:cs="Arial" w:eastAsia="Arial" w:hAnsi="Arial"/>
                <w:sz w:val="14"/>
                <w:szCs w:val="14"/>
                <w:color w:val="257ACB"/>
              </w:rPr>
              <w:t>$</w:t>
            </w:r>
          </w:p>
        </w:tc>
        <w:tc>
          <w:tcPr>
            <w:tcW w:w="2420" w:type="dxa"/>
            <w:vAlign w:val="bottom"/>
            <w:gridSpan w:val="3"/>
            <w:shd w:val="clear" w:color="auto" w:fill="DDDDDD"/>
          </w:tcPr>
          <w:p>
            <w:pPr>
              <w:ind w:left="200"/>
              <w:spacing w:after="0"/>
              <w:rPr>
                <w:sz w:val="20"/>
                <w:szCs w:val="20"/>
                <w:color w:val="auto"/>
              </w:rPr>
            </w:pPr>
            <w:r>
              <w:rPr>
                <w:rFonts w:ascii="Arial" w:cs="Arial" w:eastAsia="Arial" w:hAnsi="Arial"/>
                <w:sz w:val="14"/>
                <w:szCs w:val="14"/>
                <w:color w:val="257ACB"/>
              </w:rPr>
              <w:t>—</w:t>
            </w:r>
          </w:p>
        </w:tc>
        <w:tc>
          <w:tcPr>
            <w:tcW w:w="380" w:type="dxa"/>
            <w:vAlign w:val="bottom"/>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2,800.0</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4"/>
                <w:szCs w:val="14"/>
                <w:color w:val="auto"/>
              </w:rPr>
              <w:t>December 2021</w:t>
            </w:r>
          </w:p>
        </w:tc>
        <w:tc>
          <w:tcPr>
            <w:tcW w:w="1840" w:type="dxa"/>
            <w:vAlign w:val="bottom"/>
            <w:tcBorders>
              <w:bottom w:val="single" w:sz="8" w:color="auto"/>
            </w:tcBorders>
            <w:shd w:val="clear" w:color="auto" w:fill="DDDDDD"/>
          </w:tcPr>
          <w:p>
            <w:pPr>
              <w:spacing w:after="0"/>
              <w:rPr>
                <w:sz w:val="16"/>
                <w:szCs w:val="16"/>
                <w:color w:val="auto"/>
              </w:rPr>
            </w:pPr>
          </w:p>
        </w:tc>
        <w:tc>
          <w:tcPr>
            <w:tcW w:w="300" w:type="dxa"/>
            <w:vAlign w:val="bottom"/>
            <w:tcBorders>
              <w:bottom w:val="single" w:sz="8" w:color="auto"/>
            </w:tcBorders>
            <w:shd w:val="clear" w:color="auto" w:fill="DDDDDD"/>
          </w:tcPr>
          <w:p>
            <w:pPr>
              <w:ind w:left="120"/>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760" w:type="dxa"/>
            <w:vAlign w:val="bottom"/>
            <w:tcBorders>
              <w:bottom w:val="single" w:sz="8" w:color="auto"/>
            </w:tcBorders>
            <w:shd w:val="clear" w:color="auto" w:fill="DDDDDD"/>
          </w:tcPr>
          <w:p>
            <w:pPr>
              <w:jc w:val="right"/>
              <w:ind w:right="1588"/>
              <w:spacing w:after="0"/>
              <w:rPr>
                <w:sz w:val="20"/>
                <w:szCs w:val="20"/>
                <w:color w:val="auto"/>
              </w:rPr>
            </w:pPr>
            <w:r>
              <w:rPr>
                <w:rFonts w:ascii="Arial" w:cs="Arial" w:eastAsia="Arial" w:hAnsi="Arial"/>
                <w:sz w:val="14"/>
                <w:szCs w:val="14"/>
                <w:color w:val="257ACB"/>
              </w:rPr>
              <w:t>$</w:t>
            </w:r>
          </w:p>
        </w:tc>
        <w:tc>
          <w:tcPr>
            <w:tcW w:w="400" w:type="dxa"/>
            <w:vAlign w:val="bottom"/>
            <w:tcBorders>
              <w:bottom w:val="single" w:sz="8" w:color="auto"/>
            </w:tcBorders>
            <w:shd w:val="clear" w:color="auto" w:fill="DDDDDD"/>
          </w:tcPr>
          <w:p>
            <w:pPr>
              <w:ind w:left="200"/>
              <w:spacing w:after="0"/>
              <w:rPr>
                <w:sz w:val="20"/>
                <w:szCs w:val="20"/>
                <w:color w:val="auto"/>
              </w:rPr>
            </w:pPr>
            <w:r>
              <w:rPr>
                <w:rFonts w:ascii="Arial" w:cs="Arial" w:eastAsia="Arial" w:hAnsi="Arial"/>
                <w:sz w:val="14"/>
                <w:szCs w:val="14"/>
                <w:color w:val="257ACB"/>
              </w:rPr>
              <w:t>—</w:t>
            </w:r>
          </w:p>
        </w:tc>
        <w:tc>
          <w:tcPr>
            <w:tcW w:w="2020" w:type="dxa"/>
            <w:vAlign w:val="bottom"/>
            <w:tcBorders>
              <w:bottom w:val="single" w:sz="8" w:color="DDDDDD"/>
            </w:tcBorders>
            <w:gridSpan w:val="2"/>
            <w:shd w:val="clear" w:color="auto" w:fill="DDDDDD"/>
          </w:tcPr>
          <w:p>
            <w:pPr>
              <w:spacing w:after="0"/>
              <w:rPr>
                <w:sz w:val="16"/>
                <w:szCs w:val="16"/>
                <w:color w:val="auto"/>
              </w:rPr>
            </w:pPr>
          </w:p>
        </w:tc>
        <w:tc>
          <w:tcPr>
            <w:tcW w:w="380" w:type="dxa"/>
            <w:vAlign w:val="bottom"/>
            <w:tcBorders>
              <w:bottom w:val="single" w:sz="8" w:color="DDDDDD"/>
            </w:tcBorders>
            <w:gridSpan w:val="2"/>
            <w:shd w:val="clear" w:color="auto" w:fill="DDDDDD"/>
          </w:tcPr>
          <w:p>
            <w:pPr>
              <w:ind w:left="60"/>
              <w:spacing w:after="0"/>
              <w:rPr>
                <w:sz w:val="20"/>
                <w:szCs w:val="20"/>
                <w:color w:val="auto"/>
              </w:rPr>
            </w:pPr>
            <w:r>
              <w:rPr>
                <w:rFonts w:ascii="Arial" w:cs="Arial" w:eastAsia="Arial" w:hAnsi="Arial"/>
                <w:sz w:val="14"/>
                <w:szCs w:val="14"/>
                <w:color w:val="257ACB"/>
              </w:rPr>
              <w:t>—</w:t>
            </w:r>
          </w:p>
        </w:tc>
        <w:tc>
          <w:tcPr>
            <w:tcW w:w="1260" w:type="dxa"/>
            <w:vAlign w:val="bottom"/>
            <w:tcBorders>
              <w:bottom w:val="single" w:sz="8" w:color="DDDDDD"/>
            </w:tcBorders>
            <w:shd w:val="clear" w:color="auto" w:fill="DDDDDD"/>
          </w:tcPr>
          <w:p>
            <w:pPr>
              <w:jc w:val="right"/>
              <w:ind w:right="1088"/>
              <w:spacing w:after="0"/>
              <w:rPr>
                <w:sz w:val="20"/>
                <w:szCs w:val="20"/>
                <w:color w:val="auto"/>
              </w:rPr>
            </w:pPr>
            <w:r>
              <w:rPr>
                <w:rFonts w:ascii="Arial" w:cs="Arial" w:eastAsia="Arial" w:hAnsi="Arial"/>
                <w:sz w:val="14"/>
                <w:szCs w:val="14"/>
                <w:color w:val="257ACB"/>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257ACB"/>
              </w:rPr>
              <w:t>2,800.0</w:t>
            </w:r>
          </w:p>
        </w:tc>
        <w:tc>
          <w:tcPr>
            <w:tcW w:w="0" w:type="dxa"/>
            <w:vAlign w:val="bottom"/>
          </w:tcPr>
          <w:p>
            <w:pPr>
              <w:spacing w:after="0"/>
              <w:rPr>
                <w:sz w:val="1"/>
                <w:szCs w:val="1"/>
                <w:color w:val="auto"/>
              </w:rPr>
            </w:pPr>
          </w:p>
        </w:tc>
      </w:tr>
      <w:tr>
        <w:trPr>
          <w:trHeight w:val="203"/>
        </w:trPr>
        <w:tc>
          <w:tcPr>
            <w:tcW w:w="2120" w:type="dxa"/>
            <w:vAlign w:val="bottom"/>
          </w:tcPr>
          <w:p>
            <w:pPr>
              <w:ind w:left="14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1840" w:type="dxa"/>
            <w:vAlign w:val="bottom"/>
            <w:shd w:val="clear" w:color="auto" w:fill="DDDDDD"/>
          </w:tcPr>
          <w:p>
            <w:pPr>
              <w:spacing w:after="0"/>
              <w:rPr>
                <w:sz w:val="17"/>
                <w:szCs w:val="17"/>
                <w:color w:val="auto"/>
              </w:rPr>
            </w:pPr>
          </w:p>
        </w:tc>
        <w:tc>
          <w:tcPr>
            <w:tcW w:w="300" w:type="dxa"/>
            <w:vAlign w:val="bottom"/>
            <w:shd w:val="clear" w:color="auto" w:fill="DDDDDD"/>
          </w:tcPr>
          <w:p>
            <w:pPr>
              <w:ind w:left="120"/>
              <w:spacing w:after="0"/>
              <w:rPr>
                <w:sz w:val="20"/>
                <w:szCs w:val="20"/>
                <w:color w:val="auto"/>
              </w:rPr>
            </w:pPr>
            <w:r>
              <w:rPr>
                <w:rFonts w:ascii="Arial" w:cs="Arial" w:eastAsia="Arial" w:hAnsi="Arial"/>
                <w:sz w:val="14"/>
                <w:szCs w:val="14"/>
                <w:color w:val="257ACB"/>
              </w:rPr>
              <w:t>—</w:t>
            </w:r>
          </w:p>
        </w:tc>
        <w:tc>
          <w:tcPr>
            <w:tcW w:w="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760" w:type="dxa"/>
            <w:vAlign w:val="bottom"/>
            <w:shd w:val="clear" w:color="auto" w:fill="DDDDDD"/>
          </w:tcPr>
          <w:p>
            <w:pPr>
              <w:jc w:val="right"/>
              <w:ind w:right="1588"/>
              <w:spacing w:after="0"/>
              <w:rPr>
                <w:sz w:val="20"/>
                <w:szCs w:val="20"/>
                <w:color w:val="auto"/>
              </w:rPr>
            </w:pPr>
            <w:r>
              <w:rPr>
                <w:rFonts w:ascii="Arial" w:cs="Arial" w:eastAsia="Arial" w:hAnsi="Arial"/>
                <w:sz w:val="14"/>
                <w:szCs w:val="14"/>
                <w:color w:val="257ACB"/>
              </w:rPr>
              <w:t>$</w:t>
            </w:r>
          </w:p>
        </w:tc>
        <w:tc>
          <w:tcPr>
            <w:tcW w:w="2420" w:type="dxa"/>
            <w:vAlign w:val="bottom"/>
            <w:gridSpan w:val="3"/>
            <w:shd w:val="clear" w:color="auto" w:fill="DDDDDD"/>
          </w:tcPr>
          <w:p>
            <w:pPr>
              <w:ind w:left="200"/>
              <w:spacing w:after="0"/>
              <w:rPr>
                <w:sz w:val="20"/>
                <w:szCs w:val="20"/>
                <w:color w:val="auto"/>
              </w:rPr>
            </w:pPr>
            <w:r>
              <w:rPr>
                <w:rFonts w:ascii="Arial" w:cs="Arial" w:eastAsia="Arial" w:hAnsi="Arial"/>
                <w:sz w:val="14"/>
                <w:szCs w:val="14"/>
                <w:color w:val="257ACB"/>
              </w:rPr>
              <w:t>—</w:t>
            </w:r>
          </w:p>
        </w:tc>
        <w:tc>
          <w:tcPr>
            <w:tcW w:w="26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60" w:type="dxa"/>
            <w:vAlign w:val="bottom"/>
            <w:shd w:val="clear" w:color="auto" w:fill="DDDDDD"/>
          </w:tcPr>
          <w:p>
            <w:pPr>
              <w:spacing w:after="0"/>
              <w:rPr>
                <w:sz w:val="17"/>
                <w:szCs w:val="17"/>
                <w:color w:val="auto"/>
              </w:rPr>
            </w:pPr>
          </w:p>
        </w:tc>
        <w:tc>
          <w:tcPr>
            <w:tcW w:w="90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9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26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111125</wp:posOffset>
            </wp:positionV>
            <wp:extent cx="27774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7"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fourth quarter of 2021.</w:t>
      </w:r>
    </w:p>
    <w:p>
      <w:pPr>
        <w:spacing w:after="0" w:line="65"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 Under our 2020 Share Repurchase Program, we repurchased and retired approximately 6.0 million and 1.6 million shares of our common stock at a cost of approximately $1.8 billion and $400.0 million during the years ended December 31, 2021 and 2020, respectively. Approximately $2.8 billion remained available under our 2020 Share Repurchase Program as of December 31, 2021.</w:t>
      </w:r>
    </w:p>
    <w:p>
      <w:pPr>
        <w:spacing w:after="0" w:line="151"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0"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August 2018 our Board of Directors authorized a program to repurchase up to $3.5 billion of our common stock (2018 Share Repurchase Program), which was completed as of June 30, 2019. All share repurchases under our 2018 Share Repurchase Program were retired. Under our 2018 Share Repurchase Program, we repurchased and retired approximately 8.9 million shares of our common stock at a cost of approximately $2.1 billion during the year ended December 31, 2019.</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Performance Graph</w:t>
      </w:r>
    </w:p>
    <w:p>
      <w:pPr>
        <w:spacing w:after="0" w:line="103" w:lineRule="exact"/>
        <w:rPr>
          <w:sz w:val="20"/>
          <w:szCs w:val="20"/>
          <w:color w:val="auto"/>
        </w:rPr>
      </w:pPr>
    </w:p>
    <w:p>
      <w:pPr>
        <w:ind w:right="880" w:firstLine="445"/>
        <w:spacing w:after="0" w:line="261" w:lineRule="auto"/>
        <w:rPr>
          <w:sz w:val="20"/>
          <w:szCs w:val="20"/>
          <w:color w:val="auto"/>
        </w:rPr>
      </w:pPr>
      <w:r>
        <w:rPr>
          <w:rFonts w:ascii="Arial" w:cs="Arial" w:eastAsia="Arial" w:hAnsi="Arial"/>
          <w:sz w:val="18"/>
          <w:szCs w:val="18"/>
          <w:color w:val="auto"/>
        </w:rPr>
        <w:t>The performance graph below compares the five-year cumulative total stockholder return on our common stock, the Nasdaq Pharmaceutical Index, the S&amp;P 500 Index and the Nasdaq Biotechnology Index.</w:t>
      </w:r>
    </w:p>
    <w:p>
      <w:pPr>
        <w:spacing w:after="0" w:line="7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 xml:space="preserve">On February 1, 2017, we completed the spin-off of our hemophilia business, Bioverativ Inc. (Bioverativ), as an independent, publicly traded company. In connection with the spin-off, each Biogen shareholder received one share of Bioverativ common stock for every two shares of Biogen common stock they owned. For additional information on the spin-off of our hemophilia business,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Hemophilia Spin-Off</w:t>
      </w:r>
      <w:r>
        <w:rPr>
          <w:rFonts w:ascii="Arial" w:cs="Arial" w:eastAsia="Arial" w:hAnsi="Arial"/>
          <w:sz w:val="18"/>
          <w:szCs w:val="18"/>
          <w:color w:val="auto"/>
        </w:rPr>
        <w:t>, to our consolidated financial statements included in our Annual Report on Form 10-K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8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The performance graph below assumes the investment of $100.00 on December 31, 2016, in our common stock and each of the three indexes, with dividends being reinvested. Our stock prices have been adjusted for the effect of the spin-off of our hemophilia business. The five-year cumulative total stockholder return for Biogen does not reflect the reinvestment by Biogen shareholders of the distribution they received in connection with the spin-off of our hemophilia business or any subsequent increase or decrease in value of Bioverativ stock subsequent to the spin-off.</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254625" cy="4114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84"/>
        </w:trPr>
        <w:tc>
          <w:tcPr>
            <w:tcW w:w="3060" w:type="dxa"/>
            <w:vAlign w:val="bottom"/>
          </w:tcPr>
          <w:p>
            <w:pPr>
              <w:spacing w:after="0"/>
              <w:rPr>
                <w:sz w:val="20"/>
                <w:szCs w:val="20"/>
                <w:color w:val="auto"/>
              </w:rPr>
            </w:pPr>
            <w:r>
              <w:rPr>
                <w:rFonts w:ascii="Arial" w:cs="Arial" w:eastAsia="Arial" w:hAnsi="Arial"/>
                <w:sz w:val="14"/>
                <w:szCs w:val="14"/>
                <w:color w:val="auto"/>
              </w:rPr>
              <w:t>Biogen Inc.</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$121.79</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$115.04</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$113.44</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$93.61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$91.72</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Nasdaq Pharmaceutical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$119.12</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$128.60</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$147.25</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$162.74</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$202.43</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S&amp;P 500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$121.83</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$116.49</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$153.17</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$181.35</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$233.41</w:t>
            </w:r>
          </w:p>
        </w:tc>
      </w:tr>
      <w:tr>
        <w:trPr>
          <w:trHeight w:val="189"/>
        </w:trPr>
        <w:tc>
          <w:tcPr>
            <w:tcW w:w="306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$121.66</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$110.88</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$138.72</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$175.38</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$175.41</w:t>
            </w:r>
          </w:p>
        </w:tc>
      </w:tr>
    </w:tbl>
    <w:p>
      <w:pPr>
        <w:spacing w:after="0" w:line="155" w:lineRule="exact"/>
        <w:rPr>
          <w:sz w:val="20"/>
          <w:szCs w:val="20"/>
          <w:color w:val="auto"/>
        </w:rPr>
      </w:pPr>
    </w:p>
    <w:p>
      <w:pPr>
        <w:ind w:right="460" w:firstLine="445"/>
        <w:spacing w:after="0" w:line="266" w:lineRule="auto"/>
        <w:rPr>
          <w:sz w:val="20"/>
          <w:szCs w:val="20"/>
          <w:color w:val="auto"/>
        </w:rPr>
      </w:pPr>
      <w:r>
        <w:rPr>
          <w:rFonts w:ascii="Arial" w:cs="Arial" w:eastAsia="Arial" w:hAnsi="Arial"/>
          <w:sz w:val="18"/>
          <w:szCs w:val="18"/>
          <w:color w:val="auto"/>
        </w:rPr>
        <w:t xml:space="preserve">The information included under the heading </w:t>
      </w:r>
      <w:r>
        <w:rPr>
          <w:rFonts w:ascii="Arial" w:cs="Arial" w:eastAsia="Arial" w:hAnsi="Arial"/>
          <w:sz w:val="18"/>
          <w:szCs w:val="18"/>
          <w:i w:val="1"/>
          <w:iCs w:val="1"/>
          <w:color w:val="auto"/>
        </w:rPr>
        <w:t>Performance Graph</w:t>
      </w:r>
      <w:r>
        <w:rPr>
          <w:rFonts w:ascii="Arial" w:cs="Arial" w:eastAsia="Arial" w:hAnsi="Arial"/>
          <w:sz w:val="18"/>
          <w:szCs w:val="18"/>
          <w:color w:val="auto"/>
        </w:rPr>
        <w:t xml:space="preserve"> is “furnished” and not “filed” for purposes of Section 18 of the Securities Exchange Act, or otherwise subject to the liabilities of that section, nor shall it be deemed to be “soliciting material” subject to Regulation 14A or incorporated by reference in any filing under the Securities Act of 1933 or the Securities Exchange Act of 1934.</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1C5A7D"/>
        </w:rPr>
        <w:t>ITEM 6.</w:t>
      </w:r>
      <w:r>
        <w:rPr>
          <w:sz w:val="20"/>
          <w:szCs w:val="20"/>
          <w:color w:val="auto"/>
        </w:rPr>
        <w:tab/>
      </w:r>
      <w:r>
        <w:rPr>
          <w:rFonts w:ascii="Arial" w:cs="Arial" w:eastAsia="Arial" w:hAnsi="Arial"/>
          <w:sz w:val="21"/>
          <w:szCs w:val="21"/>
          <w:b w:val="1"/>
          <w:bCs w:val="1"/>
          <w:color w:val="1C5A7D"/>
        </w:rPr>
        <w:t>RESERVED</w:t>
      </w:r>
    </w:p>
    <w:p>
      <w:pPr>
        <w:spacing w:after="0" w:line="260" w:lineRule="exact"/>
        <w:rPr>
          <w:sz w:val="20"/>
          <w:szCs w:val="20"/>
          <w:color w:val="auto"/>
        </w:rPr>
      </w:pPr>
    </w:p>
    <w:p>
      <w:pPr>
        <w:ind w:right="460"/>
        <w:spacing w:after="0" w:line="258" w:lineRule="auto"/>
        <w:rPr>
          <w:sz w:val="20"/>
          <w:szCs w:val="20"/>
          <w:color w:val="auto"/>
        </w:rPr>
      </w:pPr>
      <w:r>
        <w:rPr>
          <w:rFonts w:ascii="Arial" w:cs="Arial" w:eastAsia="Arial" w:hAnsi="Arial"/>
          <w:sz w:val="22"/>
          <w:szCs w:val="22"/>
          <w:b w:val="1"/>
          <w:bCs w:val="1"/>
          <w:color w:val="1C5A7D"/>
        </w:rPr>
        <w:t>ITEM 7. MANAGEMENT'S DISCUSSION AND ANALYSIS OF FINANCIAL CONDITION AND RESULTS OF OPERATIONS</w:t>
      </w:r>
    </w:p>
    <w:p>
      <w:pPr>
        <w:spacing w:after="0" w:line="53"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accompanying notes beginning on page F-1 of this report.</w:t>
      </w:r>
    </w:p>
    <w:p>
      <w:pPr>
        <w:spacing w:after="0" w:line="8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 xml:space="preserve">For our discussion of the year ended December 31, 2020, compared to the year ended December 31, 2019, please read </w:t>
      </w:r>
      <w:r>
        <w:rPr>
          <w:rFonts w:ascii="Arial" w:cs="Arial" w:eastAsia="Arial" w:hAnsi="Arial"/>
          <w:sz w:val="18"/>
          <w:szCs w:val="18"/>
          <w:i w:val="1"/>
          <w:iCs w:val="1"/>
          <w:color w:val="auto"/>
        </w:rPr>
        <w:t xml:space="preserve">Item 7. Management's Discussion and Analysis of Financial Condition and Results of Operations </w:t>
      </w:r>
      <w:r>
        <w:rPr>
          <w:rFonts w:ascii="Arial" w:cs="Arial" w:eastAsia="Arial" w:hAnsi="Arial"/>
          <w:sz w:val="18"/>
          <w:szCs w:val="18"/>
          <w:color w:val="auto"/>
        </w:rPr>
        <w:t>located in our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Executive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Introduction</w:t>
      </w:r>
    </w:p>
    <w:p>
      <w:pPr>
        <w:spacing w:after="0" w:line="139"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We have a leading portfolio of medicines to treat multiple sclerosis (MS), have introduced the first approved treatment for spinal muscular atrophy (SMA) and are providing the first and only approved treatment to address a defining pathology of Alzheimer’s disease. We also commercialize biosimilars of advanced biologics and focus on advancing our pipeline in neuroscience and specialized immunology. Lastly, we are focused on accelerating our efforts in digital health to support our commercial and pipeline programs while also creating opportunities for potential digital therapeutics. We support our drug discovery and development efforts through the commitment of significant resources to discovery, research and development programs and business development opportunities.</w:t>
      </w:r>
    </w:p>
    <w:p>
      <w:pPr>
        <w:spacing w:after="0" w:line="10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and other potential anti-CD20 therapies, including mosunetuzumab, pursuant to our collaboration arrangements with Genentech, a wholly-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0" w:right="120"/>
        <w:spacing w:after="0" w:line="254" w:lineRule="auto"/>
        <w:rPr>
          <w:sz w:val="20"/>
          <w:szCs w:val="20"/>
          <w:color w:val="auto"/>
        </w:rPr>
      </w:pPr>
      <w:r>
        <w:rPr>
          <w:rFonts w:ascii="Arial" w:cs="Arial" w:eastAsia="Arial" w:hAnsi="Arial"/>
          <w:sz w:val="18"/>
          <w:szCs w:val="18"/>
          <w:color w:val="auto"/>
        </w:rPr>
        <w:t xml:space="preserve">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96" w:lineRule="exact"/>
        <w:rPr>
          <w:sz w:val="20"/>
          <w:szCs w:val="20"/>
          <w:color w:val="auto"/>
        </w:rPr>
      </w:pPr>
    </w:p>
    <w:p>
      <w:pPr>
        <w:ind w:left="380" w:right="220" w:firstLine="40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our joint venture with Samsung BioLogics, we market and sell BENEPALI, an etanercept biosimilar referencing ENBREL, IMRALDI, an adalimumab biosimilar referencing HUMIRA, and FLIXABI, an infliximab biosimilar referencing REMICADE, in certain countries in Europe. We have also secured the exclusive rights to commercialize BYOOVIZ, a ranibizumab biosimilar referencing LUCENTIS, which was approved in the U.S., the E.U. and the U.K. during the third quarter of 2021. For additional information on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100"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In the second quarter of 2021 a portion of the facility received a GMP multi-product license from SWISSMEDIC. We believe that the Solothurn facility will support our anticipated near-term needs for the manufacturing of ADUHELM and other biologic assets. In addition, we believe that the Solothurn site may provide us with the ability to further expand if we need additional large scale manufacturing capacity to support future clinical and commercial manufacturing requirements. If we are unable to fully utilize our manufacturing facilities, due to lower than forecasted demand for our products, we will incur excess capacity charges which will have a negative effect on our financial condition and results of operations.</w:t>
      </w:r>
    </w:p>
    <w:p>
      <w:pPr>
        <w:spacing w:after="0" w:line="154"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Business Environment</w:t>
      </w:r>
    </w:p>
    <w:p>
      <w:pPr>
        <w:spacing w:after="0" w:line="193"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included in this report. For additional information on our competition and pricing risks that could negatively impact our product sales, please read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included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 (aducanumab)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In June 2021 the FDA granted accelerated approval of ADUHELM, which we are developing and commercializing in collaboration with Eisai, based on reduction in amyloid beta plaques observed in patients treated with ADUHELM. As part of the accelerated approval, we will conduct a confirmatory trial to verify the clinical benefit of ADUHELM in patients with Alzheimer’s disease. The FDA may withdraw approval if, among other things, the confirmatory trial fails to verify clinical benefit of ADUHELM, ADUHELM's benefit-risk is no longer positive or we fail to comply with the conditions of the accelerated approval.</w:t>
      </w:r>
    </w:p>
    <w:p>
      <w:pPr>
        <w:spacing w:after="0" w:line="10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U.S. ADUHELM product label states that treatment with ADUHELM should be initiated in patients with mild cognitive impairment or mild dementia stage of disease, the population which was studied in clinical trials. We expect patient uptake will be gradual and we do not expect all eligible patients will be treated with ADUHELM for a variety of reasons, including appropriate patient selection criteria, a complex diagnostic and care pathway, the lack of readiness of healthcare providers and institutions to initiate treatment, concern regarding the accelerated approval of ADUHELM and its data and the ability to obtain and maintain adequate reimbursement for ADUHELM. In January 2022 the Centers for Medicare and Medicaid Services (CMS) released a proposed NCD decision memorandum, stating the proposed NCD would cover FDA approved monoclonal antibodies that target amyloid for the treatment of Alzheimer's disease for people with Medicare only if they are enrolled in qualifying clinical trials. We expect a final Medicare NCD by the second quarter of 2022, which should clarify Medicare reimbursement for the class of antibodies directed against amyloid. If the final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60"/>
        <w:spacing w:after="0" w:line="261" w:lineRule="auto"/>
        <w:rPr>
          <w:sz w:val="20"/>
          <w:szCs w:val="20"/>
          <w:color w:val="auto"/>
        </w:rPr>
      </w:pPr>
      <w:r>
        <w:rPr>
          <w:rFonts w:ascii="Arial" w:cs="Arial" w:eastAsia="Arial" w:hAnsi="Arial"/>
          <w:sz w:val="18"/>
          <w:szCs w:val="18"/>
          <w:color w:val="auto"/>
        </w:rPr>
        <w:t>NCD is not broader than the proposed NCD, our future operating results may be negatively impacted.</w:t>
      </w:r>
    </w:p>
    <w:p>
      <w:pPr>
        <w:spacing w:after="0" w:line="90"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Under our collaboration agreement with Eisai (ADUHELM Collaboration Agreement), we and Eisai will co-promote ADUHELM with a region-based profit split, with Eisai reimbursing us for 45.0% of development and commercialization costs incurred by the collaboration for the advancement of ADUHELM in the U.S. Shipments of ADUHELM commenced during the second quarter of 2021.</w:t>
      </w:r>
    </w:p>
    <w:p>
      <w:pPr>
        <w:spacing w:after="0" w:line="85" w:lineRule="exact"/>
        <w:rPr>
          <w:sz w:val="20"/>
          <w:szCs w:val="20"/>
          <w:color w:val="auto"/>
        </w:rPr>
      </w:pPr>
    </w:p>
    <w:p>
      <w:pPr>
        <w:jc w:val="both"/>
        <w:ind w:left="380" w:right="320" w:firstLine="405"/>
        <w:spacing w:after="0" w:line="256" w:lineRule="auto"/>
        <w:rPr>
          <w:sz w:val="20"/>
          <w:szCs w:val="20"/>
          <w:color w:val="auto"/>
        </w:rPr>
      </w:pPr>
      <w:r>
        <w:rPr>
          <w:rFonts w:ascii="Arial" w:cs="Arial" w:eastAsia="Arial" w:hAnsi="Arial"/>
          <w:sz w:val="18"/>
          <w:szCs w:val="18"/>
          <w:color w:val="auto"/>
        </w:rPr>
        <w:t>We have made, and may continue to make, commercial, medical and infrastructure investments in support of activities associated with the launch of ADUHELM in the U.S.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Rest of World</w:t>
      </w:r>
    </w:p>
    <w:p>
      <w:pPr>
        <w:spacing w:after="0" w:line="135" w:lineRule="exact"/>
        <w:rPr>
          <w:sz w:val="20"/>
          <w:szCs w:val="20"/>
          <w:color w:val="auto"/>
        </w:rPr>
      </w:pPr>
    </w:p>
    <w:p>
      <w:pPr>
        <w:ind w:left="380" w:right="20" w:firstLine="405"/>
        <w:spacing w:after="0" w:line="254" w:lineRule="auto"/>
        <w:rPr>
          <w:sz w:val="20"/>
          <w:szCs w:val="20"/>
          <w:color w:val="auto"/>
        </w:rPr>
      </w:pPr>
      <w:r>
        <w:rPr>
          <w:rFonts w:ascii="Arial" w:cs="Arial" w:eastAsia="Arial" w:hAnsi="Arial"/>
          <w:sz w:val="18"/>
          <w:szCs w:val="18"/>
          <w:color w:val="auto"/>
        </w:rPr>
        <w:t>In October 2020 the EMA accepted for review the Marketing Authorization Application for aducanumab and in December 2020 the MHLW accepted for review the Japanese NDA for aducanumab.</w:t>
      </w:r>
    </w:p>
    <w:p>
      <w:pPr>
        <w:spacing w:after="0" w:line="96" w:lineRule="exact"/>
        <w:rPr>
          <w:sz w:val="20"/>
          <w:szCs w:val="20"/>
          <w:color w:val="auto"/>
        </w:rPr>
      </w:pPr>
    </w:p>
    <w:p>
      <w:pPr>
        <w:ind w:left="380" w:right="60" w:firstLine="405"/>
        <w:spacing w:after="0" w:line="256" w:lineRule="auto"/>
        <w:rPr>
          <w:sz w:val="20"/>
          <w:szCs w:val="20"/>
          <w:color w:val="auto"/>
        </w:rPr>
      </w:pPr>
      <w:r>
        <w:rPr>
          <w:rFonts w:ascii="Arial" w:cs="Arial" w:eastAsia="Arial" w:hAnsi="Arial"/>
          <w:sz w:val="18"/>
          <w:szCs w:val="18"/>
          <w:color w:val="auto"/>
        </w:rPr>
        <w:t>In December 2021 the CHMP of the EMA adopted a negative opinion on the MAA for aducanumab in Europe. We are seeking a re-examination of the opinion by the CHMP.</w:t>
      </w:r>
    </w:p>
    <w:p>
      <w:pPr>
        <w:spacing w:after="0" w:line="94" w:lineRule="exact"/>
        <w:rPr>
          <w:sz w:val="20"/>
          <w:szCs w:val="20"/>
          <w:color w:val="auto"/>
        </w:rPr>
      </w:pPr>
    </w:p>
    <w:p>
      <w:pPr>
        <w:ind w:left="380" w:right="260" w:firstLine="405"/>
        <w:spacing w:after="0" w:line="254" w:lineRule="auto"/>
        <w:rPr>
          <w:sz w:val="20"/>
          <w:szCs w:val="20"/>
          <w:color w:val="auto"/>
        </w:rPr>
      </w:pPr>
      <w:r>
        <w:rPr>
          <w:rFonts w:ascii="Arial" w:cs="Arial" w:eastAsia="Arial" w:hAnsi="Arial"/>
          <w:sz w:val="18"/>
          <w:szCs w:val="18"/>
          <w:color w:val="auto"/>
        </w:rPr>
        <w:t>If we do not receive regulatory approval or are unable to successfully commercialize aducanumab in other jurisdictions, our financial condition, business and operations may be adversely affected.</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TECFIDERA</w:t>
      </w:r>
    </w:p>
    <w:p>
      <w:pPr>
        <w:spacing w:after="0" w:line="135" w:lineRule="exact"/>
        <w:rPr>
          <w:sz w:val="20"/>
          <w:szCs w:val="20"/>
          <w:color w:val="auto"/>
        </w:rPr>
      </w:pPr>
    </w:p>
    <w:p>
      <w:pPr>
        <w:ind w:left="380" w:right="60" w:firstLine="405"/>
        <w:spacing w:after="0" w:line="268" w:lineRule="auto"/>
        <w:rPr>
          <w:sz w:val="20"/>
          <w:szCs w:val="20"/>
          <w:color w:val="auto"/>
        </w:rPr>
      </w:pPr>
      <w:r>
        <w:rPr>
          <w:rFonts w:ascii="Arial" w:cs="Arial" w:eastAsia="Arial" w:hAnsi="Arial"/>
          <w:sz w:val="17"/>
          <w:szCs w:val="17"/>
          <w:color w:val="auto"/>
        </w:rPr>
        <w:t>In 2020 U.S. federal courts in West Virginia and Delaware entered judgments in favor of the defendants in patent infringement proceedings relating to TECFIDERA Orange-Book listed patents. We appealed both decisions. In late 2021 the U.S. Court of Appeals for the Federal Circuit (Federal Circuit) affirmed the judgment of the West Virginia federal court. The appeals in the Delaware cases were stayed and we expect will remain so until the decision in the West Virginia case becomes final.</w:t>
      </w:r>
    </w:p>
    <w:p>
      <w:pPr>
        <w:spacing w:after="0" w:line="90"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continue to have a substantial and increasing negative impact on our U.S. TECFIDERA revenue in the future.</w:t>
      </w:r>
    </w:p>
    <w:p>
      <w:pPr>
        <w:spacing w:after="0" w:line="87" w:lineRule="exact"/>
        <w:rPr>
          <w:sz w:val="20"/>
          <w:szCs w:val="20"/>
          <w:color w:val="auto"/>
        </w:rPr>
      </w:pPr>
    </w:p>
    <w:p>
      <w:pPr>
        <w:ind w:left="380" w:right="120" w:firstLine="405"/>
        <w:spacing w:after="0" w:line="223" w:lineRule="auto"/>
        <w:rPr>
          <w:sz w:val="20"/>
          <w:szCs w:val="20"/>
          <w:color w:val="auto"/>
        </w:rPr>
      </w:pPr>
      <w:r>
        <w:rPr>
          <w:rFonts w:ascii="Arial" w:cs="Arial" w:eastAsia="Arial" w:hAnsi="Arial"/>
          <w:sz w:val="18"/>
          <w:szCs w:val="18"/>
          <w:color w:val="auto"/>
        </w:rPr>
        <w:t>In May 2021 the European General Court annulled the EMA's decision not to validate applications for approval of TECFIDERA generics on the basis that the EMA conducted the wrong assessment when determining TECFIDERA's entitlement to regulatory data and marketing protection. Our Company, the EMA and the EC have each appealed the General Court’s decision as wrongly decided and the appeal is pending.</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 November 2021 the CHMP of the EMA issued an ad hoc opinion referencing the General Court’s decision which concluded that "the totality of the available data cannot establish that [monoethyl fumarate] exerts a clinically relevant therapeutic contribution within FUMADERM." The EC will decide TECFIDERA’s entitlement to regulatory data and market protection. If data and market protection is not upheld, we could face generic competition in the E.U. as early as the first half of 2022, which would have an adverse impact on our TECFIDERA sales in the E.U. and our results of operations.</w:t>
      </w:r>
    </w:p>
    <w:p>
      <w:pPr>
        <w:spacing w:after="0" w:line="103"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For additional information, please read the discussion under Results of Operations - Product Revenue - Multiple Sclerosis (MS) - Fumarate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Business Update Regarding COVID-19</w:t>
      </w:r>
    </w:p>
    <w:p>
      <w:pPr>
        <w:spacing w:after="0" w:line="13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COVID-19 pandemic continues to present a substantial public health and economic challenge around the world. 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102"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monitoring the demand for our products, including the duration and degree to which we may see delays in starting new patients on a product due to hospitals diverting the resources that are necessary to administer certain of our products to care for COVID-19 patients, including products, such as TYSABRI and SPINRAZA, that are administered in a physician's office or hospital setting. We may also see reduced demand for immunosuppressant therapies during the COVID-19 pandemic.</w:t>
      </w:r>
    </w:p>
    <w:p>
      <w:pPr>
        <w:spacing w:after="0" w:line="10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While we are currently continuing the clinical trials we have underway in sites across the globe, COVID-19 precautions have impacted the timeline for some of our clinical trials and these precautions may, directly or indirectly, have a further impact on timing in the future. To help mitigate the impact of the COVID-19 pandemic to our clinical trials, we are pursuing innovative approaches such as remote monitoring, remote patient visits and supporting home infusions. These alternative measures have resulted in an immaterial increase to the cost of the clinical trials underway.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80" w:firstLine="405"/>
        <w:spacing w:after="0" w:line="254" w:lineRule="auto"/>
        <w:rPr>
          <w:sz w:val="20"/>
          <w:szCs w:val="20"/>
          <w:color w:val="auto"/>
        </w:rPr>
      </w:pPr>
      <w:r>
        <w:rPr>
          <w:rFonts w:ascii="Arial" w:cs="Arial" w:eastAsia="Arial" w:hAnsi="Arial"/>
          <w:sz w:val="18"/>
          <w:szCs w:val="18"/>
          <w:color w:val="auto"/>
        </w:rPr>
        <w:t>Factors such as the COVID-19 pandemic, adverse weather events, labor or raw material shortages and other supply chain disruptions could result in product shortages or other difficulties and delays in manufacturing our products.</w:t>
      </w:r>
    </w:p>
    <w:p>
      <w:pPr>
        <w:spacing w:after="0" w:line="96" w:lineRule="exact"/>
        <w:rPr>
          <w:sz w:val="20"/>
          <w:szCs w:val="20"/>
          <w:color w:val="auto"/>
        </w:rPr>
      </w:pPr>
    </w:p>
    <w:p>
      <w:pPr>
        <w:jc w:val="both"/>
        <w:ind w:left="380" w:firstLine="405"/>
        <w:spacing w:after="0" w:line="256" w:lineRule="auto"/>
        <w:rPr>
          <w:sz w:val="20"/>
          <w:szCs w:val="20"/>
          <w:color w:val="auto"/>
        </w:rPr>
      </w:pPr>
      <w:r>
        <w:rPr>
          <w:rFonts w:ascii="Arial" w:cs="Arial" w:eastAsia="Arial" w:hAnsi="Arial"/>
          <w:sz w:val="18"/>
          <w:szCs w:val="18"/>
          <w:color w:val="auto"/>
        </w:rPr>
        <w:t xml:space="preserve">For additional information on the various risks posed by the COVID-19 pandemic,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44" w:right="47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Financial Highlights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 earnings per share attributable to Biogen Inc.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$10.40 for 2021, representing a decrease of 58.1% as compared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$24.80 in the same period in 2020.</w:t>
      </w:r>
    </w:p>
    <w:p>
      <w:pPr>
        <w:spacing w:after="0" w:line="153"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year ended December 31, 2021, compared to the year ended December 31, 2020, reflects the following: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Revenue</w:t>
      </w:r>
    </w:p>
    <w:p>
      <w:pPr>
        <w:spacing w:after="0" w:line="189" w:lineRule="exact"/>
        <w:rPr>
          <w:sz w:val="20"/>
          <w:szCs w:val="20"/>
          <w:color w:val="auto"/>
        </w:rPr>
      </w:pPr>
    </w:p>
    <w:p>
      <w:pPr>
        <w:ind w:left="420" w:right="40" w:hanging="331"/>
        <w:spacing w:after="0" w:line="256" w:lineRule="auto"/>
        <w:tabs>
          <w:tab w:leader="none" w:pos="3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revenue was $10,981.7 million for 2021, representing a $2,462.9 million, or 18.3%, decrease compared to $13,444.6 million in 2020.</w:t>
      </w:r>
    </w:p>
    <w:p>
      <w:pPr>
        <w:spacing w:after="0" w:line="147" w:lineRule="exact"/>
        <w:rPr>
          <w:rFonts w:ascii="Arial" w:cs="Arial" w:eastAsia="Arial" w:hAnsi="Arial"/>
          <w:sz w:val="18"/>
          <w:szCs w:val="18"/>
          <w:color w:val="auto"/>
        </w:rPr>
      </w:pPr>
    </w:p>
    <w:p>
      <w:pPr>
        <w:ind w:left="420" w:right="120" w:hanging="331"/>
        <w:spacing w:after="0" w:line="252" w:lineRule="auto"/>
        <w:tabs>
          <w:tab w:leader="none" w:pos="3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revenue, net totaled $8,846.9 million for 2021, representing a $1,845.3 million, or 17.3%, decrease compared to $10,692.2 million in 2020. This decrease was primarily due to a $1,735.4 million, or 22.2%, decrease in MS product revenue and a $147.0 million, or 7.2%, decrease in SPINRAZA product revenue, partially offset by a $35.3 million, or 4.4%, increase in revenue from our biosimilar business.</w:t>
      </w:r>
    </w:p>
    <w:p>
      <w:pPr>
        <w:spacing w:after="0" w:line="151" w:lineRule="exact"/>
        <w:rPr>
          <w:rFonts w:ascii="Arial" w:cs="Arial" w:eastAsia="Arial" w:hAnsi="Arial"/>
          <w:sz w:val="18"/>
          <w:szCs w:val="18"/>
          <w:color w:val="auto"/>
        </w:rPr>
      </w:pPr>
    </w:p>
    <w:p>
      <w:pPr>
        <w:jc w:val="both"/>
        <w:ind w:left="1060" w:right="100" w:hanging="323"/>
        <w:spacing w:after="0" w:line="254" w:lineRule="auto"/>
        <w:tabs>
          <w:tab w:leader="none" w:pos="10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decrease in MS product revenue was primarily due to a decrease in U.S. TECFIDERA demand as a result of multiple TECFIDERA generic entrants in the U.S. market.</w:t>
      </w:r>
    </w:p>
    <w:p>
      <w:pPr>
        <w:spacing w:after="0" w:line="149" w:lineRule="exact"/>
        <w:rPr>
          <w:rFonts w:ascii="Arial" w:cs="Arial" w:eastAsia="Arial" w:hAnsi="Arial"/>
          <w:sz w:val="18"/>
          <w:szCs w:val="18"/>
          <w:color w:val="auto"/>
        </w:rPr>
      </w:pPr>
    </w:p>
    <w:p>
      <w:pPr>
        <w:ind w:left="1060" w:right="100" w:hanging="323"/>
        <w:spacing w:after="0" w:line="252" w:lineRule="auto"/>
        <w:tabs>
          <w:tab w:leader="none" w:pos="105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decrease in SPINRAZA revenue was primarily due to a decrease in demand as a result of increased competition in the U.S. and Germany as well as a decrease in pricing in the U.S. and rest of world markets, partially offset by an increase in sales volumes in Latin America and certain distributor markets.</w:t>
      </w:r>
    </w:p>
    <w:p>
      <w:pPr>
        <w:spacing w:after="0" w:line="152" w:lineRule="exact"/>
        <w:rPr>
          <w:rFonts w:ascii="Arial" w:cs="Arial" w:eastAsia="Arial" w:hAnsi="Arial"/>
          <w:sz w:val="18"/>
          <w:szCs w:val="18"/>
          <w:color w:val="auto"/>
        </w:rPr>
      </w:pPr>
    </w:p>
    <w:p>
      <w:pPr>
        <w:ind w:left="360" w:hanging="271"/>
        <w:spacing w:after="0"/>
        <w:tabs>
          <w:tab w:leader="none" w:pos="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Revenue from anti-CD20 therapeutic programs totaled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$1,658.5 million for 2021, representing a $319.3 million, or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16.1%, decrease compared to $1,977.8 million in 2020. This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decrease was primarily due to a $480.2 million, or 45.5%,</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decrease in RITUXAN revenue, partially offset by 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$146.3 million, or 17.3%, increase in royalty revenue 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of OCREVUS. Sales of RITUXAN have been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adversely affected by the onset of biosimilar competition.</w:t>
      </w:r>
    </w:p>
    <w:p>
      <w:pPr>
        <w:spacing w:after="0" w:line="171" w:lineRule="exact"/>
        <w:rPr>
          <w:sz w:val="20"/>
          <w:szCs w:val="20"/>
          <w:color w:val="auto"/>
        </w:rPr>
      </w:pPr>
    </w:p>
    <w:p>
      <w:pPr>
        <w:ind w:left="420" w:hanging="331"/>
        <w:spacing w:after="0" w:line="256" w:lineRule="auto"/>
        <w:tabs>
          <w:tab w:leader="none" w:pos="361" w:val="left"/>
        </w:tabs>
        <w:numPr>
          <w:ilvl w:val="0"/>
          <w:numId w:val="60"/>
        </w:numPr>
        <w:rPr>
          <w:rFonts w:ascii="Arial" w:cs="Arial" w:eastAsia="Arial" w:hAnsi="Arial"/>
          <w:sz w:val="18"/>
          <w:szCs w:val="18"/>
          <w:i w:val="1"/>
          <w:iCs w:val="1"/>
          <w:color w:val="538235"/>
        </w:rPr>
      </w:pPr>
      <w:r>
        <w:rPr>
          <w:rFonts w:ascii="Arial" w:cs="Arial" w:eastAsia="Arial" w:hAnsi="Arial"/>
          <w:sz w:val="18"/>
          <w:szCs w:val="18"/>
          <w:color w:val="auto"/>
        </w:rPr>
        <w:t>Other revenue totaled $476.3 million for 2021, representing a $298.3 million, or 38.5%, decrease from $774.6 million in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40" w:right="60" w:hanging="326"/>
        <w:spacing w:after="0" w:line="252" w:lineRule="auto"/>
        <w:tabs>
          <w:tab w:leader="none" w:pos="14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decrease in other revenue was primarily due to higher contract manufacturing revenue in 2020, resulting from $346.2 million in revenue related to the delivery of the license for certain of our manufacturing-related intellectual property to a contract manufacturing customer.</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Expense</w:t>
      </w:r>
    </w:p>
    <w:p>
      <w:pPr>
        <w:spacing w:after="0" w:line="189" w:lineRule="exact"/>
        <w:rPr>
          <w:sz w:val="20"/>
          <w:szCs w:val="20"/>
          <w:color w:val="auto"/>
        </w:rPr>
      </w:pPr>
    </w:p>
    <w:p>
      <w:pPr>
        <w:ind w:left="800" w:right="20" w:hanging="334"/>
        <w:spacing w:after="0" w:line="253" w:lineRule="auto"/>
        <w:tabs>
          <w:tab w:leader="none" w:pos="7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Total cost and expense was $8,141.0 million for 2021, representing a $753.5 million, or 8.5%, decrease compared to $8,894.5 million in 2020. This decrease was primarily due to a $1,489.7 million, or 37.3%, decrease in research and development expense.</w:t>
      </w:r>
    </w:p>
    <w:p>
      <w:pPr>
        <w:spacing w:after="0" w:line="151" w:lineRule="exact"/>
        <w:rPr>
          <w:rFonts w:ascii="Arial" w:cs="Arial" w:eastAsia="Arial" w:hAnsi="Arial"/>
          <w:sz w:val="18"/>
          <w:szCs w:val="18"/>
          <w:color w:val="auto"/>
        </w:rPr>
      </w:pPr>
    </w:p>
    <w:p>
      <w:pPr>
        <w:ind w:left="1440" w:right="100" w:hanging="326"/>
        <w:spacing w:after="0" w:line="252" w:lineRule="auto"/>
        <w:tabs>
          <w:tab w:leader="none" w:pos="14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decrease in research and development expense was primarily due to $1,893.3 million in upfront payments recognized in 2020 in connection with our collaborations with Sangamo, Denali and Sage, partially offset by a $125.0 million upfront payment recognized in connection with our collaboration with InnoCare in 2021.</w:t>
      </w:r>
    </w:p>
    <w:p>
      <w:pPr>
        <w:spacing w:after="0" w:line="152" w:lineRule="exact"/>
        <w:rPr>
          <w:rFonts w:ascii="Arial" w:cs="Arial" w:eastAsia="Arial" w:hAnsi="Arial"/>
          <w:sz w:val="18"/>
          <w:szCs w:val="18"/>
          <w:color w:val="auto"/>
        </w:rPr>
      </w:pPr>
    </w:p>
    <w:p>
      <w:pPr>
        <w:ind w:left="1440" w:right="100" w:hanging="326"/>
        <w:spacing w:after="0" w:line="252" w:lineRule="auto"/>
        <w:tabs>
          <w:tab w:leader="none" w:pos="1436" w:val="left"/>
        </w:tabs>
        <w:numPr>
          <w:ilvl w:val="1"/>
          <w:numId w:val="62"/>
        </w:numPr>
        <w:rPr>
          <w:rFonts w:ascii="Arial" w:cs="Arial" w:eastAsia="Arial" w:hAnsi="Arial"/>
          <w:sz w:val="18"/>
          <w:szCs w:val="18"/>
          <w:i w:val="1"/>
          <w:iCs w:val="1"/>
          <w:color w:val="auto"/>
        </w:rPr>
      </w:pPr>
      <w:r>
        <w:rPr>
          <w:rFonts w:ascii="Arial" w:cs="Arial" w:eastAsia="Arial" w:hAnsi="Arial"/>
          <w:sz w:val="18"/>
          <w:szCs w:val="18"/>
          <w:color w:val="auto"/>
        </w:rPr>
        <w:t>The decrease was partially offset by a $304.5 million, or 16.9%, increase in cost of sales, which was primarily driven by $164.0 million of charges associated with inventory and purchase commitments in excess of forecasted demand related to ADUHELM during 2021 as well as higher impairment charges recorded during 2021 as compared to 2020.</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Financial Condition, Liquidity and</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171" w:lineRule="exact"/>
        <w:rPr>
          <w:sz w:val="20"/>
          <w:szCs w:val="20"/>
          <w:color w:val="auto"/>
        </w:rPr>
      </w:pPr>
    </w:p>
    <w:p>
      <w:pPr>
        <w:ind w:left="800" w:right="700" w:hanging="334"/>
        <w:spacing w:after="0" w:line="261" w:lineRule="auto"/>
        <w:tabs>
          <w:tab w:leader="none" w:pos="7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generated $3,639.9 million of net cash flow from operations for 2021.</w:t>
      </w:r>
    </w:p>
    <w:p>
      <w:pPr>
        <w:spacing w:after="0" w:line="143" w:lineRule="exact"/>
        <w:rPr>
          <w:rFonts w:ascii="Arial" w:cs="Arial" w:eastAsia="Arial" w:hAnsi="Arial"/>
          <w:sz w:val="18"/>
          <w:szCs w:val="18"/>
          <w:color w:val="auto"/>
        </w:rPr>
      </w:pPr>
    </w:p>
    <w:p>
      <w:pPr>
        <w:jc w:val="both"/>
        <w:ind w:left="800" w:right="260" w:hanging="334"/>
        <w:spacing w:after="0" w:line="291" w:lineRule="auto"/>
        <w:tabs>
          <w:tab w:leader="none" w:pos="7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Cash, cash equivalents and marketable securities totaled approximately $4,694.5 million as of December 31, 2021.</w:t>
      </w:r>
    </w:p>
    <w:p>
      <w:pPr>
        <w:spacing w:after="0" w:line="119" w:lineRule="exact"/>
        <w:rPr>
          <w:rFonts w:ascii="Arial" w:cs="Arial" w:eastAsia="Arial" w:hAnsi="Arial"/>
          <w:sz w:val="17"/>
          <w:szCs w:val="17"/>
          <w:color w:val="auto"/>
        </w:rPr>
      </w:pPr>
    </w:p>
    <w:p>
      <w:pPr>
        <w:ind w:left="800" w:hanging="334"/>
        <w:spacing w:after="0" w:line="271" w:lineRule="auto"/>
        <w:tabs>
          <w:tab w:leader="none" w:pos="755"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repurchased and retired approximately 6.0 million shares of our common stock at a cost of approximately $1.8 billion during 2021 under our 2020 Share Repurchase Program. Approximately $2.8 billion remained available under our 2020 Share Repurchase Program as of December 31, 2021.</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Acquisitions, Collaborative and Other Relationships</w:t>
      </w:r>
    </w:p>
    <w:p>
      <w:pPr>
        <w:spacing w:after="0" w:line="126" w:lineRule="exact"/>
        <w:rPr>
          <w:sz w:val="20"/>
          <w:szCs w:val="20"/>
          <w:color w:val="auto"/>
        </w:rPr>
      </w:pPr>
    </w:p>
    <w:p>
      <w:pPr>
        <w:ind w:left="380" w:right="120" w:firstLine="405"/>
        <w:spacing w:after="0" w:line="261" w:lineRule="auto"/>
        <w:rPr>
          <w:sz w:val="20"/>
          <w:szCs w:val="20"/>
          <w:color w:val="auto"/>
        </w:rPr>
      </w:pPr>
      <w:r>
        <w:rPr>
          <w:rFonts w:ascii="Arial" w:cs="Arial" w:eastAsia="Arial" w:hAnsi="Arial"/>
          <w:sz w:val="18"/>
          <w:szCs w:val="18"/>
          <w:color w:val="auto"/>
        </w:rPr>
        <w:t>For additional information on our acquisitions, collaborative and other relationships discussed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Investments in Variable Interest Entities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Bio-Thera Solutions</w:t>
      </w:r>
    </w:p>
    <w:p>
      <w:pPr>
        <w:spacing w:after="0" w:line="13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April 2021 we entered into a commercialization and license agreement to develop, manufacture and commercialize BAT1806, a Phase 3 clinical stage anti-interleukin-6 (IL-6) receptor monoclonal antibody that is a proposed biosimilar referencing ACTEMRA. In connection with this agreement, we made an upfront payment of $30.0 million to Bio-Thera Solutions.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InnoCare Pharma Limited</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July 2021 we entered into a collaboration and license agreement with InnoCare for orelabrutinib, an oral small molecule Bruton's tyrosine kinase inhibitor for the potential treatment of MS. In connection with this agreement, we made an upfront payment of $125.0 million to InnoCare.</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InnoCare,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Mosunetuzumab</w:t>
      </w:r>
    </w:p>
    <w:p>
      <w:pPr>
        <w:spacing w:after="0" w:line="13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January 2022 we exercised our option with Genentech to participate in the joint development and commercialization of mosunetuzumab, a late-stage bispecific antibody in development for B-cell non-Hodgkin’s lymphoma and other therapeutic areas. In connection with this exercise, we recorded a $30.0 million option exercise fee payable to Genentech in December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BIIB115 Option Exercise</w:t>
      </w:r>
    </w:p>
    <w:p>
      <w:pPr>
        <w:spacing w:after="0" w:line="135"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BIIB115, a preclinical investigational ASO in development for SMA. In connection with this option exercise, we made an opt-in payment of $60.0 million to Ionis.</w:t>
      </w:r>
    </w:p>
    <w:p>
      <w:pPr>
        <w:spacing w:after="0" w:line="7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i w:val="1"/>
          <w:iCs w:val="1"/>
          <w:color w:val="538235"/>
        </w:rPr>
        <w:t>Samsung Bioepis - Biogen's Joint Venture with Samsung BioLogics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January 2022 we entered into an agreement to sell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Biologics our equity in Samsung Bioepis.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terms of the proposed transaction, we would receive $1.0 billion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cash at closing and $1.3 billion to be deferred over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of $812.5 million due at the first anniversary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$437.5 million due at the second anniversary of the closing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 We would also be eligible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 receive up to an additional $50.0 million upon the achievement of certain commercial milestones.</w:t>
      </w:r>
    </w:p>
    <w:p>
      <w:pPr>
        <w:spacing w:after="0" w:line="9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Closing of the transaction is currently anticipated in mid-2022, contingent on the effectiveness of a securities registration statement filed by Samsung Biologics and satisfaction of certain regulatory and other customary closing conditions.</w:t>
      </w:r>
    </w:p>
    <w:p>
      <w:pPr>
        <w:spacing w:after="0" w:line="83"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 xml:space="preserve">For additional information on the proposed transaction and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Exchange Offer</w:t>
      </w:r>
    </w:p>
    <w:p>
      <w:pPr>
        <w:spacing w:after="0" w:line="13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February 2021 we completed our Exchange Offer of our tendered 2045 Senior Notes for our 2051 Senior Notes and cash, and an offer to purchase our tendered 2045 Senior Notes for cash.</w:t>
      </w:r>
    </w:p>
    <w:p>
      <w:pPr>
        <w:spacing w:after="0" w:line="96"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 xml:space="preserve">For additional information on our Exchange Offer,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to our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North Carolina Gene Therapy Manufacturing Facility</w:t>
      </w:r>
    </w:p>
    <w:p>
      <w:pPr>
        <w:spacing w:after="0" w:line="13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March 2021 we announced our plans to build a new gene therapy manufacturing facility in RTP, NC to support our gene therapy pipeline across multiple therapeutic areas. The new facility will be 175,000 square feet and is expected to be operational by the end of 2023, with an estimated total investment of approximately $200.0 million. Construction for this new facility began during the fourth quarter of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Solothurn, Switzerland Manufacturing Facility</w:t>
      </w:r>
    </w:p>
    <w:p>
      <w:pPr>
        <w:spacing w:after="0" w:line="13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May 2021 we announced that a portion of our Solothurn manufacturing facility received a GMP multi-product license from SWISSMEDIC.</w:t>
      </w:r>
    </w:p>
    <w:p>
      <w:pPr>
        <w:spacing w:after="0" w:line="94"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 xml:space="preserve">For additional information on our Solothurn manufacturing facility, please read </w:t>
      </w:r>
      <w:r>
        <w:rPr>
          <w:rFonts w:ascii="Arial" w:cs="Arial" w:eastAsia="Arial" w:hAnsi="Arial"/>
          <w:sz w:val="18"/>
          <w:szCs w:val="18"/>
          <w:i w:val="1"/>
          <w:iCs w:val="1"/>
          <w:color w:val="auto"/>
        </w:rPr>
        <w:t>Note 10, Property, Plant and Equipment</w:t>
      </w:r>
      <w:r>
        <w:rPr>
          <w:rFonts w:ascii="Arial" w:cs="Arial" w:eastAsia="Arial" w:hAnsi="Arial"/>
          <w:sz w:val="18"/>
          <w:szCs w:val="18"/>
          <w:color w:val="auto"/>
        </w:rPr>
        <w:t>, to our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BIIB125 (zuranolone)</w:t>
      </w:r>
    </w:p>
    <w:p>
      <w:pPr>
        <w:spacing w:after="0" w:line="13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 June 2021 we and Sage announced positive Phase 3 results for BIIB125 (zuranolone) for the potential treatment of MDD and PPD. In October 2021 we and Sage announced our plan to submit an NDA to the FDA for zuranolone in the second half of 2022, with rolling submission expected to start in early 2022. The planned initial submission package will seek approval of zuranolone for MDD, and an additional filing for PPD is anticipated in the first half of 2023.</w:t>
      </w:r>
    </w:p>
    <w:p>
      <w:pPr>
        <w:spacing w:after="0" w:line="200" w:lineRule="exact"/>
        <w:rPr>
          <w:sz w:val="20"/>
          <w:szCs w:val="20"/>
          <w:color w:val="auto"/>
        </w:rPr>
      </w:pPr>
    </w:p>
    <w:p>
      <w:pPr>
        <w:sectPr>
          <w:pgSz w:w="11900" w:h="16838" w:orient="portrait"/>
          <w:cols w:equalWidth="0" w:num="2">
            <w:col w:w="5220" w:space="680"/>
            <w:col w:w="5200"/>
          </w:cols>
          <w:pgMar w:left="320" w:top="144" w:right="479" w:bottom="1440" w:gutter="0" w:footer="0" w:header="0"/>
          <w:type w:val="continuous"/>
        </w:sect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76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Lecanemab (BAN2401)</w:t>
      </w:r>
    </w:p>
    <w:p>
      <w:pPr>
        <w:spacing w:after="0" w:line="135" w:lineRule="exact"/>
        <w:rPr>
          <w:sz w:val="20"/>
          <w:szCs w:val="20"/>
          <w:color w:val="auto"/>
        </w:rPr>
      </w:pPr>
    </w:p>
    <w:p>
      <w:pPr>
        <w:ind w:right="1760" w:firstLine="405"/>
        <w:spacing w:after="0" w:line="251" w:lineRule="auto"/>
        <w:rPr>
          <w:sz w:val="20"/>
          <w:szCs w:val="20"/>
          <w:color w:val="auto"/>
        </w:rPr>
      </w:pPr>
      <w:r>
        <w:rPr>
          <w:rFonts w:ascii="Arial" w:cs="Arial" w:eastAsia="Arial" w:hAnsi="Arial"/>
          <w:sz w:val="18"/>
          <w:szCs w:val="18"/>
          <w:color w:val="auto"/>
        </w:rPr>
        <w:t>In June 2021 the FDA granted Breakthrough Therapy designation for lecanemab, an anti-amyloid antibody for the potential treatment of Alzheimer's disease, which we are developing in collaboration with Eisai. In September 2021 Eisai initiated a rolling submission to the FDA of a BLA for lecanemab. The BLA is being submitted under the accelerated approval pathway and is primarily based on clinical, biomarker and safety data from the Phase 2b clinical trial in people with early Alzheimer's disease and confirmed amyloid pathology.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BYOOVIZ (ranibizumab-nuna)</w:t>
      </w:r>
    </w:p>
    <w:p>
      <w:pPr>
        <w:spacing w:after="0" w:line="135" w:lineRule="exact"/>
        <w:rPr>
          <w:sz w:val="20"/>
          <w:szCs w:val="20"/>
          <w:color w:val="auto"/>
        </w:rPr>
      </w:pPr>
    </w:p>
    <w:p>
      <w:pPr>
        <w:ind w:right="1760" w:firstLine="445"/>
        <w:spacing w:after="0" w:line="252" w:lineRule="auto"/>
        <w:rPr>
          <w:sz w:val="20"/>
          <w:szCs w:val="20"/>
          <w:color w:val="auto"/>
        </w:rPr>
      </w:pPr>
      <w:r>
        <w:rPr>
          <w:rFonts w:ascii="Arial" w:cs="Arial" w:eastAsia="Arial" w:hAnsi="Arial"/>
          <w:sz w:val="18"/>
          <w:szCs w:val="18"/>
          <w:color w:val="auto"/>
        </w:rPr>
        <w:t>In September 2021 we and Samsung Bioepis announced that the FDA has approved BYOOVIZ (ranibizumab-nuna), a biosimilar referencing LUCENTIS for the treatment of neovascular (wet) age-related macular degeneration, macular edema following retinal vein occlusion, and myopic choroidal neovascularization. In addition to the U.S. approval, BYOOVIZ was approved in the E.U. and the U.K. during the third quarter of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BIIB067 (tofersen)</w:t>
      </w:r>
    </w:p>
    <w:p>
      <w:pPr>
        <w:spacing w:after="0" w:line="135" w:lineRule="exact"/>
        <w:rPr>
          <w:sz w:val="20"/>
          <w:szCs w:val="20"/>
          <w:color w:val="auto"/>
        </w:rPr>
      </w:pPr>
    </w:p>
    <w:p>
      <w:pPr>
        <w:ind w:right="1720" w:firstLine="405"/>
        <w:spacing w:after="0" w:line="252" w:lineRule="auto"/>
        <w:rPr>
          <w:sz w:val="20"/>
          <w:szCs w:val="20"/>
          <w:color w:val="auto"/>
        </w:rPr>
      </w:pPr>
      <w:r>
        <w:rPr>
          <w:rFonts w:ascii="Arial" w:cs="Arial" w:eastAsia="Arial" w:hAnsi="Arial"/>
          <w:sz w:val="18"/>
          <w:szCs w:val="18"/>
          <w:color w:val="auto"/>
        </w:rPr>
        <w:t>In October 2021 we announced topline results from our pivotal Phase 3 VALOR study of BIIB067 (tofersen), an investigational antisense drug being evaluated for people with SOD1 ALS, indicating that the primary endpoint was not met. We are engaging with regulators and other key stakeholders to determine potential next steps.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summarized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388"/>
              <w:spacing w:after="0"/>
              <w:rPr>
                <w:sz w:val="20"/>
                <w:szCs w:val="20"/>
                <w:color w:val="auto"/>
              </w:rPr>
            </w:pPr>
            <w:r>
              <w:rPr>
                <w:rFonts w:ascii="Arial" w:cs="Arial" w:eastAsia="Arial" w:hAnsi="Arial"/>
                <w:sz w:val="14"/>
                <w:szCs w:val="14"/>
                <w:b w:val="1"/>
                <w:bCs w:val="1"/>
                <w:color w:val="auto"/>
              </w:rPr>
              <w:t>For the Years Ended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800" w:type="dxa"/>
            <w:vAlign w:val="bottom"/>
            <w:tcBorders>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r>
      <w:tr>
        <w:trPr>
          <w:trHeight w:val="18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2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3,805.7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5,900.1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6,713.8</w:t>
            </w: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5,041.2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4,666.0</w:t>
            </w:r>
          </w:p>
        </w:tc>
      </w:tr>
      <w:tr>
        <w:trPr>
          <w:trHeight w:val="184"/>
        </w:trPr>
        <w:tc>
          <w:tcPr>
            <w:tcW w:w="364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8,846.9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10,692.2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11,379.8</w:t>
            </w:r>
          </w:p>
        </w:tc>
      </w:tr>
      <w:tr>
        <w:trPr>
          <w:trHeight w:val="189"/>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1,658.5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2,290.4</w:t>
            </w:r>
          </w:p>
        </w:tc>
      </w:tr>
      <w:tr>
        <w:trPr>
          <w:trHeight w:val="18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476.3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774.6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707.7</w:t>
            </w:r>
          </w:p>
        </w:tc>
      </w:tr>
      <w:tr>
        <w:trPr>
          <w:trHeight w:val="203"/>
        </w:trPr>
        <w:tc>
          <w:tcPr>
            <w:tcW w:w="364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10,981.7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13,444.6</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14,377.9</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r>
      <w:tr>
        <w:trPr>
          <w:trHeight w:val="183"/>
        </w:trPr>
        <w:tc>
          <w:tcPr>
            <w:tcW w:w="960" w:type="dxa"/>
            <w:vAlign w:val="bottom"/>
            <w:shd w:val="clear" w:color="auto" w:fill="DBDBDB"/>
          </w:tcPr>
          <w:p>
            <w:pPr>
              <w:ind w:left="320"/>
              <w:spacing w:after="0"/>
              <w:rPr>
                <w:sz w:val="20"/>
                <w:szCs w:val="20"/>
                <w:color w:val="auto"/>
              </w:rPr>
            </w:pPr>
            <w:r>
              <w:rPr>
                <w:rFonts w:ascii="Arial" w:cs="Arial" w:eastAsia="Arial" w:hAnsi="Arial"/>
                <w:sz w:val="14"/>
                <w:szCs w:val="14"/>
                <w:b w:val="1"/>
                <w:bCs w:val="1"/>
                <w:color w:val="026DCE"/>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r>
      <w:tr>
        <w:trPr>
          <w:trHeight w:val="135"/>
        </w:trPr>
        <w:tc>
          <w:tcPr>
            <w:tcW w:w="960" w:type="dxa"/>
            <w:vAlign w:val="bottom"/>
            <w:shd w:val="clear" w:color="auto" w:fill="DBDBDB"/>
          </w:tcPr>
          <w:p>
            <w:pPr>
              <w:ind w:left="380"/>
              <w:spacing w:after="0" w:line="135"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vs.</w:t>
            </w:r>
          </w:p>
        </w:tc>
        <w:tc>
          <w:tcPr>
            <w:tcW w:w="220" w:type="dxa"/>
            <w:vAlign w:val="bottom"/>
            <w:shd w:val="clear" w:color="auto" w:fill="DBDBDB"/>
          </w:tcPr>
          <w:p>
            <w:pPr>
              <w:spacing w:after="0"/>
              <w:rPr>
                <w:sz w:val="11"/>
                <w:szCs w:val="11"/>
                <w:color w:val="auto"/>
              </w:rPr>
            </w:pPr>
          </w:p>
        </w:tc>
        <w:tc>
          <w:tcPr>
            <w:tcW w:w="800" w:type="dxa"/>
            <w:vAlign w:val="bottom"/>
            <w:shd w:val="clear" w:color="auto" w:fill="DBDBDB"/>
          </w:tcPr>
          <w:p>
            <w:pPr>
              <w:jc w:val="right"/>
              <w:ind w:right="348"/>
              <w:spacing w:after="0" w:line="135" w:lineRule="exact"/>
              <w:rPr>
                <w:sz w:val="20"/>
                <w:szCs w:val="20"/>
                <w:color w:val="auto"/>
              </w:rPr>
            </w:pPr>
            <w:r>
              <w:rPr>
                <w:rFonts w:ascii="Arial" w:cs="Arial" w:eastAsia="Arial" w:hAnsi="Arial"/>
                <w:sz w:val="14"/>
                <w:szCs w:val="14"/>
                <w:b w:val="1"/>
                <w:bCs w:val="1"/>
                <w:color w:val="026DCE"/>
              </w:rPr>
              <w:t>vs.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328"/>
              <w:spacing w:after="0" w:line="135" w:lineRule="exact"/>
              <w:rPr>
                <w:sz w:val="20"/>
                <w:szCs w:val="20"/>
                <w:color w:val="auto"/>
              </w:rPr>
            </w:pPr>
            <w:r>
              <w:rPr>
                <w:rFonts w:ascii="Arial" w:cs="Arial" w:eastAsia="Arial" w:hAnsi="Arial"/>
                <w:sz w:val="14"/>
                <w:szCs w:val="14"/>
                <w:b w:val="1"/>
                <w:bCs w:val="1"/>
                <w:color w:val="auto"/>
              </w:rPr>
              <w:t>vs.</w:t>
            </w:r>
          </w:p>
        </w:tc>
      </w:tr>
      <w:tr>
        <w:trPr>
          <w:trHeight w:val="175"/>
        </w:trPr>
        <w:tc>
          <w:tcPr>
            <w:tcW w:w="96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2020</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r>
      <w:tr>
        <w:trPr>
          <w:trHeight w:val="183"/>
        </w:trPr>
        <w:tc>
          <w:tcPr>
            <w:tcW w:w="9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960" w:type="dxa"/>
            <w:vAlign w:val="bottom"/>
            <w:shd w:val="clear" w:color="auto" w:fill="DBDBDB"/>
          </w:tcPr>
          <w:p>
            <w:pPr>
              <w:ind w:left="440"/>
              <w:spacing w:after="0"/>
              <w:rPr>
                <w:sz w:val="20"/>
                <w:szCs w:val="20"/>
                <w:color w:val="auto"/>
              </w:rPr>
            </w:pPr>
            <w:r>
              <w:rPr>
                <w:rFonts w:ascii="Arial" w:cs="Arial" w:eastAsia="Arial" w:hAnsi="Arial"/>
                <w:sz w:val="14"/>
                <w:szCs w:val="14"/>
                <w:color w:val="2573BA"/>
              </w:rPr>
              <w:t>(35.5)%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(2,094.4)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(813.7)</w:t>
            </w:r>
          </w:p>
        </w:tc>
      </w:tr>
      <w:tr>
        <w:trPr>
          <w:trHeight w:val="189"/>
        </w:trPr>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2573BA"/>
              </w:rPr>
              <w:t>5.2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249.1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w:t>
            </w:r>
          </w:p>
        </w:tc>
      </w:tr>
      <w:tr>
        <w:trPr>
          <w:trHeight w:val="184"/>
        </w:trPr>
        <w:tc>
          <w:tcPr>
            <w:tcW w:w="960" w:type="dxa"/>
            <w:vAlign w:val="bottom"/>
          </w:tcPr>
          <w:p>
            <w:pPr>
              <w:ind w:left="440"/>
              <w:spacing w:after="0"/>
              <w:rPr>
                <w:sz w:val="20"/>
                <w:szCs w:val="20"/>
                <w:color w:val="auto"/>
              </w:rPr>
            </w:pPr>
            <w:r>
              <w:rPr>
                <w:rFonts w:ascii="Arial" w:cs="Arial" w:eastAsia="Arial" w:hAnsi="Arial"/>
                <w:sz w:val="14"/>
                <w:szCs w:val="14"/>
                <w:color w:val="2573BA"/>
              </w:rPr>
              <w:t>(17.3)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(1,845.3)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(687.6)</w:t>
            </w:r>
          </w:p>
        </w:tc>
      </w:tr>
      <w:tr>
        <w:trPr>
          <w:trHeight w:val="189"/>
        </w:trPr>
        <w:tc>
          <w:tcPr>
            <w:tcW w:w="960" w:type="dxa"/>
            <w:vAlign w:val="bottom"/>
          </w:tcPr>
          <w:p>
            <w:pPr>
              <w:ind w:left="440"/>
              <w:spacing w:after="0"/>
              <w:rPr>
                <w:sz w:val="20"/>
                <w:szCs w:val="20"/>
                <w:color w:val="auto"/>
              </w:rPr>
            </w:pPr>
            <w:r>
              <w:rPr>
                <w:rFonts w:ascii="Arial" w:cs="Arial" w:eastAsia="Arial" w:hAnsi="Arial"/>
                <w:sz w:val="14"/>
                <w:szCs w:val="14"/>
                <w:color w:val="2573BA"/>
              </w:rPr>
              <w:t>(16.1)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(319.3)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(312.6)</w:t>
            </w:r>
          </w:p>
        </w:tc>
      </w:tr>
      <w:tr>
        <w:trPr>
          <w:trHeight w:val="188"/>
        </w:trPr>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2573BA"/>
              </w:rPr>
              <w:t>(38.5)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(298.3)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r>
      <w:tr>
        <w:trPr>
          <w:trHeight w:val="203"/>
        </w:trPr>
        <w:tc>
          <w:tcPr>
            <w:tcW w:w="960" w:type="dxa"/>
            <w:vAlign w:val="bottom"/>
          </w:tcPr>
          <w:p>
            <w:pPr>
              <w:ind w:left="440"/>
              <w:spacing w:after="0"/>
              <w:rPr>
                <w:sz w:val="20"/>
                <w:szCs w:val="20"/>
                <w:color w:val="auto"/>
              </w:rPr>
            </w:pPr>
            <w:r>
              <w:rPr>
                <w:rFonts w:ascii="Arial" w:cs="Arial" w:eastAsia="Arial" w:hAnsi="Arial"/>
                <w:sz w:val="14"/>
                <w:szCs w:val="14"/>
                <w:color w:val="2573BA"/>
              </w:rPr>
              <w:t>(18.3)%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(2,462.9)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(933.3)</w:t>
            </w: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-770890</wp:posOffset>
            </wp:positionV>
            <wp:extent cx="608330" cy="7543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8330" cy="754380"/>
                    </a:xfrm>
                    <a:prstGeom prst="rect">
                      <a:avLst/>
                    </a:prstGeom>
                    <a:noFill/>
                  </pic:spPr>
                </pic:pic>
              </a:graphicData>
            </a:graphic>
          </wp:anchor>
        </w:drawing>
      </w:r>
    </w:p>
    <w:p>
      <w:pPr>
        <w:sectPr>
          <w:pgSz w:w="11900" w:h="16838" w:orient="portrait"/>
          <w:cols w:equalWidth="0" w:num="2">
            <w:col w:w="6900" w:space="100"/>
            <w:col w:w="4240"/>
          </w:cols>
          <w:pgMar w:left="320" w:top="144"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Revenue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shd w:val="clear" w:color="auto" w:fill="DBDBDB"/>
          </w:tcPr>
          <w:p>
            <w:pPr>
              <w:jc w:val="right"/>
              <w:ind w:right="108"/>
              <w:spacing w:after="0" w:line="142" w:lineRule="exact"/>
              <w:rPr>
                <w:sz w:val="20"/>
                <w:szCs w:val="20"/>
                <w:color w:val="auto"/>
              </w:rPr>
            </w:pPr>
            <w:r>
              <w:rPr>
                <w:rFonts w:ascii="Arial" w:cs="Arial" w:eastAsia="Arial" w:hAnsi="Arial"/>
                <w:sz w:val="14"/>
                <w:szCs w:val="14"/>
                <w:b w:val="1"/>
                <w:bCs w:val="1"/>
                <w:color w:val="026DCE"/>
              </w:rPr>
              <w:t>2021</w:t>
            </w:r>
          </w:p>
        </w:tc>
        <w:tc>
          <w:tcPr>
            <w:tcW w:w="140" w:type="dxa"/>
            <w:vAlign w:val="bottom"/>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288"/>
              <w:spacing w:after="0" w:line="142" w:lineRule="exact"/>
              <w:rPr>
                <w:sz w:val="20"/>
                <w:szCs w:val="20"/>
                <w:color w:val="auto"/>
              </w:rPr>
            </w:pPr>
            <w:r>
              <w:rPr>
                <w:rFonts w:ascii="Arial" w:cs="Arial" w:eastAsia="Arial" w:hAnsi="Arial"/>
                <w:sz w:val="14"/>
                <w:szCs w:val="14"/>
                <w:b w:val="1"/>
                <w:bCs w:val="1"/>
                <w:color w:val="026DCE"/>
              </w:rPr>
              <w:t>2021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5"/>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960" w:type="dxa"/>
            <w:vAlign w:val="bottom"/>
            <w:gridSpan w:val="2"/>
            <w:shd w:val="clear" w:color="auto" w:fill="DBDBDB"/>
          </w:tcPr>
          <w:p>
            <w:pPr>
              <w:jc w:val="right"/>
              <w:ind w:right="380"/>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vs.</w:t>
            </w:r>
          </w:p>
        </w:tc>
        <w:tc>
          <w:tcPr>
            <w:tcW w:w="220" w:type="dxa"/>
            <w:vAlign w:val="bottom"/>
            <w:shd w:val="clear" w:color="auto" w:fill="DBDBDB"/>
          </w:tcPr>
          <w:p>
            <w:pPr>
              <w:spacing w:after="0"/>
              <w:rPr>
                <w:sz w:val="10"/>
                <w:szCs w:val="10"/>
                <w:color w:val="auto"/>
              </w:rPr>
            </w:pPr>
          </w:p>
        </w:tc>
        <w:tc>
          <w:tcPr>
            <w:tcW w:w="800" w:type="dxa"/>
            <w:vAlign w:val="bottom"/>
            <w:shd w:val="clear" w:color="auto" w:fill="DBDBDB"/>
          </w:tcPr>
          <w:p>
            <w:pPr>
              <w:jc w:val="right"/>
              <w:ind w:right="348"/>
              <w:spacing w:after="0" w:line="115" w:lineRule="exact"/>
              <w:rPr>
                <w:sz w:val="20"/>
                <w:szCs w:val="20"/>
                <w:color w:val="auto"/>
              </w:rPr>
            </w:pPr>
            <w:r>
              <w:rPr>
                <w:rFonts w:ascii="Arial" w:cs="Arial" w:eastAsia="Arial" w:hAnsi="Arial"/>
                <w:sz w:val="13"/>
                <w:szCs w:val="13"/>
                <w:b w:val="1"/>
                <w:bCs w:val="1"/>
                <w:color w:val="026DCE"/>
              </w:rPr>
              <w:t>vs.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jc w:val="right"/>
              <w:ind w:right="328"/>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52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2021</w:t>
            </w:r>
          </w:p>
        </w:tc>
        <w:tc>
          <w:tcPr>
            <w:tcW w:w="28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20" w:type="dxa"/>
            <w:vAlign w:val="bottom"/>
            <w:tcBorders>
              <w:top w:val="single" w:sz="8" w:color="DBDBDB"/>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026DCE"/>
              </w:rPr>
              <w:t>2020</w:t>
            </w:r>
          </w:p>
        </w:tc>
        <w:tc>
          <w:tcPr>
            <w:tcW w:w="140" w:type="dxa"/>
            <w:vAlign w:val="bottom"/>
            <w:tcBorders>
              <w:top w:val="single" w:sz="8" w:color="DBDBDB"/>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20" w:type="dxa"/>
            <w:vAlign w:val="bottom"/>
            <w:tcBorders>
              <w:top w:val="single" w:sz="8" w:color="DBDBDB"/>
              <w:bottom w:val="single" w:sz="8" w:color="auto"/>
            </w:tcBorders>
            <w:shd w:val="clear" w:color="auto" w:fill="DBDBDB"/>
          </w:tcPr>
          <w:p>
            <w:pPr>
              <w:spacing w:after="0"/>
              <w:rPr>
                <w:sz w:val="15"/>
                <w:szCs w:val="15"/>
                <w:color w:val="auto"/>
              </w:rPr>
            </w:pPr>
          </w:p>
        </w:tc>
        <w:tc>
          <w:tcPr>
            <w:tcW w:w="800" w:type="dxa"/>
            <w:vAlign w:val="bottom"/>
            <w:tcBorders>
              <w:top w:val="single" w:sz="8" w:color="DBDBDB"/>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2020</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220" w:type="dxa"/>
            <w:vAlign w:val="bottom"/>
            <w:shd w:val="clear" w:color="auto" w:fill="DDDDDD"/>
          </w:tcPr>
          <w:p>
            <w:pPr>
              <w:spacing w:after="0"/>
              <w:rPr>
                <w:sz w:val="15"/>
                <w:szCs w:val="15"/>
                <w:color w:val="auto"/>
              </w:rPr>
            </w:pPr>
          </w:p>
        </w:tc>
        <w:tc>
          <w:tcPr>
            <w:tcW w:w="5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Fumarate</w:t>
            </w:r>
            <w:r>
              <w:rPr>
                <w:rFonts w:ascii="Arial" w:cs="Arial" w:eastAsia="Arial" w:hAnsi="Arial"/>
                <w:sz w:val="9"/>
                <w:szCs w:val="9"/>
                <w:color w:val="auto"/>
              </w:rPr>
              <w:t>(1)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2,362.3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3,905.4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4,438.2</w:t>
            </w:r>
          </w:p>
        </w:tc>
        <w:tc>
          <w:tcPr>
            <w:tcW w:w="100" w:type="dxa"/>
            <w:vAlign w:val="bottom"/>
          </w:tcPr>
          <w:p>
            <w:pPr>
              <w:spacing w:after="0"/>
              <w:rPr>
                <w:sz w:val="16"/>
                <w:szCs w:val="16"/>
                <w:color w:val="auto"/>
              </w:rPr>
            </w:pPr>
          </w:p>
        </w:tc>
        <w:tc>
          <w:tcPr>
            <w:tcW w:w="96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2573BA"/>
              </w:rPr>
              <w:t>(39.5)%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(1,543.1)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(532.8)</w:t>
            </w:r>
          </w:p>
        </w:tc>
        <w:tc>
          <w:tcPr>
            <w:tcW w:w="0" w:type="dxa"/>
            <w:vAlign w:val="bottom"/>
          </w:tcPr>
          <w:p>
            <w:pPr>
              <w:spacing w:after="0"/>
              <w:rPr>
                <w:sz w:val="1"/>
                <w:szCs w:val="1"/>
                <w:color w:val="auto"/>
              </w:rPr>
            </w:pPr>
          </w:p>
        </w:tc>
      </w:tr>
      <w:tr>
        <w:trPr>
          <w:trHeight w:val="190"/>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Interferon</w:t>
            </w:r>
            <w:r>
              <w:rPr>
                <w:rFonts w:ascii="Arial" w:cs="Arial" w:eastAsia="Arial" w:hAnsi="Arial"/>
                <w:sz w:val="9"/>
                <w:szCs w:val="9"/>
                <w:color w:val="auto"/>
              </w:rPr>
              <w:t>(2)</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1,566.1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1,877.5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2,101.8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(16.6)</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2,063.1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1,946.1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1,892.2</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6.0</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88"/>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105.2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573BA"/>
              </w:rPr>
              <w:t>2.0</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3"/>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Subtotal: MS</w:t>
            </w:r>
          </w:p>
        </w:tc>
        <w:tc>
          <w:tcPr>
            <w:tcW w:w="22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6,096.7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7,832.1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8,529.3</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(22.2)</w:t>
            </w:r>
          </w:p>
        </w:tc>
        <w:tc>
          <w:tcPr>
            <w:tcW w:w="14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(697.2)</w:t>
            </w:r>
          </w:p>
        </w:tc>
        <w:tc>
          <w:tcPr>
            <w:tcW w:w="0" w:type="dxa"/>
            <w:vAlign w:val="bottom"/>
          </w:tcPr>
          <w:p>
            <w:pPr>
              <w:spacing w:after="0"/>
              <w:rPr>
                <w:sz w:val="1"/>
                <w:szCs w:val="1"/>
                <w:color w:val="auto"/>
              </w:rPr>
            </w:pPr>
          </w:p>
        </w:tc>
      </w:tr>
      <w:tr>
        <w:trPr>
          <w:trHeight w:val="29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22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1,905.1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2,052.1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2,097.0</w:t>
            </w:r>
          </w:p>
        </w:tc>
        <w:tc>
          <w:tcPr>
            <w:tcW w:w="100" w:type="dxa"/>
            <w:vAlign w:val="bottom"/>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573BA"/>
              </w:rPr>
              <w:t>(7.2)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97"/>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Alzheimer's disease:</w:t>
            </w:r>
          </w:p>
        </w:tc>
        <w:tc>
          <w:tcPr>
            <w:tcW w:w="22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ADUHELM</w:t>
            </w:r>
            <w:r>
              <w:rPr>
                <w:rFonts w:ascii="Arial" w:cs="Arial" w:eastAsia="Arial" w:hAnsi="Arial"/>
                <w:sz w:val="9"/>
                <w:szCs w:val="9"/>
                <w:color w:val="auto"/>
              </w:rPr>
              <w:t>(3)</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2573BA"/>
              </w:rPr>
              <w:t>nm</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6"/>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22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498.3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1"/>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233.4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7.9</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88"/>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99.4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3"/>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Subtotal: Biosimilars</w:t>
            </w:r>
          </w:p>
        </w:tc>
        <w:tc>
          <w:tcPr>
            <w:tcW w:w="22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831.1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738.3</w:t>
            </w:r>
          </w:p>
        </w:tc>
        <w:tc>
          <w:tcPr>
            <w:tcW w:w="100" w:type="dxa"/>
            <w:vAlign w:val="bottom"/>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w:t>
            </w:r>
          </w:p>
        </w:tc>
        <w:tc>
          <w:tcPr>
            <w:tcW w:w="14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298"/>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DBDBDB"/>
          </w:tcPr>
          <w:p>
            <w:pPr>
              <w:spacing w:after="0"/>
              <w:rPr>
                <w:sz w:val="24"/>
                <w:szCs w:val="24"/>
                <w:color w:val="auto"/>
              </w:rPr>
            </w:pPr>
          </w:p>
        </w:tc>
        <w:tc>
          <w:tcPr>
            <w:tcW w:w="52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800" w:type="dxa"/>
            <w:vAlign w:val="bottom"/>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2573BA"/>
              </w:rPr>
              <w:t>(9.8)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shd w:val="clear" w:color="auto" w:fill="DBDBDB"/>
          </w:tcPr>
          <w:p>
            <w:pPr>
              <w:spacing w:after="0"/>
              <w:rPr>
                <w:sz w:val="9"/>
                <w:szCs w:val="9"/>
                <w:color w:val="auto"/>
              </w:rPr>
            </w:pPr>
          </w:p>
        </w:tc>
        <w:tc>
          <w:tcPr>
            <w:tcW w:w="520" w:type="dxa"/>
            <w:vAlign w:val="bottom"/>
            <w:tcBorders>
              <w:bottom w:val="single" w:sz="8" w:color="auto"/>
            </w:tcBorders>
            <w:shd w:val="clear" w:color="auto" w:fill="DBDBDB"/>
          </w:tcPr>
          <w:p>
            <w:pPr>
              <w:spacing w:after="0"/>
              <w:rPr>
                <w:sz w:val="9"/>
                <w:szCs w:val="9"/>
                <w:color w:val="auto"/>
              </w:rPr>
            </w:pPr>
          </w:p>
        </w:tc>
        <w:tc>
          <w:tcPr>
            <w:tcW w:w="280" w:type="dxa"/>
            <w:vAlign w:val="bottom"/>
            <w:tcBorders>
              <w:bottom w:val="single" w:sz="8" w:color="auto"/>
            </w:tcBorders>
            <w:shd w:val="clear" w:color="auto" w:fill="DBDBDB"/>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bottom w:val="single" w:sz="8" w:color="auto"/>
            </w:tcBorders>
            <w:gridSpan w:val="2"/>
            <w:shd w:val="clear" w:color="auto" w:fill="DBDBDB"/>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auto"/>
            </w:tcBorders>
            <w:shd w:val="clear" w:color="auto" w:fill="DBDBDB"/>
          </w:tcPr>
          <w:p>
            <w:pPr>
              <w:spacing w:after="0"/>
              <w:rPr>
                <w:sz w:val="9"/>
                <w:szCs w:val="9"/>
                <w:color w:val="auto"/>
              </w:rPr>
            </w:pPr>
          </w:p>
        </w:tc>
        <w:tc>
          <w:tcPr>
            <w:tcW w:w="800" w:type="dxa"/>
            <w:vAlign w:val="bottom"/>
            <w:tcBorders>
              <w:bottom w:val="single" w:sz="8" w:color="auto"/>
            </w:tcBorders>
            <w:shd w:val="clear" w:color="auto" w:fill="DBDBDB"/>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ind w:left="22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8,846.9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10,692.2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11,379.8</w:t>
            </w:r>
          </w:p>
        </w:tc>
        <w:tc>
          <w:tcPr>
            <w:tcW w:w="100" w:type="dxa"/>
            <w:vAlign w:val="bottom"/>
          </w:tcPr>
          <w:p>
            <w:pPr>
              <w:spacing w:after="0"/>
              <w:rPr>
                <w:sz w:val="17"/>
                <w:szCs w:val="17"/>
                <w:color w:val="auto"/>
              </w:rPr>
            </w:pPr>
          </w:p>
        </w:tc>
        <w:tc>
          <w:tcPr>
            <w:tcW w:w="96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2573BA"/>
              </w:rPr>
              <w:t>(17.3)%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(1,845.3)</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(687.6)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-2562225</wp:posOffset>
            </wp:positionV>
            <wp:extent cx="514350" cy="6083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 cy="608330"/>
                    </a:xfrm>
                    <a:prstGeom prst="rect">
                      <a:avLst/>
                    </a:prstGeom>
                    <a:noFill/>
                  </pic:spPr>
                </pic:pic>
              </a:graphicData>
            </a:graphic>
          </wp:anchor>
        </w:drawing>
      </w:r>
    </w:p>
    <w:p>
      <w:pPr>
        <w:spacing w:after="0" w:line="72" w:lineRule="exact"/>
        <w:rPr>
          <w:sz w:val="20"/>
          <w:szCs w:val="20"/>
          <w:color w:val="auto"/>
        </w:rPr>
      </w:pPr>
    </w:p>
    <w:p>
      <w:pPr>
        <w:ind w:left="160" w:hanging="152"/>
        <w:spacing w:after="0"/>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Fumarate includes TECFIDERA and VUMERITY. VUMERITY became commercially available in the E.U. during the fourth quarter of 2021.</w:t>
      </w:r>
    </w:p>
    <w:p>
      <w:pPr>
        <w:spacing w:after="0" w:line="16" w:lineRule="exact"/>
        <w:rPr>
          <w:rFonts w:ascii="Arial" w:cs="Arial" w:eastAsia="Arial" w:hAnsi="Arial"/>
          <w:sz w:val="18"/>
          <w:szCs w:val="18"/>
          <w:color w:val="auto"/>
          <w:vertAlign w:val="superscript"/>
        </w:rPr>
      </w:pPr>
    </w:p>
    <w:p>
      <w:pPr>
        <w:ind w:left="160" w:hanging="152"/>
        <w:spacing w:after="0" w:line="187" w:lineRule="auto"/>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Interferon includes AVONEX and PLEGRIDY.</w:t>
      </w:r>
    </w:p>
    <w:p>
      <w:pPr>
        <w:jc w:val="both"/>
        <w:ind w:right="520" w:firstLine="8"/>
        <w:spacing w:after="0"/>
        <w:tabs>
          <w:tab w:leader="none" w:pos="154"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 xml:space="preserve">In June 2021 the FDA granted accelerated approval of ADUHELM, which became commercially available in the U.S. during the second quarter of 2021. For additional information, please read </w:t>
      </w:r>
      <w:r>
        <w:rPr>
          <w:rFonts w:ascii="Arial" w:cs="Arial" w:eastAsia="Arial" w:hAnsi="Arial"/>
          <w:sz w:val="13"/>
          <w:szCs w:val="13"/>
          <w:i w:val="1"/>
          <w:iCs w:val="1"/>
          <w:color w:val="auto"/>
        </w:rPr>
        <w:t>Note 18, Collaborative and Other Relationships - Eisai Co., Ltd. - ADUHELM Collaboration Agreement,</w:t>
      </w:r>
      <w:r>
        <w:rPr>
          <w:rFonts w:ascii="Arial" w:cs="Arial" w:eastAsia="Arial" w:hAnsi="Arial"/>
          <w:sz w:val="13"/>
          <w:szCs w:val="13"/>
          <w:color w:val="auto"/>
        </w:rPr>
        <w:t xml:space="preserve"> to our consolidated financial statements included in this report.</w:t>
      </w:r>
    </w:p>
    <w:p>
      <w:pPr>
        <w:spacing w:after="0" w:line="141"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Multiple Sclerosis (MS)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Fumarate revenue includes sales from TECFIDERA and VUMERITY. During the fourth quarter of 2021 VUMERITY was approved for the treatment of RRMS in the E.U., Switzerland and the U.K.</w:t>
      </w:r>
    </w:p>
    <w:p>
      <w:pPr>
        <w:spacing w:after="0" w:line="96"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For 2021 compared to 2020, the 60.3% decrease in U.S. Fumarate revenue was primarily due to a decrease in TECFIDERA demand as a result of multiple TECFIDERA generic entrants entering the U.S. market. The decrease was partially offset by an increase in VUMERITY sales volumes in the U.S.</w:t>
      </w:r>
    </w:p>
    <w:p>
      <w:pPr>
        <w:spacing w:after="0" w:line="138"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For 2021 compared to 2020, the 9.4% increase in rest of world Fumarate revenue was primarily due to an increase in TECFIDERA sales volumes of 6.2%.</w:t>
      </w:r>
    </w:p>
    <w:p>
      <w:pPr>
        <w:spacing w:after="0" w:line="94"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2020 U.S. federal courts in West Virginia and Delaware entered judgments in favor of the defendants in patent infringement proceedings relating to TECFIDERA Orange-Book listed patents. We appealed both decisions. In late 2021 the Federal Circuit affirmed the judgment of the West Virginia federal court. The appeals in the Delaware cases were stayed and we expect will remain so until the decision in the West Virginia case becomes final.</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continue to have a substantial and increasing negative impact on our U.S. TECFIDERA revenue in the future.</w:t>
      </w:r>
    </w:p>
    <w:p>
      <w:pPr>
        <w:spacing w:after="0" w:line="10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In May 2021 the European General Court annulled the EMA's decision not to validate applications for approval of TECFIDERA generics on the basis that the EMA conducted the wrong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assessment when determining TECFIDERA's entitlement to regulatory data and marketing protection. Our Company, the EMA and the EC have each appealed the General Court’s decision as wrongly decided and the appeal is pending.</w:t>
      </w:r>
    </w:p>
    <w:p>
      <w:pPr>
        <w:spacing w:after="0" w:line="83"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In November 2021 the CHMP of the EMA issued an ad hoc opinion referencing the General Court’s decision which concluded that "the totality of the available data cannot establish that [monoethyl fumarate] exerts a clinically relevant therapeutic contribution within FUMADERM." The EC will decide TECFIDERA’s entitlement to regulatory data and market protection. If data and market protection is not upheld, we could face generic competition in the E.U. as early as the first half of 2022, which would have an adverse impact on our TECFIDERA sales in the E.U. and our results of operations.</w:t>
      </w:r>
    </w:p>
    <w:p>
      <w:pPr>
        <w:spacing w:after="0" w:line="85" w:lineRule="exact"/>
        <w:rPr>
          <w:sz w:val="20"/>
          <w:szCs w:val="20"/>
          <w:color w:val="auto"/>
        </w:rPr>
      </w:pPr>
    </w:p>
    <w:p>
      <w:pPr>
        <w:jc w:val="both"/>
        <w:ind w:right="180" w:firstLine="405"/>
        <w:spacing w:after="0" w:line="282" w:lineRule="auto"/>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72"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expect that TECFIDERA revenue will continue to decline in 2022, compared to 2021, as a result of increasing generic competition.</w:t>
      </w:r>
    </w:p>
    <w:p>
      <w:pPr>
        <w:spacing w:after="0" w:line="94" w:lineRule="exact"/>
        <w:rPr>
          <w:sz w:val="20"/>
          <w:szCs w:val="20"/>
          <w:color w:val="auto"/>
        </w:rPr>
      </w:pPr>
    </w:p>
    <w:p>
      <w:pPr>
        <w:jc w:val="both"/>
        <w:ind w:right="440" w:firstLine="405"/>
        <w:spacing w:after="0" w:line="278" w:lineRule="auto"/>
        <w:rPr>
          <w:sz w:val="20"/>
          <w:szCs w:val="20"/>
          <w:color w:val="auto"/>
        </w:rPr>
      </w:pPr>
      <w:r>
        <w:rPr>
          <w:rFonts w:ascii="Arial" w:cs="Arial" w:eastAsia="Arial" w:hAnsi="Arial"/>
          <w:sz w:val="17"/>
          <w:szCs w:val="17"/>
          <w:color w:val="auto"/>
        </w:rPr>
        <w:t>We expect an increase in VUMERITY sales volumes in 2022, compared to 2021, mostly driven by demand growth, including the continued launch of VUMERITY in the E.U.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Interferon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120650</wp:posOffset>
            </wp:positionV>
            <wp:extent cx="2717165" cy="26231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 2021 compared to 2020, the 22.8% decrease in U.S. Interferon revenue was primarily due to a decrease in Interferon sales volumes of 18.7%. The net decline in sales volumes reflects the continued decline of the Interferon market as patients transition to other higher efficacy and oral MS therapies.</w:t>
      </w:r>
    </w:p>
    <w:p>
      <w:pPr>
        <w:spacing w:after="0" w:line="1362" w:lineRule="exact"/>
        <w:rPr>
          <w:sz w:val="20"/>
          <w:szCs w:val="20"/>
          <w:color w:val="auto"/>
        </w:rPr>
      </w:pPr>
    </w:p>
    <w:p>
      <w:pPr>
        <w:sectPr>
          <w:pgSz w:w="11900" w:h="16838" w:orient="portrait"/>
          <w:cols w:equalWidth="0" w:num="2">
            <w:col w:w="5220" w:space="680"/>
            <w:col w:w="5220"/>
          </w:cols>
          <w:pgMar w:left="320" w:top="144" w:right="459" w:bottom="144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40"/>
          </w:cols>
          <w:pgMar w:left="320" w:top="144"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For 2021 compared to 2020, the 3.5% decrease in rest of world Interferon revenue was primarily due to a decrease in Interferon sales volumes of 3.8%.</w:t>
      </w:r>
    </w:p>
    <w:p>
      <w:pPr>
        <w:spacing w:after="0" w:line="9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expect that Interferon revenue will continue to decline in both the U.S. and rest of world markets in 2022, compared to 2021, as a result of increasing competition from other MS products, including biosimilars, and further pricing reductions in certain European markets.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For 2021 compared to 2020, the 4.1% increase in U.S. TYSABRI revenue was primarily due to an increase in pricing, partially offset by a decrease in sales volumes.</w:t>
      </w:r>
    </w:p>
    <w:p>
      <w:pPr>
        <w:spacing w:after="0" w:line="94"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For 2021 compared to 2020, the 8.4% increase in rest of world TYSABRI revenue was primarily due to favorable volume impacts, partially offset by decreases in pricing.</w:t>
      </w:r>
    </w:p>
    <w:p>
      <w:pPr>
        <w:spacing w:after="0" w:line="94"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We anticipate TYSABRI revenue to be relatively flat on a global basis in 2022, compared to 2021, despite increasing competition from additional treatments for MS. We expect to continue to face price reductions in certain European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Spinal Muscular Atrophy</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SPINRAZA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17780</wp:posOffset>
            </wp:positionV>
            <wp:extent cx="2717165" cy="26231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380" w:right="220" w:firstLine="405"/>
        <w:spacing w:after="0" w:line="256" w:lineRule="auto"/>
        <w:rPr>
          <w:sz w:val="20"/>
          <w:szCs w:val="20"/>
          <w:color w:val="auto"/>
        </w:rPr>
      </w:pPr>
      <w:r>
        <w:rPr>
          <w:rFonts w:ascii="Arial" w:cs="Arial" w:eastAsia="Arial" w:hAnsi="Arial"/>
          <w:sz w:val="18"/>
          <w:szCs w:val="18"/>
          <w:color w:val="auto"/>
        </w:rPr>
        <w:t>For 2021 compared to 2020, the 25.4% decrease in U.S. SPINRAZA revenue was primarily due to a decrease in sales volumes of 24.2%, resulting from increased competition.</w:t>
      </w:r>
    </w:p>
    <w:p>
      <w:pPr>
        <w:spacing w:after="0" w:line="94" w:lineRule="exact"/>
        <w:rPr>
          <w:sz w:val="20"/>
          <w:szCs w:val="20"/>
          <w:color w:val="auto"/>
        </w:rPr>
      </w:pPr>
    </w:p>
    <w:p>
      <w:pPr>
        <w:ind w:left="380" w:right="220" w:firstLine="405"/>
        <w:spacing w:after="0" w:line="252" w:lineRule="auto"/>
        <w:rPr>
          <w:sz w:val="20"/>
          <w:szCs w:val="20"/>
          <w:color w:val="auto"/>
        </w:rPr>
      </w:pPr>
      <w:r>
        <w:rPr>
          <w:rFonts w:ascii="Arial" w:cs="Arial" w:eastAsia="Arial" w:hAnsi="Arial"/>
          <w:sz w:val="18"/>
          <w:szCs w:val="18"/>
          <w:color w:val="auto"/>
        </w:rPr>
        <w:t>For 2021 compared to 2020, the 4.2% increase in rest of world SPINRAZA revenue was primarily due to an increase in sales volumes, particularly in Latin America and certain distributor markets. These increases were offset by lower volumes resulting from increased competition in certain established markets, particularly Germany.</w:t>
      </w:r>
    </w:p>
    <w:p>
      <w:pPr>
        <w:spacing w:after="0" w:line="100" w:lineRule="exact"/>
        <w:rPr>
          <w:sz w:val="20"/>
          <w:szCs w:val="20"/>
          <w:color w:val="auto"/>
        </w:rPr>
      </w:pPr>
    </w:p>
    <w:p>
      <w:pPr>
        <w:ind w:left="380" w:right="60" w:firstLine="405"/>
        <w:spacing w:after="0" w:line="252" w:lineRule="auto"/>
        <w:rPr>
          <w:sz w:val="20"/>
          <w:szCs w:val="20"/>
          <w:color w:val="auto"/>
        </w:rPr>
      </w:pPr>
      <w:r>
        <w:rPr>
          <w:rFonts w:ascii="Arial" w:cs="Arial" w:eastAsia="Arial" w:hAnsi="Arial"/>
          <w:sz w:val="18"/>
          <w:szCs w:val="18"/>
          <w:color w:val="auto"/>
        </w:rPr>
        <w:t>We face competition from a gene therapy product and an oral product. In 2022 we expect that SPINRAZA revenue will be subject to increased competition, likely resulting in continued patient discontinuations and a lower rate of new patient starts, combined with the impact of loading dose dynamics, as patients transition to dosing once every four months, and lower prices in certain rest of world countries.</w:t>
      </w:r>
    </w:p>
    <w:p>
      <w:pPr>
        <w:spacing w:after="0" w:line="99" w:lineRule="exact"/>
        <w:rPr>
          <w:sz w:val="20"/>
          <w:szCs w:val="20"/>
          <w:color w:val="auto"/>
        </w:rPr>
      </w:pPr>
    </w:p>
    <w:p>
      <w:pPr>
        <w:ind w:left="3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20"/>
          </w:cols>
          <w:pgMar w:left="320" w:top="144" w:right="539" w:bottom="1440" w:gutter="0" w:footer="0" w:header="0"/>
          <w:type w:val="continuous"/>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Alzheimer's Disease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717165" cy="21431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171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In June 2021 the FDA granted accelerated approval of ADUHELM, which became commercially available in the U.S. during the second quarter of 2021.</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expect minimal sales of ADUHELM in 2022.</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Biosimilars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BENEPALI, IMRALDI and FLIXABI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6231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During the third quarter of 2021 BYOOVIZ, a biosimilar referencing LUCENTIS, was approved in the U.S., the E.U and the U.K.</w:t>
      </w:r>
    </w:p>
    <w:p>
      <w:pPr>
        <w:spacing w:after="0" w:line="94"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For 2021 compared to 2020, the 4.4% increase in biosimilar revenue was primarily due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favorable impact of higher volumes and foreign currency exchange, partially offset by decreases in pricing in certain markets.</w:t>
      </w:r>
    </w:p>
    <w:p>
      <w:pPr>
        <w:spacing w:after="0" w:line="94" w:lineRule="exact"/>
        <w:rPr>
          <w:sz w:val="20"/>
          <w:szCs w:val="20"/>
          <w:color w:val="auto"/>
        </w:rPr>
      </w:pPr>
    </w:p>
    <w:p>
      <w:pPr>
        <w:ind w:right="260" w:firstLine="405"/>
        <w:spacing w:after="0" w:line="253" w:lineRule="auto"/>
        <w:rPr>
          <w:sz w:val="20"/>
          <w:szCs w:val="20"/>
          <w:color w:val="auto"/>
        </w:rPr>
      </w:pPr>
      <w:r>
        <w:rPr>
          <w:rFonts w:ascii="Arial" w:cs="Arial" w:eastAsia="Arial" w:hAnsi="Arial"/>
          <w:sz w:val="18"/>
          <w:szCs w:val="18"/>
          <w:color w:val="auto"/>
        </w:rPr>
        <w:t>We anticipate a slight decline in revenue from our biosimilars business in 2022 compared to 2021, despite the launch of BYOOVIZ in the U.S. and an anticipated modest increase in sales volume in 2022, as we continue to face price reductions in certain markets.</w:t>
      </w:r>
    </w:p>
    <w:p>
      <w:pPr>
        <w:spacing w:after="0" w:line="97" w:lineRule="exact"/>
        <w:rPr>
          <w:sz w:val="20"/>
          <w:szCs w:val="20"/>
          <w:color w:val="auto"/>
        </w:rPr>
      </w:pPr>
    </w:p>
    <w:p>
      <w:pPr>
        <w:ind w:right="50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 from Anti-CD20 Therapeutic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(Roche Group)</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share of RITUXAN, including RITUXAN HYCELA, and GAZYVA collaboration operating profits in the U.S. and other revenue from anti-CD20 therapeutic programs are summarized in the table below. For purposes of this discussion, we refer to RITUXAN and RITUXAN HYCELA collectively as RITUXAN.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717165" cy="31375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17165" cy="3137535"/>
                    </a:xfrm>
                    <a:prstGeom prst="rect">
                      <a:avLst/>
                    </a:prstGeom>
                    <a:noFill/>
                  </pic:spPr>
                </pic:pic>
              </a:graphicData>
            </a:graphic>
          </wp:anchor>
        </w:drawing>
      </w:r>
    </w:p>
    <w:p>
      <w:pPr>
        <w:spacing w:after="0" w:line="7699" w:lineRule="exact"/>
        <w:rPr>
          <w:sz w:val="20"/>
          <w:szCs w:val="20"/>
          <w:color w:val="auto"/>
        </w:rPr>
      </w:pPr>
    </w:p>
    <w:p>
      <w:pPr>
        <w:sectPr>
          <w:pgSz w:w="11900" w:h="16838" w:orient="portrait"/>
          <w:cols w:equalWidth="0" w:num="2">
            <w:col w:w="5180" w:space="720"/>
            <w:col w:w="5200"/>
          </w:cols>
          <w:pgMar w:left="320" w:top="144" w:right="479" w:bottom="1440" w:gutter="0" w:footer="0" w:header="0"/>
        </w:sect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538235"/>
        </w:rPr>
        <w:t>Biogen’s Share of Pre-tax Profits in the U.S. for RITUXAN and GAZYVA</w:t>
      </w:r>
    </w:p>
    <w:p>
      <w:pPr>
        <w:spacing w:after="0" w:line="72"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The following table provides a summary of amounts comprising our share of pre-tax profits in the U.S. for RITUXAN and GAZYVA: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488"/>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right w:val="single" w:sz="8" w:color="DDDDDD"/>
            </w:tcBorders>
            <w:shd w:val="clear" w:color="auto" w:fill="DDDDDD"/>
          </w:tcPr>
          <w:p>
            <w:pPr>
              <w:jc w:val="right"/>
              <w:ind w:right="30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6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2,032.0</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3,334.1</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4,747.4</w:t>
            </w:r>
          </w:p>
        </w:tc>
        <w:tc>
          <w:tcPr>
            <w:tcW w:w="0" w:type="dxa"/>
            <w:vAlign w:val="bottom"/>
          </w:tcPr>
          <w:p>
            <w:pPr>
              <w:spacing w:after="0"/>
              <w:rPr>
                <w:sz w:val="1"/>
                <w:szCs w:val="1"/>
                <w:color w:val="auto"/>
              </w:rPr>
            </w:pPr>
          </w:p>
        </w:tc>
      </w:tr>
      <w:tr>
        <w:trPr>
          <w:trHeight w:val="189"/>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12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291.8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622.7</w:t>
            </w:r>
          </w:p>
        </w:tc>
        <w:tc>
          <w:tcPr>
            <w:tcW w:w="0" w:type="dxa"/>
            <w:vAlign w:val="bottom"/>
          </w:tcPr>
          <w:p>
            <w:pPr>
              <w:spacing w:after="0"/>
              <w:rPr>
                <w:sz w:val="1"/>
                <w:szCs w:val="1"/>
                <w:color w:val="auto"/>
              </w:rPr>
            </w:pPr>
          </w:p>
        </w:tc>
      </w:tr>
      <w:tr>
        <w:trPr>
          <w:trHeight w:val="133"/>
        </w:trPr>
        <w:tc>
          <w:tcPr>
            <w:tcW w:w="174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Pre-tax profits in the</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6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1,740.2</w:t>
            </w:r>
          </w:p>
        </w:tc>
        <w:tc>
          <w:tcPr>
            <w:tcW w:w="120" w:type="dxa"/>
            <w:vAlign w:val="bottom"/>
            <w:vMerge w:val="restart"/>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2,901.1</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4,124.7</w:t>
            </w:r>
          </w:p>
        </w:tc>
        <w:tc>
          <w:tcPr>
            <w:tcW w:w="0" w:type="dxa"/>
            <w:vAlign w:val="bottom"/>
          </w:tcPr>
          <w:p>
            <w:pPr>
              <w:spacing w:after="0"/>
              <w:rPr>
                <w:sz w:val="1"/>
                <w:szCs w:val="1"/>
                <w:color w:val="auto"/>
              </w:rPr>
            </w:pPr>
          </w:p>
        </w:tc>
      </w:tr>
      <w:tr>
        <w:trPr>
          <w:trHeight w:val="189"/>
        </w:trPr>
        <w:tc>
          <w:tcPr>
            <w:tcW w:w="17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U.S.</w:t>
            </w:r>
          </w:p>
        </w:tc>
        <w:tc>
          <w:tcPr>
            <w:tcW w:w="120" w:type="dxa"/>
            <w:vAlign w:val="bottom"/>
            <w:tcBorders>
              <w:bottom w:val="single" w:sz="8" w:color="auto"/>
            </w:tcBorders>
            <w:vMerge w:val="continue"/>
            <w:shd w:val="clear" w:color="auto" w:fill="DBDBDB"/>
          </w:tcPr>
          <w:p>
            <w:pPr>
              <w:spacing w:after="0"/>
              <w:rPr>
                <w:sz w:val="16"/>
                <w:szCs w:val="16"/>
                <w:color w:val="auto"/>
              </w:rPr>
            </w:pPr>
          </w:p>
        </w:tc>
        <w:tc>
          <w:tcPr>
            <w:tcW w:w="960" w:type="dxa"/>
            <w:vAlign w:val="bottom"/>
            <w:tcBorders>
              <w:bottom w:val="single" w:sz="8" w:color="auto"/>
              <w:right w:val="single" w:sz="8" w:color="DBDBDB"/>
            </w:tcBorders>
            <w:vMerge w:val="continue"/>
            <w:shd w:val="clear" w:color="auto" w:fill="DBDBDB"/>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740" w:type="dxa"/>
            <w:vAlign w:val="bottom"/>
            <w:gridSpan w:val="2"/>
          </w:tcPr>
          <w:p>
            <w:pPr>
              <w:ind w:left="20"/>
              <w:spacing w:after="0" w:line="120" w:lineRule="exact"/>
              <w:rPr>
                <w:sz w:val="20"/>
                <w:szCs w:val="20"/>
                <w:color w:val="auto"/>
              </w:rPr>
            </w:pPr>
            <w:r>
              <w:rPr>
                <w:rFonts w:ascii="Arial" w:cs="Arial" w:eastAsia="Arial" w:hAnsi="Arial"/>
                <w:sz w:val="13"/>
                <w:szCs w:val="13"/>
                <w:color w:val="auto"/>
              </w:rPr>
              <w:t>Biogen's share of pre-tax</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6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647.7</w:t>
            </w: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1,080.2</w:t>
            </w:r>
          </w:p>
        </w:tc>
        <w:tc>
          <w:tcPr>
            <w:tcW w:w="120" w:type="dxa"/>
            <w:vAlign w:val="bottom"/>
          </w:tcPr>
          <w:p>
            <w:pPr>
              <w:spacing w:after="0"/>
              <w:rPr>
                <w:sz w:val="10"/>
                <w:szCs w:val="10"/>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1,542.4</w:t>
            </w:r>
          </w:p>
        </w:tc>
        <w:tc>
          <w:tcPr>
            <w:tcW w:w="0" w:type="dxa"/>
            <w:vAlign w:val="bottom"/>
          </w:tcPr>
          <w:p>
            <w:pPr>
              <w:spacing w:after="0"/>
              <w:rPr>
                <w:sz w:val="1"/>
                <w:szCs w:val="1"/>
                <w:color w:val="auto"/>
              </w:rPr>
            </w:pPr>
          </w:p>
        </w:tc>
      </w:tr>
      <w:tr>
        <w:trPr>
          <w:trHeight w:val="164"/>
        </w:trPr>
        <w:tc>
          <w:tcPr>
            <w:tcW w:w="17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profits</w:t>
            </w:r>
          </w:p>
        </w:tc>
        <w:tc>
          <w:tcPr>
            <w:tcW w:w="120" w:type="dxa"/>
            <w:vAlign w:val="bottom"/>
            <w:vMerge w:val="continue"/>
            <w:shd w:val="clear" w:color="auto" w:fill="DBDBDB"/>
          </w:tcPr>
          <w:p>
            <w:pPr>
              <w:spacing w:after="0"/>
              <w:rPr>
                <w:sz w:val="14"/>
                <w:szCs w:val="14"/>
                <w:color w:val="auto"/>
              </w:rPr>
            </w:pPr>
          </w:p>
        </w:tc>
        <w:tc>
          <w:tcPr>
            <w:tcW w:w="960" w:type="dxa"/>
            <w:vAlign w:val="bottom"/>
            <w:tcBorders>
              <w:right w:val="single" w:sz="8" w:color="DBDBDB"/>
            </w:tcBorders>
            <w:vMerge w:val="continue"/>
            <w:shd w:val="clear" w:color="auto" w:fill="DBDBDB"/>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For 2021 compared to 2020, the decrease in U.S. product revenue, net was primarily due to a decrease in sales volumes of RITUXAN in the U.S. of 38.8%, primarily due to the onset of competition from multiple biosimilar products.</w:t>
      </w:r>
    </w:p>
    <w:p>
      <w:pPr>
        <w:spacing w:after="0" w:line="96" w:lineRule="exact"/>
        <w:rPr>
          <w:sz w:val="20"/>
          <w:szCs w:val="20"/>
          <w:color w:val="auto"/>
        </w:rPr>
      </w:pPr>
    </w:p>
    <w:p>
      <w:pPr>
        <w:ind w:right="460" w:firstLine="405"/>
        <w:spacing w:after="0" w:line="261" w:lineRule="auto"/>
        <w:rPr>
          <w:sz w:val="20"/>
          <w:szCs w:val="20"/>
          <w:color w:val="auto"/>
        </w:rPr>
      </w:pPr>
      <w:r>
        <w:rPr>
          <w:rFonts w:ascii="Arial" w:cs="Arial" w:eastAsia="Arial" w:hAnsi="Arial"/>
          <w:sz w:val="18"/>
          <w:szCs w:val="18"/>
          <w:color w:val="auto"/>
        </w:rPr>
        <w:t>For 2021 compared to 2020, product revenue, net also reflects an increase in GAZYVA sales volumes of 8.5%.</w:t>
      </w:r>
    </w:p>
    <w:p>
      <w:pPr>
        <w:spacing w:after="0" w:line="9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For 2021 compared to 2020, the decrease in collaboration cost and expense was primarily due to lower cost of sales, distribution costs and selling and marketing expense related to RITUXAN.</w:t>
      </w:r>
    </w:p>
    <w:p>
      <w:pPr>
        <w:spacing w:after="0" w:line="9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We are aware of several other anti-CD20 molecules, including biosimilar products, that have been approved and are competing with RITUXAN and GAZYVA in the oncology and other markets. In November 2019, January 2020 and January 2021 biosimilar products referencing RITUXAN were launched in the U.S. and are being offered at lower prices. This competition has had a significant adverse impact on the pre-tax profits of our collaboration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Other Revenue from Anti-CD20 Therapeutic Programs</w:t>
      </w:r>
    </w:p>
    <w:p>
      <w:pPr>
        <w:spacing w:after="0" w:line="135" w:lineRule="exact"/>
        <w:rPr>
          <w:sz w:val="20"/>
          <w:szCs w:val="20"/>
          <w:color w:val="auto"/>
        </w:rPr>
      </w:pPr>
    </w:p>
    <w:p>
      <w:pPr>
        <w:ind w:right="280" w:firstLine="445"/>
        <w:spacing w:after="0" w:line="278" w:lineRule="auto"/>
        <w:rPr>
          <w:sz w:val="20"/>
          <w:szCs w:val="20"/>
          <w:color w:val="auto"/>
        </w:rPr>
      </w:pPr>
      <w:r>
        <w:rPr>
          <w:rFonts w:ascii="Arial" w:cs="Arial" w:eastAsia="Arial" w:hAnsi="Arial"/>
          <w:sz w:val="17"/>
          <w:szCs w:val="17"/>
          <w:color w:val="auto"/>
        </w:rPr>
        <w:t>Other revenue from anti-CD20 therapeutic programs consist of royalty revenue on sales of OCREVUS and our share of pre-tax co-promotion profits from RITUXAN in Canada.</w:t>
      </w:r>
    </w:p>
    <w:p>
      <w:pPr>
        <w:spacing w:after="0" w:line="77"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For 2021 compared to 2020, the increase in other revenue from anti-CD20 therapeutic programs was primarily due to sales growth of OCREVUS. Royalty revenue recognized on sales of OCREVUS for the years ended December 31, 2021, 2020 and 2019, totaled $991.7 million, $845.4 million and $687.5 million, respectively.</w:t>
      </w:r>
    </w:p>
    <w:p>
      <w:pPr>
        <w:spacing w:after="0" w:line="100"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00"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18, Collaborative and Other Relationships,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783" w:lineRule="exact"/>
        <w:rPr>
          <w:sz w:val="20"/>
          <w:szCs w:val="20"/>
          <w:color w:val="auto"/>
        </w:rPr>
      </w:pPr>
    </w:p>
    <w:p>
      <w:pPr>
        <w:sectPr>
          <w:pgSz w:w="11900" w:h="16838" w:orient="portrait"/>
          <w:cols w:equalWidth="0" w:num="2">
            <w:col w:w="5220" w:space="680"/>
            <w:col w:w="5340"/>
          </w:cols>
          <w:pgMar w:left="320" w:top="144" w:right="3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Revenue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is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8"/>
            <w:vMerge w:val="restart"/>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jc w:val="right"/>
              <w:ind w:right="249"/>
              <w:spacing w:after="0" w:line="142" w:lineRule="exact"/>
              <w:rPr>
                <w:sz w:val="20"/>
                <w:szCs w:val="20"/>
                <w:color w:val="auto"/>
              </w:rPr>
            </w:pPr>
            <w:r>
              <w:rPr>
                <w:rFonts w:ascii="Arial" w:cs="Arial" w:eastAsia="Arial" w:hAnsi="Arial"/>
                <w:sz w:val="14"/>
                <w:szCs w:val="14"/>
                <w:b w:val="1"/>
                <w:bCs w:val="1"/>
                <w:color w:val="026DCE"/>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49"/>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660" w:type="dxa"/>
            <w:vAlign w:val="bottom"/>
            <w:shd w:val="clear" w:color="auto" w:fill="DBDBDB"/>
          </w:tcPr>
          <w:p>
            <w:pPr>
              <w:jc w:val="right"/>
              <w:ind w:right="189"/>
              <w:spacing w:after="0" w:line="142" w:lineRule="exact"/>
              <w:rPr>
                <w:sz w:val="20"/>
                <w:szCs w:val="20"/>
                <w:color w:val="auto"/>
              </w:rPr>
            </w:pPr>
            <w:r>
              <w:rPr>
                <w:rFonts w:ascii="Arial" w:cs="Arial" w:eastAsia="Arial" w:hAnsi="Arial"/>
                <w:sz w:val="14"/>
                <w:szCs w:val="14"/>
                <w:b w:val="1"/>
                <w:bCs w:val="1"/>
                <w:color w:val="026DCE"/>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89"/>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15"/>
        </w:trPr>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960" w:type="dxa"/>
            <w:vAlign w:val="bottom"/>
            <w:shd w:val="clear" w:color="auto" w:fill="DBDBDB"/>
          </w:tcPr>
          <w:p>
            <w:pPr>
              <w:jc w:val="right"/>
              <w:ind w:right="309"/>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vs.</w:t>
            </w:r>
          </w:p>
        </w:tc>
        <w:tc>
          <w:tcPr>
            <w:tcW w:w="180" w:type="dxa"/>
            <w:vAlign w:val="bottom"/>
            <w:shd w:val="clear" w:color="auto" w:fill="DBDBDB"/>
          </w:tcPr>
          <w:p>
            <w:pPr>
              <w:spacing w:after="0"/>
              <w:rPr>
                <w:sz w:val="10"/>
                <w:szCs w:val="10"/>
                <w:color w:val="auto"/>
              </w:rPr>
            </w:pPr>
          </w:p>
        </w:tc>
        <w:tc>
          <w:tcPr>
            <w:tcW w:w="660" w:type="dxa"/>
            <w:vAlign w:val="bottom"/>
            <w:shd w:val="clear" w:color="auto" w:fill="DBDBDB"/>
          </w:tcPr>
          <w:p>
            <w:pPr>
              <w:jc w:val="right"/>
              <w:ind w:right="249"/>
              <w:spacing w:after="0" w:line="115" w:lineRule="exact"/>
              <w:rPr>
                <w:sz w:val="20"/>
                <w:szCs w:val="20"/>
                <w:color w:val="auto"/>
              </w:rPr>
            </w:pPr>
            <w:r>
              <w:rPr>
                <w:rFonts w:ascii="Arial" w:cs="Arial" w:eastAsia="Arial" w:hAnsi="Arial"/>
                <w:sz w:val="13"/>
                <w:szCs w:val="13"/>
                <w:b w:val="1"/>
                <w:bCs w:val="1"/>
                <w:color w:val="026DCE"/>
              </w:rPr>
              <w:t>vs.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249"/>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5"/>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780" w:type="dxa"/>
            <w:vAlign w:val="bottom"/>
            <w:tcBorders>
              <w:top w:val="single" w:sz="8" w:color="auto"/>
              <w:bottom w:val="single" w:sz="8" w:color="auto"/>
              <w:right w:val="single" w:sz="8" w:color="DDDDDD"/>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960" w:type="dxa"/>
            <w:vAlign w:val="bottom"/>
            <w:tcBorders>
              <w:top w:val="single" w:sz="8" w:color="DBDBDB"/>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180" w:type="dxa"/>
            <w:vAlign w:val="bottom"/>
            <w:tcBorders>
              <w:top w:val="single" w:sz="8" w:color="DBDBDB"/>
              <w:bottom w:val="single" w:sz="8" w:color="auto"/>
            </w:tcBorders>
            <w:shd w:val="clear" w:color="auto" w:fill="DBDBDB"/>
          </w:tcPr>
          <w:p>
            <w:pPr>
              <w:spacing w:after="0"/>
              <w:rPr>
                <w:sz w:val="15"/>
                <w:szCs w:val="15"/>
                <w:color w:val="auto"/>
              </w:rPr>
            </w:pPr>
          </w:p>
        </w:tc>
        <w:tc>
          <w:tcPr>
            <w:tcW w:w="660" w:type="dxa"/>
            <w:vAlign w:val="bottom"/>
            <w:tcBorders>
              <w:top w:val="single" w:sz="8" w:color="DBDBDB"/>
              <w:bottom w:val="single" w:sz="8" w:color="auto"/>
            </w:tcBorders>
            <w:shd w:val="clear" w:color="auto" w:fill="DBDBDB"/>
          </w:tcPr>
          <w:p>
            <w:pPr>
              <w:jc w:val="right"/>
              <w:ind w:right="189"/>
              <w:spacing w:after="0"/>
              <w:rPr>
                <w:sz w:val="20"/>
                <w:szCs w:val="20"/>
                <w:color w:val="auto"/>
              </w:rPr>
            </w:pPr>
            <w:r>
              <w:rPr>
                <w:rFonts w:ascii="Arial" w:cs="Arial" w:eastAsia="Arial" w:hAnsi="Arial"/>
                <w:sz w:val="14"/>
                <w:szCs w:val="14"/>
                <w:b w:val="1"/>
                <w:bCs w:val="1"/>
                <w:color w:val="026DCE"/>
              </w:rPr>
              <w:t>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20.7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(0.9)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9"/>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2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455.6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601.5</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257ACB"/>
              </w:rPr>
              <w:t>(39.5)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(297.4)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203"/>
        </w:trPr>
        <w:tc>
          <w:tcPr>
            <w:tcW w:w="4020" w:type="dxa"/>
            <w:vAlign w:val="bottom"/>
            <w:gridSpan w:val="2"/>
          </w:tcPr>
          <w:p>
            <w:pPr>
              <w:ind w:left="20"/>
              <w:spacing w:after="0"/>
              <w:rPr>
                <w:sz w:val="20"/>
                <w:szCs w:val="20"/>
                <w:color w:val="auto"/>
              </w:rPr>
            </w:pPr>
            <w:r>
              <w:rPr>
                <w:rFonts w:ascii="Arial" w:cs="Arial" w:eastAsia="Arial" w:hAnsi="Arial"/>
                <w:sz w:val="14"/>
                <w:szCs w:val="14"/>
                <w:color w:val="auto"/>
              </w:rPr>
              <w:t>Total other revenue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476.3</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774.6</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707.7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257ACB"/>
              </w:rPr>
              <w:t>(38.5)%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9.5 %</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(298.3)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-410845</wp:posOffset>
            </wp:positionV>
            <wp:extent cx="608330" cy="394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8330" cy="39433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Revenue from Collaborative and Other Relationships</w:t>
      </w:r>
    </w:p>
    <w:p>
      <w:pPr>
        <w:spacing w:after="0" w:line="139"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Revenue from collaborative and other relationships primarily includes royalty revenue on biosimilar products from Samsung Bioepis.</w:t>
      </w:r>
    </w:p>
    <w:p>
      <w:pPr>
        <w:spacing w:after="0" w:line="94"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 xml:space="preserve">For additional information on our collaborative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our</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consolidated financial statements included in this report.</w:t>
      </w:r>
    </w:p>
    <w:p>
      <w:pPr>
        <w:spacing w:after="0" w:line="1638" w:lineRule="exact"/>
        <w:rPr>
          <w:sz w:val="20"/>
          <w:szCs w:val="20"/>
          <w:color w:val="auto"/>
        </w:rPr>
      </w:pPr>
    </w:p>
    <w:p>
      <w:pPr>
        <w:sectPr>
          <w:pgSz w:w="11900" w:h="16838" w:orient="portrait"/>
          <w:cols w:equalWidth="0" w:num="2">
            <w:col w:w="5180" w:space="720"/>
            <w:col w:w="5340"/>
          </w:cols>
          <w:pgMar w:left="320" w:top="144" w:right="339" w:bottom="1440" w:gutter="0" w:footer="0" w:header="0"/>
          <w:type w:val="continuous"/>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Royalty and Corporate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6231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receive royalties from net sales on products related to patents that we have out-licensed and we record other corporate revenue primarily from amounts earned under contract manufacturing agreements.</w:t>
      </w:r>
    </w:p>
    <w:p>
      <w:pPr>
        <w:spacing w:after="0" w:line="150" w:lineRule="exact"/>
        <w:rPr>
          <w:sz w:val="20"/>
          <w:szCs w:val="20"/>
          <w:color w:val="auto"/>
        </w:rPr>
      </w:pPr>
    </w:p>
    <w:p>
      <w:pPr>
        <w:ind w:right="260" w:firstLine="445"/>
        <w:spacing w:after="0" w:line="252" w:lineRule="auto"/>
        <w:rPr>
          <w:sz w:val="20"/>
          <w:szCs w:val="20"/>
          <w:color w:val="auto"/>
        </w:rPr>
      </w:pPr>
      <w:r>
        <w:rPr>
          <w:rFonts w:ascii="Arial" w:cs="Arial" w:eastAsia="Arial" w:hAnsi="Arial"/>
          <w:sz w:val="18"/>
          <w:szCs w:val="18"/>
          <w:color w:val="auto"/>
        </w:rPr>
        <w:t xml:space="preserve">For 2021 compared to 2020, the decrease in other corporate revenue was primarily due to higher contract manufacturing revenue during the year ended December 31, 2020, resulting from $ 346.2 million in revenue related to the delivery of the license for certain of our manufacturing-related intellectual property to a contract manufacturing customer. For additional information, please read </w:t>
      </w:r>
      <w:r>
        <w:rPr>
          <w:rFonts w:ascii="Arial" w:cs="Arial" w:eastAsia="Arial" w:hAnsi="Arial"/>
          <w:sz w:val="18"/>
          <w:szCs w:val="18"/>
          <w:i w:val="1"/>
          <w:iCs w:val="1"/>
          <w:color w:val="auto"/>
        </w:rPr>
        <w:t>Note 4, Revenue,</w:t>
      </w:r>
      <w:r>
        <w:rPr>
          <w:rFonts w:ascii="Arial" w:cs="Arial" w:eastAsia="Arial" w:hAnsi="Arial"/>
          <w:sz w:val="18"/>
          <w:szCs w:val="18"/>
          <w:color w:val="auto"/>
        </w:rPr>
        <w:t xml:space="preserve"> to our consolidated financial statements included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Reserves for Discounts and Allowances</w:t>
      </w:r>
    </w:p>
    <w:p>
      <w:pPr>
        <w:spacing w:after="0" w:line="103" w:lineRule="exact"/>
        <w:rPr>
          <w:sz w:val="20"/>
          <w:szCs w:val="20"/>
          <w:color w:val="auto"/>
        </w:rPr>
      </w:pPr>
    </w:p>
    <w:p>
      <w:pPr>
        <w:jc w:val="both"/>
        <w:ind w:right="260" w:firstLine="445"/>
        <w:spacing w:after="0" w:line="254"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8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80" w:firstLine="445"/>
        <w:spacing w:after="0" w:line="256" w:lineRule="auto"/>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-7620</wp:posOffset>
            </wp:positionV>
            <wp:extent cx="2717165" cy="28117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1716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80" w:right="140" w:firstLine="445"/>
        <w:spacing w:after="0" w:line="278" w:lineRule="auto"/>
        <w:rPr>
          <w:sz w:val="20"/>
          <w:szCs w:val="20"/>
          <w:color w:val="auto"/>
        </w:rPr>
      </w:pPr>
      <w:r>
        <w:rPr>
          <w:rFonts w:ascii="Arial" w:cs="Arial" w:eastAsia="Arial" w:hAnsi="Arial"/>
          <w:sz w:val="17"/>
          <w:szCs w:val="17"/>
          <w:color w:val="auto"/>
        </w:rPr>
        <w:t>For the years ended December 31, 2021, 2020 and 2019, reserves for discounts and allowances as a percentage of gross product revenue were 28.6%, 27.1% and 24.3%, respectively.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Discounts</w:t>
      </w:r>
    </w:p>
    <w:p>
      <w:pPr>
        <w:spacing w:after="0" w:line="126" w:lineRule="exact"/>
        <w:rPr>
          <w:sz w:val="20"/>
          <w:szCs w:val="20"/>
          <w:color w:val="auto"/>
        </w:rPr>
      </w:pPr>
    </w:p>
    <w:p>
      <w:pPr>
        <w:ind w:left="380" w:right="420" w:firstLine="445"/>
        <w:spacing w:after="0" w:line="261" w:lineRule="auto"/>
        <w:rPr>
          <w:sz w:val="20"/>
          <w:szCs w:val="20"/>
          <w:color w:val="auto"/>
        </w:rPr>
      </w:pPr>
      <w:r>
        <w:rPr>
          <w:rFonts w:ascii="Arial" w:cs="Arial" w:eastAsia="Arial" w:hAnsi="Arial"/>
          <w:sz w:val="18"/>
          <w:szCs w:val="18"/>
          <w:color w:val="auto"/>
        </w:rPr>
        <w:t>Discounts include trade term discounts and wholesaler incentives.</w:t>
      </w:r>
    </w:p>
    <w:p>
      <w:pPr>
        <w:spacing w:after="0" w:line="144" w:lineRule="exact"/>
        <w:rPr>
          <w:sz w:val="20"/>
          <w:szCs w:val="20"/>
          <w:color w:val="auto"/>
        </w:rPr>
      </w:pPr>
    </w:p>
    <w:p>
      <w:pPr>
        <w:ind w:left="380" w:right="40" w:firstLine="445"/>
        <w:spacing w:after="0" w:line="261" w:lineRule="auto"/>
        <w:rPr>
          <w:sz w:val="20"/>
          <w:szCs w:val="20"/>
          <w:color w:val="auto"/>
        </w:rPr>
      </w:pPr>
      <w:r>
        <w:rPr>
          <w:rFonts w:ascii="Arial" w:cs="Arial" w:eastAsia="Arial" w:hAnsi="Arial"/>
          <w:sz w:val="18"/>
          <w:szCs w:val="18"/>
          <w:color w:val="auto"/>
        </w:rPr>
        <w:t>For 2021 compared to 2020, the decrease in discounts was primarily driven by a decrease in gross sales.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Contractual Adjustments</w:t>
      </w:r>
    </w:p>
    <w:p>
      <w:pPr>
        <w:spacing w:after="0" w:line="126" w:lineRule="exact"/>
        <w:rPr>
          <w:sz w:val="20"/>
          <w:szCs w:val="20"/>
          <w:color w:val="auto"/>
        </w:rPr>
      </w:pPr>
    </w:p>
    <w:p>
      <w:pPr>
        <w:ind w:left="380" w:right="280" w:firstLine="445"/>
        <w:spacing w:after="0" w:line="253"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Veterans Administration, 340B discounts, specialty pharmacy program fees and other government rebates or applicable allowances.</w:t>
      </w:r>
    </w:p>
    <w:p>
      <w:pPr>
        <w:spacing w:after="0" w:line="151" w:lineRule="exact"/>
        <w:rPr>
          <w:sz w:val="20"/>
          <w:szCs w:val="20"/>
          <w:color w:val="auto"/>
        </w:rPr>
      </w:pPr>
    </w:p>
    <w:p>
      <w:pPr>
        <w:ind w:left="380" w:right="120" w:firstLine="445"/>
        <w:spacing w:after="0" w:line="253" w:lineRule="auto"/>
        <w:rPr>
          <w:sz w:val="20"/>
          <w:szCs w:val="20"/>
          <w:color w:val="auto"/>
        </w:rPr>
      </w:pPr>
      <w:r>
        <w:rPr>
          <w:rFonts w:ascii="Arial" w:cs="Arial" w:eastAsia="Arial" w:hAnsi="Arial"/>
          <w:sz w:val="18"/>
          <w:szCs w:val="18"/>
          <w:color w:val="auto"/>
        </w:rPr>
        <w:t>For 2021 compared to 2020, the decrease in contractual adjustments was primarily driven by lower TECFIDERA sales in the U.S., resulting in lower Medicaid, managed care and government rebates, partially offset by managed care rebates in the U.S. from VUMERITY sales.</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Returns</w:t>
      </w:r>
    </w:p>
    <w:p>
      <w:pPr>
        <w:spacing w:after="0" w:line="139"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44" w:right="45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recognized in the period the related revenue is recognized, resulting in a reduction to product sales.</w:t>
      </w:r>
    </w:p>
    <w:p>
      <w:pPr>
        <w:spacing w:after="0" w:line="144"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For 2021 compared to 2020, return reserves were relatively consistent.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4, Revenue,</w:t>
      </w:r>
      <w:r>
        <w:rPr>
          <w:rFonts w:ascii="Arial" w:cs="Arial" w:eastAsia="Arial" w:hAnsi="Arial"/>
          <w:sz w:val="18"/>
          <w:szCs w:val="18"/>
          <w:color w:val="auto"/>
        </w:rPr>
        <w:t xml:space="preserve"> to our consolidated financial statements included in this report.</w:t>
      </w:r>
    </w:p>
    <w:p>
      <w:pPr>
        <w:spacing w:after="0" w:line="527" w:lineRule="exact"/>
        <w:rPr>
          <w:sz w:val="20"/>
          <w:szCs w:val="20"/>
          <w:color w:val="auto"/>
        </w:rPr>
      </w:pPr>
    </w:p>
    <w:p>
      <w:pPr>
        <w:sectPr>
          <w:pgSz w:w="11900" w:h="16838" w:orient="portrait"/>
          <w:cols w:equalWidth="0" w:num="2">
            <w:col w:w="5180" w:space="720"/>
            <w:col w:w="5340"/>
          </w:cols>
          <w:pgMar w:left="320" w:top="144" w:right="3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Cost and Expense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total cost and expense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shd w:val="clear" w:color="auto" w:fill="DBDBDB"/>
          </w:tcPr>
          <w:p>
            <w:pPr>
              <w:jc w:val="right"/>
              <w:ind w:right="108"/>
              <w:spacing w:after="0" w:line="142" w:lineRule="exact"/>
              <w:rPr>
                <w:sz w:val="20"/>
                <w:szCs w:val="20"/>
                <w:color w:val="auto"/>
              </w:rPr>
            </w:pPr>
            <w:r>
              <w:rPr>
                <w:rFonts w:ascii="Arial" w:cs="Arial" w:eastAsia="Arial" w:hAnsi="Arial"/>
                <w:sz w:val="14"/>
                <w:szCs w:val="14"/>
                <w:b w:val="1"/>
                <w:bCs w:val="1"/>
                <w:color w:val="026DCE"/>
              </w:rPr>
              <w:t>2021</w:t>
            </w:r>
          </w:p>
        </w:tc>
        <w:tc>
          <w:tcPr>
            <w:tcW w:w="140" w:type="dxa"/>
            <w:vAlign w:val="bottom"/>
            <w:shd w:val="clear" w:color="auto" w:fill="DBDBDB"/>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700" w:type="dxa"/>
            <w:vAlign w:val="bottom"/>
            <w:tcBorders>
              <w:right w:val="single" w:sz="8" w:color="DBDBDB"/>
            </w:tcBorders>
            <w:shd w:val="clear" w:color="auto" w:fill="DBDBDB"/>
          </w:tcPr>
          <w:p>
            <w:pPr>
              <w:jc w:val="right"/>
              <w:ind w:right="228"/>
              <w:spacing w:after="0" w:line="142" w:lineRule="exact"/>
              <w:rPr>
                <w:sz w:val="20"/>
                <w:szCs w:val="20"/>
                <w:color w:val="auto"/>
              </w:rPr>
            </w:pPr>
            <w:r>
              <w:rPr>
                <w:rFonts w:ascii="Arial" w:cs="Arial" w:eastAsia="Arial" w:hAnsi="Arial"/>
                <w:sz w:val="14"/>
                <w:szCs w:val="14"/>
                <w:b w:val="1"/>
                <w:bCs w:val="1"/>
                <w:color w:val="026DCE"/>
              </w:rPr>
              <w:t>2021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960" w:type="dxa"/>
            <w:vAlign w:val="bottom"/>
            <w:gridSpan w:val="2"/>
            <w:shd w:val="clear" w:color="auto" w:fill="DBDBDB"/>
          </w:tcPr>
          <w:p>
            <w:pPr>
              <w:jc w:val="right"/>
              <w:ind w:right="308"/>
              <w:spacing w:after="0" w:line="115" w:lineRule="exact"/>
              <w:rPr>
                <w:sz w:val="20"/>
                <w:szCs w:val="20"/>
                <w:color w:val="auto"/>
              </w:rPr>
            </w:pPr>
            <w:r>
              <w:rPr>
                <w:rFonts w:ascii="Arial" w:cs="Arial" w:eastAsia="Arial" w:hAnsi="Arial"/>
                <w:sz w:val="13"/>
                <w:szCs w:val="13"/>
                <w:b w:val="1"/>
                <w:bCs w:val="1"/>
                <w:color w:val="026DCE"/>
              </w:rPr>
              <w:t>vs.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vs.</w:t>
            </w:r>
          </w:p>
        </w:tc>
        <w:tc>
          <w:tcPr>
            <w:tcW w:w="200" w:type="dxa"/>
            <w:vAlign w:val="bottom"/>
            <w:shd w:val="clear" w:color="auto" w:fill="DBDBDB"/>
          </w:tcPr>
          <w:p>
            <w:pPr>
              <w:spacing w:after="0"/>
              <w:rPr>
                <w:sz w:val="10"/>
                <w:szCs w:val="10"/>
                <w:color w:val="auto"/>
              </w:rPr>
            </w:pPr>
          </w:p>
        </w:tc>
        <w:tc>
          <w:tcPr>
            <w:tcW w:w="700" w:type="dxa"/>
            <w:vAlign w:val="bottom"/>
            <w:tcBorders>
              <w:right w:val="single" w:sz="8" w:color="DBDBDB"/>
            </w:tcBorders>
            <w:shd w:val="clear" w:color="auto" w:fill="DBDBDB"/>
          </w:tcPr>
          <w:p>
            <w:pPr>
              <w:jc w:val="right"/>
              <w:ind w:right="288"/>
              <w:spacing w:after="0" w:line="115" w:lineRule="exact"/>
              <w:rPr>
                <w:sz w:val="20"/>
                <w:szCs w:val="20"/>
                <w:color w:val="auto"/>
              </w:rPr>
            </w:pPr>
            <w:r>
              <w:rPr>
                <w:rFonts w:ascii="Arial" w:cs="Arial" w:eastAsia="Arial" w:hAnsi="Arial"/>
                <w:sz w:val="13"/>
                <w:szCs w:val="13"/>
                <w:b w:val="1"/>
                <w:bCs w:val="1"/>
                <w:color w:val="026DCE"/>
              </w:rPr>
              <w:t>vs.</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jc w:val="right"/>
              <w:ind w:right="268"/>
              <w:spacing w:after="0" w:line="115" w:lineRule="exact"/>
              <w:rPr>
                <w:sz w:val="20"/>
                <w:szCs w:val="20"/>
                <w:color w:val="auto"/>
              </w:rPr>
            </w:pPr>
            <w:r>
              <w:rPr>
                <w:rFonts w:ascii="Arial" w:cs="Arial" w:eastAsia="Arial" w:hAnsi="Arial"/>
                <w:sz w:val="13"/>
                <w:szCs w:val="13"/>
                <w:b w:val="1"/>
                <w:bCs w:val="1"/>
                <w:color w:val="auto"/>
              </w:rPr>
              <w:t>vs.</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shd w:val="clear" w:color="auto" w:fill="DDDDDD"/>
          </w:tcPr>
          <w:p>
            <w:pPr>
              <w:spacing w:after="0"/>
              <w:rPr>
                <w:sz w:val="15"/>
                <w:szCs w:val="15"/>
                <w:color w:val="auto"/>
              </w:rPr>
            </w:pPr>
          </w:p>
        </w:tc>
        <w:tc>
          <w:tcPr>
            <w:tcW w:w="800" w:type="dxa"/>
            <w:vAlign w:val="bottom"/>
            <w:tcBorders>
              <w:top w:val="single" w:sz="8" w:color="auto"/>
              <w:bottom w:val="single" w:sz="8" w:color="auto"/>
              <w:right w:val="single" w:sz="8" w:color="DDDDDD"/>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20" w:type="dxa"/>
            <w:vAlign w:val="bottom"/>
            <w:tcBorders>
              <w:top w:val="single" w:sz="8" w:color="DBDBDB"/>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026DCE"/>
              </w:rPr>
              <w:t>2020</w:t>
            </w:r>
          </w:p>
        </w:tc>
        <w:tc>
          <w:tcPr>
            <w:tcW w:w="140" w:type="dxa"/>
            <w:vAlign w:val="bottom"/>
            <w:tcBorders>
              <w:top w:val="single" w:sz="8" w:color="DBDBDB"/>
              <w:bottom w:val="single" w:sz="8" w:color="auto"/>
            </w:tcBorders>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200" w:type="dxa"/>
            <w:vAlign w:val="bottom"/>
            <w:tcBorders>
              <w:top w:val="single" w:sz="8" w:color="DBDBDB"/>
              <w:bottom w:val="single" w:sz="8" w:color="auto"/>
            </w:tcBorders>
            <w:shd w:val="clear" w:color="auto" w:fill="DBDBDB"/>
          </w:tcPr>
          <w:p>
            <w:pPr>
              <w:spacing w:after="0"/>
              <w:rPr>
                <w:sz w:val="15"/>
                <w:szCs w:val="15"/>
                <w:color w:val="auto"/>
              </w:rPr>
            </w:pPr>
          </w:p>
        </w:tc>
        <w:tc>
          <w:tcPr>
            <w:tcW w:w="700" w:type="dxa"/>
            <w:vAlign w:val="bottom"/>
            <w:tcBorders>
              <w:top w:val="single" w:sz="8" w:color="DBDBDB"/>
              <w:bottom w:val="single" w:sz="8" w:color="auto"/>
              <w:right w:val="single" w:sz="8" w:color="DBDBDB"/>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26DCE"/>
              </w:rPr>
              <w:t>2020</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7"/>
        </w:trPr>
        <w:tc>
          <w:tcPr>
            <w:tcW w:w="388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Cost of sales, excluding amortization and impairment of</w:t>
            </w:r>
          </w:p>
        </w:tc>
        <w:tc>
          <w:tcPr>
            <w:tcW w:w="22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2,109.7</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1,805.2</w:t>
            </w:r>
          </w:p>
        </w:tc>
        <w:tc>
          <w:tcPr>
            <w:tcW w:w="100" w:type="dxa"/>
            <w:vAlign w:val="bottom"/>
          </w:tcPr>
          <w:p>
            <w:pPr>
              <w:spacing w:after="0"/>
              <w:rPr>
                <w:sz w:val="12"/>
                <w:szCs w:val="12"/>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1,955.4</w:t>
            </w:r>
          </w:p>
        </w:tc>
        <w:tc>
          <w:tcPr>
            <w:tcW w:w="100" w:type="dxa"/>
            <w:vAlign w:val="bottom"/>
          </w:tcPr>
          <w:p>
            <w:pPr>
              <w:spacing w:after="0"/>
              <w:rPr>
                <w:sz w:val="12"/>
                <w:szCs w:val="12"/>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16.9</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w w:val="79"/>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2"/>
                <w:szCs w:val="12"/>
                <w:color w:val="auto"/>
              </w:rPr>
            </w:pP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304.5</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acquired intangible assets</w:t>
            </w:r>
          </w:p>
        </w:tc>
        <w:tc>
          <w:tcPr>
            <w:tcW w:w="220" w:type="dxa"/>
            <w:vAlign w:val="bottom"/>
            <w:vMerge w:val="continue"/>
            <w:shd w:val="clear" w:color="auto" w:fill="DBDBDB"/>
          </w:tcPr>
          <w:p>
            <w:pPr>
              <w:spacing w:after="0"/>
              <w:rPr>
                <w:sz w:val="14"/>
                <w:szCs w:val="14"/>
                <w:color w:val="auto"/>
              </w:rPr>
            </w:pPr>
          </w:p>
        </w:tc>
        <w:tc>
          <w:tcPr>
            <w:tcW w:w="800" w:type="dxa"/>
            <w:vAlign w:val="bottom"/>
            <w:tcBorders>
              <w:right w:val="single" w:sz="8" w:color="DBDBDB"/>
            </w:tcBorders>
            <w:vMerge w:val="continue"/>
            <w:shd w:val="clear" w:color="auto" w:fill="DBDBDB"/>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14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2,501.2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3,990.9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2,280.6</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(37.3)</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(1,489.7)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1,710.3</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2,674.3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2,374.7</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6.8</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169.8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129.8</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881.3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489.9</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89.6</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416.5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8"/>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Collaboration profit (loss) sharing</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241.6</w:t>
            </w:r>
          </w:p>
        </w:tc>
        <w:tc>
          <w:tcPr>
            <w:tcW w:w="100" w:type="dxa"/>
            <w:vAlign w:val="bottom"/>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(96.9)</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(225.7)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3"/>
        </w:trPr>
        <w:tc>
          <w:tcPr>
            <w:tcW w:w="38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(Gain) loss on divestiture of Hillerød, Denmark</w:t>
            </w:r>
          </w:p>
        </w:tc>
        <w:tc>
          <w:tcPr>
            <w:tcW w:w="220" w:type="dxa"/>
            <w:vAlign w:val="bottom"/>
            <w:shd w:val="clear" w:color="auto" w:fill="DBDBDB"/>
          </w:tcPr>
          <w:p>
            <w:pPr>
              <w:spacing w:after="0"/>
              <w:rPr>
                <w:sz w:val="13"/>
                <w:szCs w:val="13"/>
                <w:color w:val="auto"/>
              </w:rPr>
            </w:pPr>
          </w:p>
        </w:tc>
        <w:tc>
          <w:tcPr>
            <w:tcW w:w="8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3"/>
                <w:szCs w:val="13"/>
                <w:color w:val="auto"/>
              </w:rPr>
            </w:pPr>
          </w:p>
        </w:tc>
        <w:tc>
          <w:tcPr>
            <w:tcW w:w="96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3"/>
                <w:szCs w:val="13"/>
                <w:color w:val="auto"/>
              </w:rPr>
            </w:pPr>
          </w:p>
        </w:tc>
        <w:tc>
          <w:tcPr>
            <w:tcW w:w="7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92.5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manufacturing operations</w:t>
            </w:r>
          </w:p>
        </w:tc>
        <w:tc>
          <w:tcPr>
            <w:tcW w:w="220" w:type="dxa"/>
            <w:vAlign w:val="bottom"/>
            <w:shd w:val="clear" w:color="auto" w:fill="DBDBDB"/>
          </w:tcPr>
          <w:p>
            <w:pPr>
              <w:spacing w:after="0"/>
              <w:rPr>
                <w:sz w:val="14"/>
                <w:szCs w:val="14"/>
                <w:color w:val="auto"/>
              </w:rPr>
            </w:pPr>
          </w:p>
        </w:tc>
        <w:tc>
          <w:tcPr>
            <w:tcW w:w="800" w:type="dxa"/>
            <w:vAlign w:val="bottom"/>
            <w:tcBorders>
              <w:right w:val="single" w:sz="8" w:color="DBDBDB"/>
            </w:tcBorders>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88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(Gain) loss on fair value remeasurement of contingent</w:t>
            </w:r>
          </w:p>
        </w:tc>
        <w:tc>
          <w:tcPr>
            <w:tcW w:w="220" w:type="dxa"/>
            <w:vAlign w:val="bottom"/>
            <w:shd w:val="clear" w:color="auto" w:fill="DBDBDB"/>
          </w:tcPr>
          <w:p>
            <w:pPr>
              <w:spacing w:after="0"/>
              <w:rPr>
                <w:sz w:val="13"/>
                <w:szCs w:val="13"/>
                <w:color w:val="auto"/>
              </w:rPr>
            </w:pPr>
          </w:p>
        </w:tc>
        <w:tc>
          <w:tcPr>
            <w:tcW w:w="80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(50.7)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(41.3)</w:t>
            </w:r>
          </w:p>
        </w:tc>
        <w:tc>
          <w:tcPr>
            <w:tcW w:w="14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70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35.6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71"/>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consideration</w:t>
            </w:r>
          </w:p>
        </w:tc>
        <w:tc>
          <w:tcPr>
            <w:tcW w:w="220" w:type="dxa"/>
            <w:vAlign w:val="bottom"/>
            <w:shd w:val="clear" w:color="auto" w:fill="DBDBDB"/>
          </w:tcPr>
          <w:p>
            <w:pPr>
              <w:spacing w:after="0"/>
              <w:rPr>
                <w:sz w:val="14"/>
                <w:szCs w:val="14"/>
                <w:color w:val="auto"/>
              </w:rPr>
            </w:pPr>
          </w:p>
        </w:tc>
        <w:tc>
          <w:tcPr>
            <w:tcW w:w="800" w:type="dxa"/>
            <w:vAlign w:val="bottom"/>
            <w:tcBorders>
              <w:right w:val="single" w:sz="8" w:color="DBDBDB"/>
            </w:tcBorders>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700" w:type="dxa"/>
            <w:vAlign w:val="bottom"/>
            <w:tcBorders>
              <w:right w:val="single" w:sz="8" w:color="DBDBDB"/>
            </w:tcBorders>
            <w:vMerge w:val="continue"/>
            <w:shd w:val="clear" w:color="auto" w:fill="DBDBDB"/>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Acquired in-process research and development</w:t>
            </w:r>
          </w:p>
        </w:tc>
        <w:tc>
          <w:tcPr>
            <w:tcW w:w="220" w:type="dxa"/>
            <w:vAlign w:val="bottom"/>
            <w:shd w:val="clear" w:color="auto" w:fill="DBDBDB"/>
          </w:tcPr>
          <w:p>
            <w:pPr>
              <w:spacing w:after="0"/>
              <w:rPr>
                <w:sz w:val="16"/>
                <w:szCs w:val="16"/>
                <w:color w:val="auto"/>
              </w:rPr>
            </w:pP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18.0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(76.0)</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6"/>
                <w:szCs w:val="16"/>
                <w:color w:val="auto"/>
              </w:rPr>
            </w:pP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(57.0)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89"/>
        </w:trPr>
        <w:tc>
          <w:tcPr>
            <w:tcW w:w="38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2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9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3"/>
        </w:trPr>
        <w:tc>
          <w:tcPr>
            <w:tcW w:w="3880" w:type="dxa"/>
            <w:vAlign w:val="bottom"/>
            <w:gridSpan w:val="2"/>
          </w:tcPr>
          <w:p>
            <w:pPr>
              <w:ind w:left="360"/>
              <w:spacing w:after="0"/>
              <w:rPr>
                <w:sz w:val="20"/>
                <w:szCs w:val="20"/>
                <w:color w:val="auto"/>
              </w:rPr>
            </w:pPr>
            <w:r>
              <w:rPr>
                <w:rFonts w:ascii="Arial" w:cs="Arial" w:eastAsia="Arial" w:hAnsi="Arial"/>
                <w:sz w:val="14"/>
                <w:szCs w:val="14"/>
                <w:color w:val="auto"/>
              </w:rPr>
              <w:t>Total cost and expense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8,141.0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8,894.5</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7,335.3</w:t>
            </w:r>
          </w:p>
        </w:tc>
        <w:tc>
          <w:tcPr>
            <w:tcW w:w="100" w:type="dxa"/>
            <w:vAlign w:val="bottom"/>
          </w:tcPr>
          <w:p>
            <w:pPr>
              <w:spacing w:after="0"/>
              <w:rPr>
                <w:sz w:val="17"/>
                <w:szCs w:val="17"/>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(8.5)%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21.3 %</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(753.5)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1,559.2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27774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ectPr>
          <w:pgSz w:w="11900" w:h="16838" w:orient="portrait"/>
          <w:cols w:equalWidth="0" w:num="1">
            <w:col w:w="11240"/>
          </w:cols>
          <w:pgMar w:left="320" w:top="144" w:right="339" w:bottom="1440" w:gutter="0" w:footer="0" w:header="0"/>
          <w:type w:val="continuous"/>
        </w:sectPr>
      </w:pPr>
    </w:p>
    <w:p>
      <w:pPr>
        <w:spacing w:after="0" w:line="4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573BA"/>
        </w:rPr>
        <w:t>Cost of Sales, Excluding 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26231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1716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243"/>
        <w:spacing w:after="0" w:line="256" w:lineRule="auto"/>
        <w:rPr>
          <w:sz w:val="20"/>
          <w:szCs w:val="20"/>
          <w:color w:val="auto"/>
        </w:rPr>
      </w:pPr>
      <w:r>
        <w:rPr>
          <w:rFonts w:ascii="Arial" w:cs="Arial" w:eastAsia="Arial" w:hAnsi="Arial"/>
          <w:sz w:val="18"/>
          <w:szCs w:val="18"/>
          <w:color w:val="auto"/>
        </w:rPr>
        <w:t>Cost of sales, as a percentage of total revenue, were 19.2%, 13.4% and 13.6% for the years ended December 31, 2021, 2020 and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Cost of Sales</w:t>
      </w:r>
    </w:p>
    <w:p>
      <w:pPr>
        <w:spacing w:after="0" w:line="12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2021 compared to 2020, the increase in product cost of sales was primarily due to product mix and higher cost of sales associated with contract manufacturing agreements. The increase was also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due to the write-off of ADUHELM inventory during the year ended December 31, 2021, as discussed below.</w:t>
      </w:r>
    </w:p>
    <w:p>
      <w:pPr>
        <w:spacing w:after="0" w:line="90"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Inventory amounts written down as a result of excess, obsolescence or unmarketability totaled $167.6 million, $26.6 million and $52.2 million for the years ended December 31, 2021, 2020 and 2019, respectively.</w:t>
      </w:r>
    </w:p>
    <w:p>
      <w:pPr>
        <w:spacing w:after="0" w:line="96" w:lineRule="exact"/>
        <w:rPr>
          <w:sz w:val="20"/>
          <w:szCs w:val="20"/>
          <w:color w:val="auto"/>
        </w:rPr>
      </w:pPr>
    </w:p>
    <w:p>
      <w:pPr>
        <w:ind w:right="180" w:firstLine="405"/>
        <w:spacing w:after="0" w:line="267" w:lineRule="auto"/>
        <w:rPr>
          <w:sz w:val="20"/>
          <w:szCs w:val="20"/>
          <w:color w:val="auto"/>
        </w:rPr>
      </w:pPr>
      <w:r>
        <w:rPr>
          <w:rFonts w:ascii="Arial" w:cs="Arial" w:eastAsia="Arial" w:hAnsi="Arial"/>
          <w:sz w:val="17"/>
          <w:szCs w:val="17"/>
          <w:color w:val="auto"/>
        </w:rPr>
        <w:t>During the fourth quarter of 2021 we recorded approximately $164.0 million of charges associated with inventory and purchase commitments in excess of forecasted demand related to ADUHELM, which was recognized in cost of sales within our consolidated statements of income. In addition, we recognized the expected share of these charges from Eisai's 45.0% share in collaboration profit (loss) sharing within our consolidated statements of income. As of December 31, 2021, we had approximately $223.0 million of inventory related to ADUHELM. We may record additional write-downs of ADUHELM inventory if the final NCD is not broader than the proposed NCD.</w:t>
      </w:r>
    </w:p>
    <w:p>
      <w:pPr>
        <w:spacing w:after="0" w:line="74" w:lineRule="exact"/>
        <w:rPr>
          <w:sz w:val="20"/>
          <w:szCs w:val="20"/>
          <w:color w:val="auto"/>
        </w:rPr>
      </w:pPr>
    </w:p>
    <w:p>
      <w:pPr>
        <w:ind w:right="680" w:firstLine="405"/>
        <w:spacing w:after="0" w:line="266" w:lineRule="auto"/>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Royalty Cost of Sales</w:t>
      </w:r>
    </w:p>
    <w:p>
      <w:pPr>
        <w:spacing w:after="0" w:line="122"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For 2021 compared to 2020, the increase in royalty cost of sales was primarily due to higher</w:t>
      </w:r>
    </w:p>
    <w:p>
      <w:pPr>
        <w:spacing w:after="0" w:line="1301" w:lineRule="exact"/>
        <w:rPr>
          <w:sz w:val="20"/>
          <w:szCs w:val="20"/>
          <w:color w:val="auto"/>
        </w:rPr>
      </w:pPr>
    </w:p>
    <w:p>
      <w:pPr>
        <w:sectPr>
          <w:pgSz w:w="11900" w:h="16838" w:orient="portrait"/>
          <w:cols w:equalWidth="0" w:num="2">
            <w:col w:w="5180" w:space="720"/>
            <w:col w:w="5340"/>
          </w:cols>
          <w:pgMar w:left="320" w:top="144" w:right="339" w:bottom="1440" w:gutter="0" w:footer="0" w:header="0"/>
          <w:type w:val="continuous"/>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383540</wp:posOffset>
            </wp:positionV>
            <wp:extent cx="2717165" cy="59404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17165" cy="594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royalties payable on higher sales of TYSABRI and VUMERITY.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31286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1716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We support our drug discovery and development efforts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through the commitment of significant resources to discovery,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research and development programs and business development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opportunities.</w:t>
      </w:r>
    </w:p>
    <w:p>
      <w:pPr>
        <w:spacing w:after="0" w:line="17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 significant amount of our research and development costs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consist of indirect costs incurred in support of overall research</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 development activities and non-specific programs, including</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activities that benefit multiple programs, such as management</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costs, as well as depreciation, information technology and facility-</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based expenses. These costs are considered other research and</w:t>
      </w:r>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development costs in the table above and are not allocated to a specific program or stage.</w:t>
      </w:r>
    </w:p>
    <w:p>
      <w:pPr>
        <w:spacing w:after="0" w:line="1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2021 compared to 2020, the decrease in research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expense was primarily due to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$1,084.0 million, $601.3 million and $208.0 million in upfront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recognized upon the closing of our collaborations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Sage, Denali and Sangamo, respectively, in 2020. This decrease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partially offset by approximately $125.0 million in an upfront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recognized upon the closing of our collaboration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InnoCare in the third quarter of 2021, the development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zuranolone for the potential treatment of MDD and PPD,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of BIIB124 (SAGE-324) for the potential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essential tremor, which we are developing in collaboration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Sage, and closeout costs associated with BIIB111 (timrepigene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emparvovec) and BIIB112 (cotoretigene).</w:t>
      </w:r>
    </w:p>
    <w:p>
      <w:pPr>
        <w:spacing w:after="0" w:line="171" w:lineRule="exact"/>
        <w:rPr>
          <w:sz w:val="20"/>
          <w:szCs w:val="20"/>
          <w:color w:val="auto"/>
        </w:rPr>
      </w:pPr>
    </w:p>
    <w:p>
      <w:pPr>
        <w:ind w:right="120" w:firstLine="445"/>
        <w:spacing w:after="0" w:line="268" w:lineRule="auto"/>
        <w:rPr>
          <w:sz w:val="20"/>
          <w:szCs w:val="20"/>
          <w:color w:val="auto"/>
        </w:rPr>
      </w:pPr>
      <w:r>
        <w:rPr>
          <w:rFonts w:ascii="Arial" w:cs="Arial" w:eastAsia="Arial" w:hAnsi="Arial"/>
          <w:sz w:val="17"/>
          <w:szCs w:val="17"/>
          <w:color w:val="auto"/>
        </w:rPr>
        <w:t>In 2021 we recorded upfront payments related to our new collaborations as part of research and development expense. Excluding upfront payments, we expect our core research and development expense to increase in 2022, driven by continued investment in our pipeline. We intend to continue committing significant resources to targeted research and development opportunities where there is a significant unmet need and where a drug candidate has the potential to be highly differentiated.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Milestone and Upfront Expense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 for 2021 includes:</w:t>
      </w:r>
    </w:p>
    <w:p>
      <w:pPr>
        <w:spacing w:after="0" w:line="90" w:lineRule="exact"/>
        <w:rPr>
          <w:sz w:val="20"/>
          <w:szCs w:val="20"/>
          <w:color w:val="auto"/>
        </w:rPr>
      </w:pPr>
    </w:p>
    <w:p>
      <w:pPr>
        <w:ind w:left="500" w:hanging="330"/>
        <w:spacing w:after="0" w:line="254" w:lineRule="auto"/>
        <w:tabs>
          <w:tab w:leader="none" w:pos="4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$125.0 million charge to research and development expense in connection with the upfront payment associated with entering into our collaboration with InnoCare in the third quarter of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right="60" w:hanging="333"/>
        <w:spacing w:after="0" w:line="253" w:lineRule="auto"/>
        <w:tabs>
          <w:tab w:leader="none" w:pos="8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$60.0 million charge to research and development expense upon the exercise of our option under our collaboration agreement with Ionis to develop and commercialize BIIB115, a preclinical investigational ASO in development for SMA;</w:t>
      </w:r>
    </w:p>
    <w:p>
      <w:pPr>
        <w:spacing w:after="0" w:line="70" w:lineRule="exact"/>
        <w:rPr>
          <w:rFonts w:ascii="Arial" w:cs="Arial" w:eastAsia="Arial" w:hAnsi="Arial"/>
          <w:sz w:val="18"/>
          <w:szCs w:val="18"/>
          <w:color w:val="auto"/>
        </w:rPr>
      </w:pPr>
    </w:p>
    <w:p>
      <w:pPr>
        <w:ind w:left="880" w:right="60" w:hanging="333"/>
        <w:spacing w:after="0" w:line="271" w:lineRule="auto"/>
        <w:tabs>
          <w:tab w:leader="none" w:pos="821" w:val="left"/>
        </w:tabs>
        <w:numPr>
          <w:ilvl w:val="0"/>
          <w:numId w:val="66"/>
        </w:numPr>
        <w:rPr>
          <w:rFonts w:ascii="Arial" w:cs="Arial" w:eastAsia="Arial" w:hAnsi="Arial"/>
          <w:sz w:val="17"/>
          <w:szCs w:val="17"/>
          <w:i w:val="1"/>
          <w:iCs w:val="1"/>
          <w:color w:val="auto"/>
        </w:rPr>
      </w:pPr>
      <w:r>
        <w:rPr>
          <w:rFonts w:ascii="Arial" w:cs="Arial" w:eastAsia="Arial" w:hAnsi="Arial"/>
          <w:sz w:val="17"/>
          <w:szCs w:val="17"/>
          <w:color w:val="auto"/>
        </w:rPr>
        <w:t>$30.0 million charge to research and development expense related to the option exercise fee payable to Genentech to jointly develop and commercialize mosunetuzumab, a late-stage bispecific antibody in development for B-cell non-Hodgkin's lymphoma and other therapeutic areas; and</w:t>
      </w:r>
    </w:p>
    <w:p>
      <w:pPr>
        <w:spacing w:after="0" w:line="70" w:lineRule="exact"/>
        <w:rPr>
          <w:rFonts w:ascii="Arial" w:cs="Arial" w:eastAsia="Arial" w:hAnsi="Arial"/>
          <w:sz w:val="17"/>
          <w:szCs w:val="17"/>
          <w:i w:val="1"/>
          <w:iCs w:val="1"/>
          <w:color w:val="auto"/>
        </w:rPr>
      </w:pPr>
    </w:p>
    <w:p>
      <w:pPr>
        <w:ind w:left="880" w:right="40" w:hanging="333"/>
        <w:spacing w:after="0" w:line="238" w:lineRule="auto"/>
        <w:tabs>
          <w:tab w:leader="none" w:pos="835" w:val="left"/>
        </w:tabs>
        <w:numPr>
          <w:ilvl w:val="0"/>
          <w:numId w:val="66"/>
        </w:numPr>
        <w:rPr>
          <w:rFonts w:ascii="Arial" w:cs="Arial" w:eastAsia="Arial" w:hAnsi="Arial"/>
          <w:sz w:val="17"/>
          <w:szCs w:val="17"/>
          <w:color w:val="auto"/>
        </w:rPr>
      </w:pPr>
      <w:r>
        <w:rPr>
          <w:rFonts w:ascii="Arial" w:cs="Arial" w:eastAsia="Arial" w:hAnsi="Arial"/>
          <w:sz w:val="17"/>
          <w:szCs w:val="17"/>
          <w:color w:val="auto"/>
        </w:rPr>
        <w:t>$30.0 million charge to research and development expense in connection with the upfront payment associated with entering into a commercialization and license agreement with Bio-Thera to develop, manufacture and commercialize BAT1806, a proposed biosimilar referencing ACTEMRA.</w:t>
      </w:r>
    </w:p>
    <w:p>
      <w:pPr>
        <w:spacing w:after="0" w:line="1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Research and development expense for 2020 includes:</w:t>
      </w:r>
    </w:p>
    <w:p>
      <w:pPr>
        <w:spacing w:after="0" w:line="104" w:lineRule="exact"/>
        <w:rPr>
          <w:sz w:val="20"/>
          <w:szCs w:val="20"/>
          <w:color w:val="auto"/>
        </w:rPr>
      </w:pPr>
    </w:p>
    <w:p>
      <w:pPr>
        <w:ind w:left="880" w:hanging="333"/>
        <w:spacing w:after="0" w:line="254"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$1,084.0 million charge to research and development expense in connection with the upfront payment associated with entering into our collaboration with Sage in the fourth quarter of 2020;</w:t>
      </w:r>
    </w:p>
    <w:p>
      <w:pPr>
        <w:spacing w:after="0" w:line="82" w:lineRule="exact"/>
        <w:rPr>
          <w:rFonts w:ascii="Arial" w:cs="Arial" w:eastAsia="Arial" w:hAnsi="Arial"/>
          <w:sz w:val="18"/>
          <w:szCs w:val="18"/>
          <w:color w:val="auto"/>
        </w:rPr>
      </w:pPr>
    </w:p>
    <w:p>
      <w:pPr>
        <w:ind w:left="880" w:hanging="333"/>
        <w:spacing w:after="0" w:line="254"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$601.3 million charge to research and development expense in connection with the upfront payment associated with entering into our collaboration with Denali in the third quarter of 2020; and</w:t>
      </w:r>
    </w:p>
    <w:p>
      <w:pPr>
        <w:spacing w:after="0" w:line="68" w:lineRule="exact"/>
        <w:rPr>
          <w:rFonts w:ascii="Arial" w:cs="Arial" w:eastAsia="Arial" w:hAnsi="Arial"/>
          <w:sz w:val="18"/>
          <w:szCs w:val="18"/>
          <w:color w:val="auto"/>
        </w:rPr>
      </w:pPr>
    </w:p>
    <w:p>
      <w:pPr>
        <w:ind w:left="880" w:hanging="333"/>
        <w:spacing w:after="0" w:line="254"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$208.0 million charge to research and development expense in connection with the upfront payment associated with entering into our collaboration with Sangamo in the second quarter of 2020.</w:t>
      </w:r>
    </w:p>
    <w:p>
      <w:pPr>
        <w:spacing w:after="0" w:line="150" w:lineRule="exact"/>
        <w:rPr>
          <w:sz w:val="20"/>
          <w:szCs w:val="20"/>
          <w:color w:val="auto"/>
        </w:rPr>
      </w:pPr>
    </w:p>
    <w:p>
      <w:pPr>
        <w:ind w:left="380" w:right="80" w:firstLine="445"/>
        <w:spacing w:after="0" w:line="254" w:lineRule="auto"/>
        <w:rPr>
          <w:sz w:val="20"/>
          <w:szCs w:val="20"/>
          <w:color w:val="auto"/>
        </w:rPr>
      </w:pPr>
      <w:r>
        <w:rPr>
          <w:rFonts w:ascii="Arial" w:cs="Arial" w:eastAsia="Arial" w:hAnsi="Arial"/>
          <w:sz w:val="18"/>
          <w:szCs w:val="18"/>
          <w:color w:val="auto"/>
        </w:rPr>
        <w:t>The upfront payments associated with these collaborations are classified as research and development expense as the programs they relate to had not achieved regulatory approval as of the payment date.</w:t>
      </w:r>
    </w:p>
    <w:p>
      <w:pPr>
        <w:spacing w:after="0" w:line="150" w:lineRule="exact"/>
        <w:rPr>
          <w:sz w:val="20"/>
          <w:szCs w:val="20"/>
          <w:color w:val="auto"/>
        </w:rPr>
      </w:pPr>
    </w:p>
    <w:p>
      <w:pPr>
        <w:ind w:left="380" w:right="160" w:firstLine="445"/>
        <w:spacing w:after="0" w:line="254" w:lineRule="auto"/>
        <w:rPr>
          <w:sz w:val="20"/>
          <w:szCs w:val="20"/>
          <w:color w:val="auto"/>
        </w:rPr>
      </w:pPr>
      <w:r>
        <w:rPr>
          <w:rFonts w:ascii="Arial" w:cs="Arial" w:eastAsia="Arial" w:hAnsi="Arial"/>
          <w:sz w:val="18"/>
          <w:szCs w:val="18"/>
          <w:color w:val="auto"/>
        </w:rPr>
        <w:t xml:space="preserve">For additional information about these collaboration arrangements,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Early Stage Programs</w:t>
      </w:r>
    </w:p>
    <w:p>
      <w:pPr>
        <w:spacing w:after="0" w:line="122" w:lineRule="exact"/>
        <w:rPr>
          <w:sz w:val="20"/>
          <w:szCs w:val="20"/>
          <w:color w:val="auto"/>
        </w:rPr>
      </w:pPr>
    </w:p>
    <w:p>
      <w:pPr>
        <w:ind w:left="380" w:right="440" w:firstLine="445"/>
        <w:spacing w:after="0" w:line="256" w:lineRule="auto"/>
        <w:rPr>
          <w:sz w:val="20"/>
          <w:szCs w:val="20"/>
          <w:color w:val="auto"/>
        </w:rPr>
      </w:pPr>
      <w:r>
        <w:rPr>
          <w:rFonts w:ascii="Arial" w:cs="Arial" w:eastAsia="Arial" w:hAnsi="Arial"/>
          <w:sz w:val="18"/>
          <w:szCs w:val="18"/>
          <w:color w:val="auto"/>
        </w:rPr>
        <w:t>For 2021 compared to 2020, the decrease in spending related to our early stage programs was primarily due to a decrease in costs associated with:</w:t>
      </w:r>
    </w:p>
    <w:p>
      <w:pPr>
        <w:spacing w:after="0" w:line="80" w:lineRule="exact"/>
        <w:rPr>
          <w:sz w:val="20"/>
          <w:szCs w:val="20"/>
          <w:color w:val="auto"/>
        </w:rPr>
      </w:pPr>
    </w:p>
    <w:p>
      <w:pPr>
        <w:ind w:left="820" w:hanging="273"/>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discontinuation of opicinumab (anti-LINGO) in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500" w:right="40" w:hanging="330"/>
        <w:spacing w:after="0" w:line="256" w:lineRule="auto"/>
        <w:tabs>
          <w:tab w:leader="none" w:pos="4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discontinuation of BIIB054 (cinpanemab) in Parkinson's disease and the discontinuation of gosuranemab (BIIB092) in Alzheimer's disease;</w:t>
      </w:r>
    </w:p>
    <w:p>
      <w:pPr>
        <w:spacing w:after="0" w:line="66" w:lineRule="exact"/>
        <w:rPr>
          <w:rFonts w:ascii="Arial" w:cs="Arial" w:eastAsia="Arial" w:hAnsi="Arial"/>
          <w:sz w:val="18"/>
          <w:szCs w:val="18"/>
          <w:color w:val="auto"/>
        </w:rPr>
      </w:pPr>
    </w:p>
    <w:p>
      <w:pPr>
        <w:ind w:left="500" w:right="40" w:hanging="330"/>
        <w:spacing w:after="0" w:line="278" w:lineRule="auto"/>
        <w:tabs>
          <w:tab w:leader="none" w:pos="4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advancement of dapirolizumab pego, an anti-CD40L pegylated Fab that we are developing in collaboration with UCB, for the potential treatment of SLE into late stage; and</w:t>
      </w:r>
    </w:p>
    <w:p>
      <w:pPr>
        <w:spacing w:after="0" w:line="63" w:lineRule="exact"/>
        <w:rPr>
          <w:rFonts w:ascii="Arial" w:cs="Arial" w:eastAsia="Arial" w:hAnsi="Arial"/>
          <w:sz w:val="17"/>
          <w:szCs w:val="17"/>
          <w:color w:val="auto"/>
        </w:rPr>
      </w:pPr>
    </w:p>
    <w:p>
      <w:pPr>
        <w:ind w:left="500" w:right="100" w:hanging="330"/>
        <w:spacing w:after="0" w:line="261" w:lineRule="auto"/>
        <w:tabs>
          <w:tab w:leader="none" w:pos="4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advancement of BIIB059 (anti-BDCA2) for the potential treatment of SLE into late stage.</w:t>
      </w:r>
    </w:p>
    <w:p>
      <w:pPr>
        <w:spacing w:after="0" w:line="144"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These decreases were partially offset by an increase in costs associated with:</w:t>
      </w:r>
    </w:p>
    <w:p>
      <w:pPr>
        <w:spacing w:after="0" w:line="76" w:lineRule="exact"/>
        <w:rPr>
          <w:sz w:val="20"/>
          <w:szCs w:val="20"/>
          <w:color w:val="auto"/>
        </w:rPr>
      </w:pPr>
    </w:p>
    <w:p>
      <w:pPr>
        <w:ind w:left="500" w:right="140" w:hanging="330"/>
        <w:spacing w:after="0" w:line="261" w:lineRule="auto"/>
        <w:tabs>
          <w:tab w:leader="none" w:pos="4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BIIB124 for the potential treatment of essential tremor;</w:t>
      </w:r>
    </w:p>
    <w:p>
      <w:pPr>
        <w:spacing w:after="0" w:line="62" w:lineRule="exact"/>
        <w:rPr>
          <w:rFonts w:ascii="Arial" w:cs="Arial" w:eastAsia="Arial" w:hAnsi="Arial"/>
          <w:sz w:val="18"/>
          <w:szCs w:val="18"/>
          <w:color w:val="auto"/>
        </w:rPr>
      </w:pPr>
    </w:p>
    <w:p>
      <w:pPr>
        <w:ind w:left="500" w:right="400" w:hanging="330"/>
        <w:spacing w:after="0" w:line="254" w:lineRule="auto"/>
        <w:tabs>
          <w:tab w:leader="none" w:pos="4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BIIB122 (DNL151) for the potential treatment of Parkinson's disease, which we are developing in collaboration with Denali; and</w:t>
      </w:r>
    </w:p>
    <w:p>
      <w:pPr>
        <w:spacing w:after="0" w:line="82" w:lineRule="exact"/>
        <w:rPr>
          <w:rFonts w:ascii="Arial" w:cs="Arial" w:eastAsia="Arial" w:hAnsi="Arial"/>
          <w:sz w:val="18"/>
          <w:szCs w:val="18"/>
          <w:color w:val="auto"/>
        </w:rPr>
      </w:pPr>
    </w:p>
    <w:p>
      <w:pPr>
        <w:ind w:left="500" w:right="400" w:hanging="330"/>
        <w:spacing w:after="0" w:line="261" w:lineRule="auto"/>
        <w:tabs>
          <w:tab w:leader="none" w:pos="4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BIIB135 (orelabrutinib) for the potential treatment of 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Late Stage Programs</w:t>
      </w:r>
    </w:p>
    <w:p>
      <w:pPr>
        <w:spacing w:after="0" w:line="122" w:lineRule="exact"/>
        <w:rPr>
          <w:sz w:val="20"/>
          <w:szCs w:val="20"/>
          <w:color w:val="auto"/>
        </w:rPr>
      </w:pPr>
    </w:p>
    <w:p>
      <w:pPr>
        <w:ind w:right="340" w:firstLine="445"/>
        <w:spacing w:after="0" w:line="291" w:lineRule="auto"/>
        <w:rPr>
          <w:sz w:val="20"/>
          <w:szCs w:val="20"/>
          <w:color w:val="auto"/>
        </w:rPr>
      </w:pPr>
      <w:r>
        <w:rPr>
          <w:rFonts w:ascii="Arial" w:cs="Arial" w:eastAsia="Arial" w:hAnsi="Arial"/>
          <w:sz w:val="17"/>
          <w:szCs w:val="17"/>
          <w:color w:val="auto"/>
        </w:rPr>
        <w:t>For 2021 compared to 2020, the increase in spending associated with our late stage programs was primarily due to:</w:t>
      </w:r>
    </w:p>
    <w:p>
      <w:pPr>
        <w:spacing w:after="0" w:line="39" w:lineRule="exact"/>
        <w:rPr>
          <w:sz w:val="20"/>
          <w:szCs w:val="20"/>
          <w:color w:val="auto"/>
        </w:rPr>
      </w:pPr>
    </w:p>
    <w:p>
      <w:pPr>
        <w:ind w:left="500" w:right="160" w:hanging="330"/>
        <w:spacing w:after="0" w:line="261" w:lineRule="auto"/>
        <w:tabs>
          <w:tab w:leader="none" w:pos="4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spending in the development of zuranolone for the potential treatment of MDD and PPD;</w:t>
      </w:r>
    </w:p>
    <w:p>
      <w:pPr>
        <w:spacing w:after="0" w:line="76" w:lineRule="exact"/>
        <w:rPr>
          <w:rFonts w:ascii="Arial" w:cs="Arial" w:eastAsia="Arial" w:hAnsi="Arial"/>
          <w:sz w:val="18"/>
          <w:szCs w:val="18"/>
          <w:color w:val="auto"/>
        </w:rPr>
      </w:pPr>
    </w:p>
    <w:p>
      <w:pPr>
        <w:ind w:left="500" w:right="240" w:hanging="330"/>
        <w:spacing w:after="0" w:line="261" w:lineRule="auto"/>
        <w:tabs>
          <w:tab w:leader="none" w:pos="4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advancement of dapirolizumab pegol for the potential treatment of SLE into late stage;</w:t>
      </w:r>
    </w:p>
    <w:p>
      <w:pPr>
        <w:spacing w:after="0" w:line="76" w:lineRule="exact"/>
        <w:rPr>
          <w:rFonts w:ascii="Arial" w:cs="Arial" w:eastAsia="Arial" w:hAnsi="Arial"/>
          <w:sz w:val="18"/>
          <w:szCs w:val="18"/>
          <w:color w:val="auto"/>
        </w:rPr>
      </w:pPr>
    </w:p>
    <w:p>
      <w:pPr>
        <w:ind w:left="500" w:right="200" w:hanging="330"/>
        <w:spacing w:after="0" w:line="261" w:lineRule="auto"/>
        <w:tabs>
          <w:tab w:leader="none" w:pos="4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advancement of BIIB059 for the potential treatment of SLE into late stage;</w:t>
      </w:r>
    </w:p>
    <w:p>
      <w:pPr>
        <w:spacing w:after="0" w:line="62" w:lineRule="exact"/>
        <w:rPr>
          <w:rFonts w:ascii="Arial" w:cs="Arial" w:eastAsia="Arial" w:hAnsi="Arial"/>
          <w:sz w:val="18"/>
          <w:szCs w:val="18"/>
          <w:color w:val="auto"/>
        </w:rPr>
      </w:pPr>
    </w:p>
    <w:p>
      <w:pPr>
        <w:ind w:left="500" w:right="60" w:hanging="330"/>
        <w:spacing w:after="0" w:line="253" w:lineRule="auto"/>
        <w:tabs>
          <w:tab w:leader="none" w:pos="4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spending related to our option exercise with Genentech to jointly develop and commercialize mosunetuzumab, a late-stage bispecific antibody in development for B-cell non-Hodgkin's lymphoma and other therapeutic areas;</w:t>
      </w:r>
    </w:p>
    <w:p>
      <w:pPr>
        <w:spacing w:after="0" w:line="83" w:lineRule="exact"/>
        <w:rPr>
          <w:rFonts w:ascii="Arial" w:cs="Arial" w:eastAsia="Arial" w:hAnsi="Arial"/>
          <w:sz w:val="18"/>
          <w:szCs w:val="18"/>
          <w:color w:val="auto"/>
        </w:rPr>
      </w:pPr>
    </w:p>
    <w:p>
      <w:pPr>
        <w:ind w:left="440" w:hanging="270"/>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in spending related to lecanemab; and</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close out costs related to BIIB111.</w:t>
      </w:r>
    </w:p>
    <w:p>
      <w:pPr>
        <w:spacing w:after="0" w:line="171"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These increases were partially offset by a decrease in costs associated with the advancement of ADUHELM from late stage to marketed.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Marketed Programs</w:t>
      </w:r>
    </w:p>
    <w:p>
      <w:pPr>
        <w:spacing w:after="0" w:line="122" w:lineRule="exact"/>
        <w:rPr>
          <w:sz w:val="20"/>
          <w:szCs w:val="20"/>
          <w:color w:val="auto"/>
        </w:rPr>
      </w:pPr>
    </w:p>
    <w:p>
      <w:pPr>
        <w:ind w:left="380" w:right="140" w:firstLine="567"/>
        <w:spacing w:after="0" w:line="256" w:lineRule="auto"/>
        <w:rPr>
          <w:sz w:val="20"/>
          <w:szCs w:val="20"/>
          <w:color w:val="auto"/>
        </w:rPr>
      </w:pPr>
      <w:r>
        <w:rPr>
          <w:rFonts w:ascii="Arial" w:cs="Arial" w:eastAsia="Arial" w:hAnsi="Arial"/>
          <w:sz w:val="18"/>
          <w:szCs w:val="18"/>
          <w:color w:val="auto"/>
        </w:rPr>
        <w:t>For 2021 compared to 2020, the increase in spending associated with our marketed programs was primarily due to an increase in costs associated with:</w:t>
      </w:r>
    </w:p>
    <w:p>
      <w:pPr>
        <w:spacing w:after="0" w:line="67" w:lineRule="exact"/>
        <w:rPr>
          <w:sz w:val="20"/>
          <w:szCs w:val="20"/>
          <w:color w:val="auto"/>
        </w:rPr>
      </w:pPr>
    </w:p>
    <w:p>
      <w:pPr>
        <w:ind w:left="880" w:hanging="333"/>
        <w:spacing w:after="0" w:line="291" w:lineRule="auto"/>
        <w:tabs>
          <w:tab w:leader="none" w:pos="8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advancement of ADUHELM from late stage to marketed upon the accelerated approval of ADUHELM in the U.S.</w:t>
      </w:r>
    </w:p>
    <w:p>
      <w:pPr>
        <w:spacing w:after="0" w:line="120" w:lineRule="exact"/>
        <w:rPr>
          <w:sz w:val="20"/>
          <w:szCs w:val="20"/>
          <w:color w:val="auto"/>
        </w:rPr>
      </w:pPr>
    </w:p>
    <w:p>
      <w:pPr>
        <w:ind w:left="380" w:right="80" w:firstLine="567"/>
        <w:spacing w:after="0" w:line="252" w:lineRule="auto"/>
        <w:rPr>
          <w:sz w:val="20"/>
          <w:szCs w:val="20"/>
          <w:color w:val="auto"/>
        </w:rPr>
      </w:pPr>
      <w:r>
        <w:rPr>
          <w:rFonts w:ascii="Arial" w:cs="Arial" w:eastAsia="Arial" w:hAnsi="Arial"/>
          <w:sz w:val="18"/>
          <w:szCs w:val="18"/>
          <w:color w:val="auto"/>
        </w:rPr>
        <w:t>In March 2019 Eisai initiated a global Phase 3 trial for the development of lecanemab in early Alzheimer's disease. Under our collaboration arrangement, Eisai serves as the global operational and regulatory lead for lecanemab and all costs, including research, development, sales and marketing expense, are shared equally between us and Eisai.</w:t>
      </w:r>
    </w:p>
    <w:p>
      <w:pPr>
        <w:spacing w:after="0" w:line="154" w:lineRule="exact"/>
        <w:rPr>
          <w:sz w:val="20"/>
          <w:szCs w:val="20"/>
          <w:color w:val="auto"/>
        </w:rPr>
      </w:pPr>
    </w:p>
    <w:p>
      <w:pPr>
        <w:ind w:left="380" w:right="60" w:firstLine="567"/>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20320</wp:posOffset>
            </wp:positionV>
            <wp:extent cx="2717165" cy="2057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For 2021 compared to 2020, the increase in selling, general and administrative expense was primarily due to an increase in personnel in support of the launch of ADUHELM in the U.S. Beginning in the second quarter of 2021, reimbursement from Eisai for its share of U.S. ADUHELM selling, general and administrative expense is recognized in collaboration profit (loss) sharing in our consolidated statements of income.</w:t>
      </w:r>
    </w:p>
    <w:p>
      <w:pPr>
        <w:spacing w:after="0" w:line="99" w:lineRule="exact"/>
        <w:rPr>
          <w:sz w:val="20"/>
          <w:szCs w:val="20"/>
          <w:color w:val="auto"/>
        </w:rPr>
      </w:pPr>
    </w:p>
    <w:p>
      <w:pPr>
        <w:ind w:left="380" w:right="40" w:firstLine="445"/>
        <w:spacing w:after="0" w:line="256" w:lineRule="auto"/>
        <w:rPr>
          <w:sz w:val="20"/>
          <w:szCs w:val="20"/>
          <w:color w:val="auto"/>
        </w:rPr>
      </w:pPr>
      <w:r>
        <w:rPr>
          <w:rFonts w:ascii="Arial" w:cs="Arial" w:eastAsia="Arial" w:hAnsi="Arial"/>
          <w:sz w:val="18"/>
          <w:szCs w:val="18"/>
          <w:color w:val="auto"/>
        </w:rPr>
        <w:t>In 2022 we expect selling, general and administrative costs to decrease as we plan to implement cost-reduction measures with a significant portion expected to be realized in 2022.</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80"/>
          </w:cols>
          <w:pgMar w:left="320" w:top="144" w:right="479" w:bottom="1440" w:gutter="0" w:footer="0" w:header="0"/>
          <w:type w:val="continuous"/>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057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our TYSABRI, AVONEX, SPINRAZA, VUMERITY and TECFIDERA (rest of world) products and other programs acquired through business combinations.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amortization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of acquired intangible assets reflects the impact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$365.0 million impairment charge related to BIIB111,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$220.0 million impairment charge related to BIIB112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 million impairment charge related to vixotrigine (BIIB074)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potential treatment of trigeminal neuralgia (TGN).</w:t>
      </w:r>
    </w:p>
    <w:p>
      <w:pPr>
        <w:spacing w:after="0" w:line="117" w:lineRule="exact"/>
        <w:rPr>
          <w:sz w:val="20"/>
          <w:szCs w:val="20"/>
          <w:color w:val="auto"/>
        </w:rPr>
      </w:pPr>
    </w:p>
    <w:p>
      <w:pPr>
        <w:jc w:val="both"/>
        <w:ind w:right="140" w:firstLine="445"/>
        <w:spacing w:after="0" w:line="250" w:lineRule="auto"/>
        <w:rPr>
          <w:sz w:val="20"/>
          <w:szCs w:val="20"/>
          <w:color w:val="auto"/>
        </w:rPr>
      </w:pPr>
      <w:r>
        <w:rPr>
          <w:rFonts w:ascii="Arial" w:cs="Arial" w:eastAsia="Arial" w:hAnsi="Arial"/>
          <w:sz w:val="18"/>
          <w:szCs w:val="18"/>
          <w:color w:val="auto"/>
        </w:rPr>
        <w:t>For the year ended December 31, 2020, amortization and impairment of acquired intangible assets reflects the impact of a $115.0 million impairment charge related to BIIB111, a</w:t>
      </w:r>
    </w:p>
    <w:p>
      <w:pPr>
        <w:spacing w:after="0" w:line="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$75.4 million impairment charge related to BIIB054 and a $19.3 million impairment charge related to one of our other IPR&amp;D intangible assets.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acquired intangible assets, excluding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totaled $252.0 million, $255.1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$274.0 million for the years ended December 31, 2021,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2019, respectively.</w:t>
      </w:r>
    </w:p>
    <w:p>
      <w:pPr>
        <w:spacing w:after="0" w:line="11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spacing w:after="0" w:line="261" w:lineRule="auto"/>
        <w:rPr>
          <w:sz w:val="20"/>
          <w:szCs w:val="20"/>
          <w:color w:val="auto"/>
        </w:rPr>
      </w:pPr>
      <w:r>
        <w:rPr>
          <w:rFonts w:ascii="Arial" w:cs="Arial" w:eastAsia="Arial" w:hAnsi="Arial"/>
          <w:sz w:val="18"/>
          <w:szCs w:val="18"/>
          <w:color w:val="auto"/>
        </w:rPr>
        <w:t>may result in a significant negative impact on our future results of operations.</w:t>
      </w:r>
    </w:p>
    <w:p>
      <w:pPr>
        <w:spacing w:after="0" w:line="7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35"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We review amounts capitalized as acquired IPR&amp;D for impairment annually, as of October 31, and whenever events or changes in circumstances indicate to us that the carrying value of the assets might not be recoverable.</w:t>
      </w:r>
    </w:p>
    <w:p>
      <w:pPr>
        <w:spacing w:after="0" w:line="99"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Overall, the value of our acquired IPR&amp;D assets is dependent upon several variables, including estimates of future revenue and the effects of competition, our ability to secure sufficient pricing in a competitive market, our ability to confirm safety and efficacy based on data from clinical trials and regulatory feedback, the level of anticipated development costs and the probability and timing of successfully advancing a particular research program from one clinical trial phase to the next. We are continually reevaluating our estimates concerning these and other variables, including our life cycle management strategies, research and development priorities and development risk, changes in program and portfolio economics and related impact of foreign currency exchange rates and economic trends and evaluating industry and company data regarding the productivity of clinical research and the development process. Changes in our estimates may result in a significant change to our valuation of our IPR&amp;D assets.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Vixotrigine</w:t>
      </w:r>
    </w:p>
    <w:p>
      <w:pPr>
        <w:spacing w:after="0" w:line="122"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diabetic painful neuropathy (DPN), another form of neuropathic pain. We have engaged with the FDA regarding the design of the Phase 3 studies of vixotrigine for the potential treatment of TGN and DPN and are now performing an additional clinical trial of vixotrigine.</w:t>
      </w:r>
    </w:p>
    <w:p>
      <w:pPr>
        <w:spacing w:after="0" w:line="70"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The performance of this additional clinical trial delayed the initiation of the Phase 3 studies of vixotrigine for the potential treatment of TGN, and, as a result, we recognized an impairment charge of $44.3 million related to vixotrigine for the potential treatment of TGN during the first quarter of 2021. As of December 31, 2021, the carrying value associated with the remaining IPR&amp;D asset for DPN was $132.7 million and the fair value of this asset was not significantly in excess of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BIIB111 and BIIB112</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as a result of third-party manufacturing delays that impacted the timing and increased the costs associated with advancing BIIB111 through Phase 3 development.</w:t>
      </w:r>
    </w:p>
    <w:p>
      <w:pPr>
        <w:spacing w:after="0" w:line="9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During the second quarter of 2021 we announced that our Phase 3 STAR study of BIIB111 and our Phase 2/3 XIRIUS study of BIIB112 did not meet their primary endpoints. In the third quarter of 2021 we suspended further development on these programs based on the decision by management as part of its strategic review process. For the year ended December 31, 2021, we recognized an impairment charge of $ 365.0 million related to BIIB111 and an impairment charge of $220.0 million related to BIIB112, reducing the remaining book values of these IPR&amp;D intangible assets to zero.</w:t>
      </w:r>
    </w:p>
    <w:p>
      <w:pPr>
        <w:spacing w:after="0" w:line="103"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auto"/>
        </w:rPr>
        <w:t>In addition, for the year ended December 31, 2021, as a result of our decision to suspend further development of BIIB111 and BIIB112, we recognized charges of approximately</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$39.1 million related to our manufacturing arrangements and other costs that we expect to incur as a result of suspending these programs, which were recorded as research and development expense in our consolidated statements of income.</w:t>
      </w:r>
    </w:p>
    <w:p>
      <w:pPr>
        <w:spacing w:after="0" w:line="9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Collaboration Profit (Loss)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057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Collaboration profit (loss) sharing primarily includes Samsung Bioepis' 50.0% share of the profit or loss related to our biosimilars commercial agreement with Samsung Bioepis and, beginning in the second quarter of 2021, Eisai's 45.0% share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income and expense in the U.S. related to the ADUHELM Collaboration Agreement.</w:t>
      </w:r>
    </w:p>
    <w:p>
      <w:pPr>
        <w:spacing w:after="0" w:line="90"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For the years ended December 31, 2021, 2020 and 2019 we recognized net profit-sharing expense of $285.4 million, $266.5 million and $241.6 million, respectively, to reflect Samsung Bioepis’ 50.0% sharing of the net collaboration profits.</w:t>
      </w:r>
    </w:p>
    <w:p>
      <w:pPr>
        <w:spacing w:after="0" w:line="83"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For the year ended December 31, 2021, we recognized net profit-sharing income of $233.2 million to reflect Eisai's 45.0% share of loss related to the ADUHELM Collaboration Agreement. We also recognized net profit-sharing income of $45.0 million to reflect Eisai's 45.0% share of the $100.0 million milestone payment made to Neurimmune related to the launch of ADUHELM in the U.S.</w:t>
      </w:r>
    </w:p>
    <w:p>
      <w:pPr>
        <w:spacing w:after="0" w:line="9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 the year ended December 31, 2020, we recognized net profit-sharing income of $ 33.8 million to reflect Eisai's 45.0% share of the $75.0 million milestone payment made to Neurimmune related to the completed submission of the BLA for the approval of ADUHELM to the FDA.</w:t>
      </w:r>
    </w:p>
    <w:p>
      <w:pPr>
        <w:spacing w:after="0" w:line="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Eisai,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18, Collaborative and Other Relationships</w:t>
      </w:r>
      <w:r>
        <w:rPr>
          <w:rFonts w:ascii="Arial" w:cs="Arial" w:eastAsia="Arial" w:hAnsi="Arial"/>
          <w:sz w:val="18"/>
          <w:szCs w:val="18"/>
          <w:color w:val="auto"/>
        </w:rPr>
        <w:t>, 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6018" w:lineRule="exact"/>
        <w:rPr>
          <w:sz w:val="20"/>
          <w:szCs w:val="20"/>
          <w:color w:val="auto"/>
        </w:rPr>
      </w:pPr>
    </w:p>
    <w:p>
      <w:pPr>
        <w:sectPr>
          <w:pgSz w:w="11900" w:h="16838" w:orient="portrait"/>
          <w:cols w:equalWidth="0" w:num="2">
            <w:col w:w="5220" w:space="680"/>
            <w:col w:w="5200"/>
          </w:cols>
          <w:pgMar w:left="320" w:top="144" w:right="479" w:bottom="1440" w:gutter="0" w:footer="0" w:header="0"/>
          <w:type w:val="continuous"/>
        </w:sect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type w:val="continuous"/>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140"/>
        <w:spacing w:after="0" w:line="287" w:lineRule="auto"/>
        <w:rPr>
          <w:sz w:val="20"/>
          <w:szCs w:val="20"/>
          <w:color w:val="auto"/>
        </w:rPr>
      </w:pPr>
      <w:r>
        <w:rPr>
          <w:rFonts w:ascii="Arial" w:cs="Arial" w:eastAsia="Arial" w:hAnsi="Arial"/>
          <w:sz w:val="18"/>
          <w:szCs w:val="18"/>
          <w:b w:val="1"/>
          <w:bCs w:val="1"/>
          <w:i w:val="1"/>
          <w:iCs w:val="1"/>
          <w:color w:val="2573BA"/>
        </w:rPr>
        <w:t>(Gain) Loss on Divestiture of Hillerød, Denmark Manufacturing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-24765</wp:posOffset>
            </wp:positionV>
            <wp:extent cx="2717165" cy="2057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March 2019 we entered into a share purchase agreement with FUJIFILM to sell all of the outstanding shares of our subsidiary that owned our biologics manufacturing operations in Hillerød, Denmark. The transaction closed in August 2019.</w:t>
      </w:r>
    </w:p>
    <w:p>
      <w:pPr>
        <w:spacing w:after="0" w:line="15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During the year ended December 31, 2020, we reduced our estimate of the fair value of the adverse commitment associated with the guarantee of future batch production by approximately $62.0 million based on our current manufacturing forecasts. Additionally, we recorded a reduction to our pre-tax loss of approximately $ 30.5 million due to a refund of interest paid associated with a tax matter.</w:t>
      </w:r>
    </w:p>
    <w:p>
      <w:pPr>
        <w:spacing w:after="0" w:line="9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2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573BA"/>
        </w:rPr>
        <w:t>(Gain) Loss on Fair Value 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2057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Consideration payable for certain of our business combinations includes future payments that are contingent upon the occurrence of a particular event or events. We record an obligation for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consolidated statements of income.</w:t>
      </w:r>
    </w:p>
    <w:p>
      <w:pPr>
        <w:spacing w:after="0" w:line="153" w:lineRule="exact"/>
        <w:rPr>
          <w:sz w:val="20"/>
          <w:szCs w:val="20"/>
          <w:color w:val="auto"/>
        </w:rPr>
      </w:pPr>
    </w:p>
    <w:p>
      <w:pPr>
        <w:ind w:right="120" w:firstLine="445"/>
        <w:spacing w:after="0" w:line="238" w:lineRule="auto"/>
        <w:rPr>
          <w:sz w:val="20"/>
          <w:szCs w:val="20"/>
          <w:color w:val="auto"/>
        </w:rPr>
      </w:pPr>
      <w:r>
        <w:rPr>
          <w:rFonts w:ascii="Arial" w:cs="Arial" w:eastAsia="Arial" w:hAnsi="Arial"/>
          <w:sz w:val="18"/>
          <w:szCs w:val="18"/>
          <w:color w:val="auto"/>
        </w:rPr>
        <w:t>The gain on fair value remeasurement of contingent consideration for 2021 was primarily due to reductions in the probability of technical and regulatory success and delays in the expected timing of the achievement of certain remaining developmental milestones related to our vixotrigine programs.</w:t>
      </w:r>
    </w:p>
    <w:p>
      <w:pPr>
        <w:spacing w:after="0" w:line="94" w:lineRule="exact"/>
        <w:rPr>
          <w:sz w:val="20"/>
          <w:szCs w:val="20"/>
          <w:color w:val="auto"/>
        </w:rPr>
      </w:pPr>
    </w:p>
    <w:p>
      <w:pPr>
        <w:ind w:right="180" w:firstLine="445"/>
        <w:spacing w:after="0" w:line="269" w:lineRule="auto"/>
        <w:rPr>
          <w:sz w:val="20"/>
          <w:szCs w:val="20"/>
          <w:color w:val="auto"/>
        </w:rPr>
      </w:pPr>
      <w:r>
        <w:rPr>
          <w:rFonts w:ascii="Arial" w:cs="Arial" w:eastAsia="Arial" w:hAnsi="Arial"/>
          <w:sz w:val="17"/>
          <w:szCs w:val="17"/>
          <w:color w:val="auto"/>
        </w:rPr>
        <w:t>The gain on fair value remeasurement of contingent consideration for 2020 was primarily due to the remeasurement of the contingent consideration associated with our BIIB054 program as well as changes in the probability and the expected timing of the achievement of certain remaining developmental milestones, changes in the interest rates used to revalue our contingent consideration liabilities and the passage of time.</w:t>
      </w:r>
    </w:p>
    <w:p>
      <w:pPr>
        <w:spacing w:after="0" w:line="86"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 xml:space="preserve">For additional information on our IPR&amp;D intangible assets,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to our consolidated financial statements included in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717165" cy="2511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BIIB118 Acquisition</w:t>
      </w:r>
    </w:p>
    <w:p>
      <w:pPr>
        <w:spacing w:after="0" w:line="13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In connection with this acquisition, we made an upfront payment of $75.0 million to Pfizer, which was accounted for as an asset acquisition and</w:t>
      </w:r>
    </w:p>
    <w:p>
      <w:pPr>
        <w:spacing w:after="0" w:line="1311" w:lineRule="exact"/>
        <w:rPr>
          <w:sz w:val="20"/>
          <w:szCs w:val="20"/>
          <w:color w:val="auto"/>
        </w:rPr>
      </w:pPr>
    </w:p>
    <w:p>
      <w:pPr>
        <w:sectPr>
          <w:pgSz w:w="11900" w:h="16838" w:orient="portrait"/>
          <w:cols w:equalWidth="0" w:num="2">
            <w:col w:w="5200" w:space="700"/>
            <w:col w:w="5220"/>
          </w:cols>
          <w:pgMar w:left="320" w:top="144" w:right="459" w:bottom="144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recorded as acquired IPR&amp;D in our consolidated statements of income as BIIB118 has not yet reached technological feasibility.</w:t>
      </w:r>
    </w:p>
    <w:p>
      <w:pPr>
        <w:spacing w:after="0" w:line="120"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 xml:space="preserve">For additional information on our acquisition of BIIB118,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17165" cy="2057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320" w:firstLine="405"/>
        <w:spacing w:after="0" w:line="256" w:lineRule="auto"/>
        <w:rPr>
          <w:sz w:val="20"/>
          <w:szCs w:val="20"/>
          <w:color w:val="auto"/>
        </w:rPr>
      </w:pPr>
      <w:r>
        <w:rPr>
          <w:rFonts w:ascii="Arial" w:cs="Arial" w:eastAsia="Arial" w:hAnsi="Arial"/>
          <w:sz w:val="18"/>
          <w:szCs w:val="18"/>
          <w:color w:val="auto"/>
        </w:rPr>
        <w:t>For 2021 compared to 2020, the change in other income (expense), net primarily reflects net unrealized losses on our holdings in equity securities.</w:t>
      </w:r>
    </w:p>
    <w:p>
      <w:pPr>
        <w:spacing w:after="0" w:line="94"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For the year ended December 31, 2021, net unrealized losses and realized gains on our holdings in equity securities were approximately $831.4 million and $ 10.3 million, respectively, compared to net unrealized and realized gains of $681.8 million and $12.1 million, respectively, in 2020. The net unrealized losses recognized during the year ended December 31, 2021, primarily reflect decreases in the aggregate fair value of our investments in Denali, Sage, Sangamo and Ionis common stock of approximately $819.6 million.</w:t>
      </w:r>
    </w:p>
    <w:p>
      <w:pPr>
        <w:spacing w:after="0" w:line="10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For the year ended December 31, 2021, net interest expense was $242.6 million, compared to $180.5 million in 2020. This increase was primarily due to a lower amount of interest being capitalized to capital projects in 2021, compared to 2020, due to a portion of our Solothurn facility being placed in service in 2021 and lower interest income earned on our investments in 2021, compared to 2020. On April 30, 2020, we issued our senior unsecured notes for an aggregate principal amount of $3.0 billion (2020 Senior Notes).</w:t>
      </w:r>
    </w:p>
    <w:p>
      <w:pPr>
        <w:spacing w:after="0" w:line="10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expect a moderate increase in interest expense in 2022, compared to 2021, primarily due to lower interest being capitalized as a result of assets being placed into service during 2021.</w:t>
      </w:r>
    </w:p>
    <w:p>
      <w:pPr>
        <w:spacing w:after="0" w:line="96"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 xml:space="preserve">For additional information on our 2020 Senior Notes,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included in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717165" cy="28975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1716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9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For the year ended December 31, 2021, compared to 2020, the decrease in our effective tax rate, excluding the impact of the Neurimmune deferred tax asset, as discussed below, was primarily due to the change in the territorial mix of our profitability, which included the adverse effect of generic competition for TECFIDERA in the U.S. market, the tax impacts of the BIIB111 and BIIB112 impairment charges and the impact of the non-cash tax effects of changes in the value of our equity investments, where we recorded net unrealized losses in 2021 and net unrealized gains in 2020. Our 2020 effective tax rate also reflected an income tax expense related to the establishment of a valuation allowance against certain deferred tax assets, the realization of which is dependent on future sales of TECFIDERA in the U.S.</w:t>
      </w:r>
    </w:p>
    <w:p>
      <w:pPr>
        <w:spacing w:after="0" w:line="10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addition, for the year ended December 31, 2021, compared to 2020, the decrease in our effective tax rate was significantly impacted by a current year deferred tax benefit in Switzerland resulting from the accelerated approval of ADUHELM by the FDA in the U.S., recognized during the second</w:t>
      </w:r>
    </w:p>
    <w:p>
      <w:pPr>
        <w:spacing w:after="0" w:line="342" w:lineRule="exact"/>
        <w:rPr>
          <w:sz w:val="20"/>
          <w:szCs w:val="20"/>
          <w:color w:val="auto"/>
        </w:rPr>
      </w:pPr>
    </w:p>
    <w:p>
      <w:pPr>
        <w:sectPr>
          <w:pgSz w:w="11900" w:h="16838" w:orient="portrait"/>
          <w:cols w:equalWidth="0" w:num="2">
            <w:col w:w="5220" w:space="680"/>
            <w:col w:w="5220"/>
          </w:cols>
          <w:pgMar w:left="320" w:top="144" w:right="459" w:bottom="1440" w:gutter="0" w:footer="0" w:header="0"/>
          <w:type w:val="continuous"/>
        </w:sect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quarter of 2021. We recorded a net deferred tax asset of approximately $490.0 million during the second quarter of 2021. The net deferred tax asset is comprised of approximately $945.0 million of gross deferred tax asset, reduced by approximately $455.0 million of unrecognized tax benefit. During the fourth quarter of 2021 we recorded a valuation allowance of approximately $390.0 million related to this deferred tax asset. The deferred tax benefit relates to Neurimmune's tax basis in ADUHELM, the realization of which is dependent on future sales of ADUHELM and approval of the Swiss cantonal tax authorities, with an equal and offsetting amount assigned to net income (loss) attributable to noncontrolling interests, net of tax in our consolidated statements of income, resulting in a zero net impact to net income attributable to Biogen Inc.</w:t>
      </w:r>
    </w:p>
    <w:p>
      <w:pPr>
        <w:spacing w:after="0" w:line="10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19,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96"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16, Income Taxes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2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 xml:space="preserve">For additional information on our uncertain tax positions and income tax rate reconciliation for 2021, 2020 and 2019, please read </w:t>
      </w:r>
      <w:r>
        <w:rPr>
          <w:rFonts w:ascii="Arial" w:cs="Arial" w:eastAsia="Arial" w:hAnsi="Arial"/>
          <w:sz w:val="18"/>
          <w:szCs w:val="18"/>
          <w:i w:val="1"/>
          <w:iCs w:val="1"/>
          <w:color w:val="auto"/>
        </w:rPr>
        <w:t>Note 16, Income Taxes,</w:t>
      </w:r>
      <w:r>
        <w:rPr>
          <w:rFonts w:ascii="Arial" w:cs="Arial" w:eastAsia="Arial" w:hAnsi="Arial"/>
          <w:sz w:val="18"/>
          <w:szCs w:val="18"/>
          <w:color w:val="auto"/>
        </w:rPr>
        <w:t xml:space="preserve"> to our consolidated financial statements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Equity in (Income)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17165" cy="2057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94"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In June 2018 we exercised our option under our joint venture agreement to increase our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percentage in Samsung Bioepis from approximately 5.0% to approximately 49.9%. The share purchase transaction was completed in November 2018. As of December 31, 2021, our ownership percentage remained at approximately 49.9%.</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consolidated statements of income. We recognize amortization on certain basis differences resulting from our November 2018 investment.</w:t>
      </w:r>
    </w:p>
    <w:p>
      <w:pPr>
        <w:spacing w:after="0" w:line="9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9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For the year ended December 31, 2021, we recognized net income on our investment of $34.9 million, reflecting our share of Samsung Bioepis' operating profits, net of tax totaling $64.6 million offset by amortization of basis differences totaling $29.7 million.</w:t>
      </w:r>
    </w:p>
    <w:p>
      <w:pPr>
        <w:spacing w:after="0" w:line="9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For the year ended December 31, 2020, we recognized net income on our investment of $5.3 million, reflecting our share of Samsung Bioepis' operating profits, net of tax totaling $45.3 million offset by amortization of basis differences totaling $40.0 million.</w:t>
      </w:r>
    </w:p>
    <w:p>
      <w:pPr>
        <w:spacing w:after="0" w:line="151"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Net income on our investment for the year ended December 31, 2021, reflects a $31.2 million benefit related to the release of a valuation allowance on deferred tax assets associated with Samsung Bioepis. The valuation allowance was released in the second quarter of 2021 based on a consideration of the positive and negative evidence, including the historic earnings of Samsung Bioepis.</w:t>
      </w:r>
    </w:p>
    <w:p>
      <w:pPr>
        <w:spacing w:after="0" w:line="99" w:lineRule="exact"/>
        <w:rPr>
          <w:sz w:val="20"/>
          <w:szCs w:val="20"/>
          <w:color w:val="auto"/>
        </w:rPr>
      </w:pPr>
    </w:p>
    <w:p>
      <w:pPr>
        <w:ind w:right="52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in this report.</w:t>
      </w:r>
    </w:p>
    <w:p>
      <w:pPr>
        <w:spacing w:after="0" w:line="2041" w:lineRule="exact"/>
        <w:rPr>
          <w:sz w:val="20"/>
          <w:szCs w:val="20"/>
          <w:color w:val="auto"/>
        </w:rPr>
      </w:pPr>
    </w:p>
    <w:p>
      <w:pPr>
        <w:sectPr>
          <w:pgSz w:w="11900" w:h="16838" w:orient="portrait"/>
          <w:cols w:equalWidth="0" w:num="2">
            <w:col w:w="5220" w:space="680"/>
            <w:col w:w="5220"/>
          </w:cols>
          <w:pgMar w:left="320" w:top="144" w:right="459" w:bottom="1440" w:gutter="0" w:footer="0" w:header="0"/>
          <w:type w:val="continuous"/>
        </w:sect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80" w:name="page81"/>
    <w:bookmarkEnd w:id="8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Noncontrolling Interests,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717165" cy="2057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1716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Our consolidated financial statements include the financial results of our variable interest entity, Neurimmune, as we determined that we are the primary beneficiary.</w:t>
      </w:r>
    </w:p>
    <w:p>
      <w:pPr>
        <w:spacing w:after="0" w:line="8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For 2021 the change in net income (loss) attributable to noncontrolling interests, net of tax, was primarily due to the recognition of a current year deferred tax benefit associated with the accelerated approval of ADUHELM by the FDA in the U.S. During the second quarter of 2021 we recorded a net deferred tax asset of approximately $490.0 million related to Neurimmune's tax basis in ADUHELM, the realization of which is dependent on future sales of ADUHELM and approval of the Swiss cantonal tax authorities.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During the fourth quarter of 2021 we recorded a valuation allowance of approximately $390.0 million related to this deferred tax asset. There is an equal and offsetting amount assigned to net income (loss) attributable to noncontrolling interests, net of tax in our consolidated statements of income, resulting in a zero net impact to net income attributable to Biogen Inc.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2021 the change in net income (loss) attributable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net of tax, was also due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 million milestone payment to Neurimmune related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launch of ADUHELM in the U.S. during the second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2020 the change in net income (loss) attributable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net of tax, was primarily due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 million milestone payment to Neurimmune related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completed submission of the BLA for the approval of ADUHELM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FDA.</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agreement with Neurimmune, please read </w:t>
      </w:r>
      <w:r>
        <w:rPr>
          <w:rFonts w:ascii="Arial" w:cs="Arial" w:eastAsia="Arial" w:hAnsi="Arial"/>
          <w:sz w:val="18"/>
          <w:szCs w:val="18"/>
          <w:i w:val="1"/>
          <w:iCs w:val="1"/>
          <w:color w:val="auto"/>
        </w:rPr>
        <w:t>Note 19,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Entities,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96"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16, Income Taxes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1215" w:lineRule="exact"/>
        <w:rPr>
          <w:sz w:val="20"/>
          <w:szCs w:val="20"/>
          <w:color w:val="auto"/>
        </w:rPr>
      </w:pPr>
    </w:p>
    <w:p>
      <w:pPr>
        <w:sectPr>
          <w:pgSz w:w="11900" w:h="16838" w:orient="portrait"/>
          <w:cols w:equalWidth="0" w:num="2">
            <w:col w:w="5180" w:space="720"/>
            <w:col w:w="52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FINANCIAL CONDITION, LIQUIDITY AND CAPITAL RESOURCES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condition is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shd w:val="clear" w:color="auto" w:fill="DDDDDD"/>
          </w:tcPr>
          <w:p>
            <w:pPr>
              <w:spacing w:after="0"/>
              <w:rPr>
                <w:sz w:val="12"/>
                <w:szCs w:val="12"/>
                <w:color w:val="auto"/>
              </w:rPr>
            </w:pPr>
          </w:p>
        </w:tc>
        <w:tc>
          <w:tcPr>
            <w:tcW w:w="1220" w:type="dxa"/>
            <w:vAlign w:val="bottom"/>
            <w:tcBorders>
              <w:right w:val="single" w:sz="8" w:color="DDDDDD"/>
            </w:tcBorders>
            <w:shd w:val="clear" w:color="auto" w:fill="DDDDDD"/>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5"/>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vMerge w:val="restart"/>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1220" w:type="dxa"/>
            <w:vAlign w:val="bottom"/>
            <w:tcBorders>
              <w:right w:val="single" w:sz="8" w:color="DDDDDD"/>
            </w:tcBorders>
            <w:vMerge w:val="restart"/>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1"/>
                <w:szCs w:val="11"/>
                <w:color w:val="auto"/>
              </w:rPr>
            </w:pPr>
          </w:p>
        </w:tc>
        <w:tc>
          <w:tcPr>
            <w:tcW w:w="13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75"/>
        </w:trPr>
        <w:tc>
          <w:tcPr>
            <w:tcW w:w="63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right w:val="single" w:sz="8" w:color="DDDDDD"/>
            </w:tcBorders>
            <w:vMerge w:val="continue"/>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DDDDDD"/>
          </w:tcPr>
          <w:p>
            <w:pPr>
              <w:spacing w:after="0"/>
              <w:rPr>
                <w:sz w:val="15"/>
                <w:szCs w:val="15"/>
                <w:color w:val="auto"/>
              </w:rPr>
            </w:pPr>
          </w:p>
        </w:tc>
        <w:tc>
          <w:tcPr>
            <w:tcW w:w="1220" w:type="dxa"/>
            <w:vAlign w:val="bottom"/>
            <w:tcBorders>
              <w:right w:val="single" w:sz="8" w:color="DDDDDD"/>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2,261.4</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1,331.2</w:t>
            </w:r>
          </w:p>
        </w:tc>
        <w:tc>
          <w:tcPr>
            <w:tcW w:w="120" w:type="dxa"/>
            <w:vAlign w:val="bottom"/>
          </w:tcPr>
          <w:p>
            <w:pPr>
              <w:spacing w:after="0"/>
              <w:rPr>
                <w:sz w:val="16"/>
                <w:szCs w:val="16"/>
                <w:color w:val="auto"/>
              </w:rPr>
            </w:pPr>
          </w:p>
        </w:tc>
        <w:tc>
          <w:tcPr>
            <w:tcW w:w="1380" w:type="dxa"/>
            <w:vAlign w:val="bottom"/>
          </w:tcPr>
          <w:p>
            <w:pPr>
              <w:ind w:left="900"/>
              <w:spacing w:after="0"/>
              <w:rPr>
                <w:sz w:val="20"/>
                <w:szCs w:val="20"/>
                <w:color w:val="auto"/>
              </w:rPr>
            </w:pPr>
            <w:r>
              <w:rPr>
                <w:rFonts w:ascii="Arial" w:cs="Arial" w:eastAsia="Arial" w:hAnsi="Arial"/>
                <w:sz w:val="14"/>
                <w:szCs w:val="14"/>
                <w:color w:val="auto"/>
              </w:rPr>
              <w:t>69.9 %</w:t>
            </w:r>
          </w:p>
        </w:tc>
        <w:tc>
          <w:tcPr>
            <w:tcW w:w="0" w:type="dxa"/>
            <w:vAlign w:val="bottom"/>
          </w:tcPr>
          <w:p>
            <w:pPr>
              <w:spacing w:after="0"/>
              <w:rPr>
                <w:sz w:val="1"/>
                <w:szCs w:val="1"/>
                <w:color w:val="auto"/>
              </w:rPr>
            </w:pPr>
          </w:p>
        </w:tc>
      </w:tr>
      <w:tr>
        <w:trPr>
          <w:trHeight w:val="190"/>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360" w:type="dxa"/>
            <w:vAlign w:val="bottom"/>
            <w:shd w:val="clear" w:color="auto" w:fill="DBDBDB"/>
          </w:tcPr>
          <w:p>
            <w:pPr>
              <w:spacing w:after="0"/>
              <w:rPr>
                <w:sz w:val="16"/>
                <w:szCs w:val="16"/>
                <w:color w:val="auto"/>
              </w:rPr>
            </w:pP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1,541.1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1,278.9</w:t>
            </w:r>
          </w:p>
        </w:tc>
        <w:tc>
          <w:tcPr>
            <w:tcW w:w="120" w:type="dxa"/>
            <w:vAlign w:val="bottom"/>
          </w:tcPr>
          <w:p>
            <w:pPr>
              <w:spacing w:after="0"/>
              <w:rPr>
                <w:sz w:val="16"/>
                <w:szCs w:val="16"/>
                <w:color w:val="auto"/>
              </w:rPr>
            </w:pPr>
          </w:p>
        </w:tc>
        <w:tc>
          <w:tcPr>
            <w:tcW w:w="1380" w:type="dxa"/>
            <w:vAlign w:val="bottom"/>
          </w:tcPr>
          <w:p>
            <w:pPr>
              <w:ind w:left="9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8"/>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36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892.0</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772.1</w:t>
            </w:r>
          </w:p>
        </w:tc>
        <w:tc>
          <w:tcPr>
            <w:tcW w:w="120" w:type="dxa"/>
            <w:vAlign w:val="bottom"/>
          </w:tcPr>
          <w:p>
            <w:pPr>
              <w:spacing w:after="0"/>
              <w:rPr>
                <w:sz w:val="16"/>
                <w:szCs w:val="16"/>
                <w:color w:val="auto"/>
              </w:rPr>
            </w:pPr>
          </w:p>
        </w:tc>
        <w:tc>
          <w:tcPr>
            <w:tcW w:w="138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4,694.5</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3,382.2</w:t>
            </w:r>
          </w:p>
        </w:tc>
        <w:tc>
          <w:tcPr>
            <w:tcW w:w="120" w:type="dxa"/>
            <w:vAlign w:val="bottom"/>
          </w:tcPr>
          <w:p>
            <w:pPr>
              <w:spacing w:after="0"/>
              <w:rPr>
                <w:sz w:val="19"/>
                <w:szCs w:val="19"/>
                <w:color w:val="auto"/>
              </w:rPr>
            </w:pPr>
          </w:p>
        </w:tc>
        <w:tc>
          <w:tcPr>
            <w:tcW w:w="1380" w:type="dxa"/>
            <w:vAlign w:val="bottom"/>
          </w:tcPr>
          <w:p>
            <w:pPr>
              <w:ind w:left="900"/>
              <w:spacing w:after="0"/>
              <w:rPr>
                <w:sz w:val="20"/>
                <w:szCs w:val="20"/>
                <w:color w:val="auto"/>
              </w:rPr>
            </w:pPr>
            <w:r>
              <w:rPr>
                <w:rFonts w:ascii="Arial" w:cs="Arial" w:eastAsia="Arial" w:hAnsi="Arial"/>
                <w:sz w:val="14"/>
                <w:szCs w:val="14"/>
                <w:color w:val="auto"/>
              </w:rPr>
              <w:t>38.8 %</w:t>
            </w:r>
          </w:p>
        </w:tc>
        <w:tc>
          <w:tcPr>
            <w:tcW w:w="0" w:type="dxa"/>
            <w:vAlign w:val="bottom"/>
          </w:tcPr>
          <w:p>
            <w:pPr>
              <w:spacing w:after="0"/>
              <w:rPr>
                <w:sz w:val="1"/>
                <w:szCs w:val="1"/>
                <w:color w:val="auto"/>
              </w:rPr>
            </w:pPr>
          </w:p>
        </w:tc>
      </w:tr>
      <w:tr>
        <w:trPr>
          <w:trHeight w:val="156"/>
        </w:trPr>
        <w:tc>
          <w:tcPr>
            <w:tcW w:w="64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Borrowings:</w:t>
            </w:r>
          </w:p>
        </w:tc>
        <w:tc>
          <w:tcPr>
            <w:tcW w:w="360" w:type="dxa"/>
            <w:vAlign w:val="bottom"/>
            <w:tcBorders>
              <w:top w:val="single" w:sz="8" w:color="auto"/>
            </w:tcBorders>
            <w:shd w:val="clear" w:color="auto" w:fill="DBDBDB"/>
          </w:tcPr>
          <w:p>
            <w:pPr>
              <w:spacing w:after="0"/>
              <w:rPr>
                <w:sz w:val="13"/>
                <w:szCs w:val="13"/>
                <w:color w:val="auto"/>
              </w:rPr>
            </w:pPr>
          </w:p>
        </w:tc>
        <w:tc>
          <w:tcPr>
            <w:tcW w:w="1220" w:type="dxa"/>
            <w:vAlign w:val="bottom"/>
            <w:tcBorders>
              <w:top w:val="single" w:sz="8" w:color="auto"/>
              <w:right w:val="single" w:sz="8" w:color="DBDBDB"/>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Current portion of notes payable</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999.1</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80" w:type="dxa"/>
            <w:vAlign w:val="bottom"/>
          </w:tcPr>
          <w:p>
            <w:pPr>
              <w:ind w:left="116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9"/>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36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6,274.0</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7,426.2</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7,273.1</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7,426.2</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64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Working Capital:</w:t>
            </w:r>
          </w:p>
        </w:tc>
        <w:tc>
          <w:tcPr>
            <w:tcW w:w="360" w:type="dxa"/>
            <w:vAlign w:val="bottom"/>
            <w:tcBorders>
              <w:top w:val="single" w:sz="8" w:color="auto"/>
            </w:tcBorders>
            <w:shd w:val="clear" w:color="auto" w:fill="DBDBDB"/>
          </w:tcPr>
          <w:p>
            <w:pPr>
              <w:spacing w:after="0"/>
              <w:rPr>
                <w:sz w:val="13"/>
                <w:szCs w:val="13"/>
                <w:color w:val="auto"/>
              </w:rPr>
            </w:pPr>
          </w:p>
        </w:tc>
        <w:tc>
          <w:tcPr>
            <w:tcW w:w="1220" w:type="dxa"/>
            <w:vAlign w:val="bottom"/>
            <w:tcBorders>
              <w:top w:val="single" w:sz="8" w:color="auto"/>
              <w:right w:val="single" w:sz="8" w:color="DBDBDB"/>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7,856.5</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6,887.1</w:t>
            </w:r>
          </w:p>
        </w:tc>
        <w:tc>
          <w:tcPr>
            <w:tcW w:w="120" w:type="dxa"/>
            <w:vAlign w:val="bottom"/>
          </w:tcPr>
          <w:p>
            <w:pPr>
              <w:spacing w:after="0"/>
              <w:rPr>
                <w:sz w:val="16"/>
                <w:szCs w:val="16"/>
                <w:color w:val="auto"/>
              </w:rPr>
            </w:pPr>
          </w:p>
        </w:tc>
        <w:tc>
          <w:tcPr>
            <w:tcW w:w="1380" w:type="dxa"/>
            <w:vAlign w:val="bottom"/>
          </w:tcPr>
          <w:p>
            <w:pPr>
              <w:ind w:left="900"/>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89"/>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36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(4,298.2)</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(3,742.2)</w:t>
            </w:r>
          </w:p>
        </w:tc>
        <w:tc>
          <w:tcPr>
            <w:tcW w:w="120" w:type="dxa"/>
            <w:vAlign w:val="bottom"/>
          </w:tcPr>
          <w:p>
            <w:pPr>
              <w:spacing w:after="0"/>
              <w:rPr>
                <w:sz w:val="16"/>
                <w:szCs w:val="16"/>
                <w:color w:val="auto"/>
              </w:rPr>
            </w:pPr>
          </w:p>
        </w:tc>
        <w:tc>
          <w:tcPr>
            <w:tcW w:w="138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3"/>
        </w:trPr>
        <w:tc>
          <w:tcPr>
            <w:tcW w:w="644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3,558.3</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3,144.9</w:t>
            </w:r>
          </w:p>
        </w:tc>
        <w:tc>
          <w:tcPr>
            <w:tcW w:w="120" w:type="dxa"/>
            <w:vAlign w:val="bottom"/>
          </w:tcPr>
          <w:p>
            <w:pPr>
              <w:spacing w:after="0"/>
              <w:rPr>
                <w:sz w:val="17"/>
                <w:szCs w:val="17"/>
                <w:color w:val="auto"/>
              </w:rPr>
            </w:pPr>
          </w:p>
        </w:tc>
        <w:tc>
          <w:tcPr>
            <w:tcW w:w="1380" w:type="dxa"/>
            <w:vAlign w:val="bottom"/>
          </w:tcPr>
          <w:p>
            <w:pPr>
              <w:ind w:left="900"/>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77749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ectPr>
          <w:pgSz w:w="11900" w:h="16838" w:orient="portrait"/>
          <w:cols w:equalWidth="0" w:num="1">
            <w:col w:w="11180"/>
          </w:cols>
          <w:pgMar w:left="320" w:top="144" w:right="399" w:bottom="1440" w:gutter="0" w:footer="0" w:header="0"/>
        </w:sectPr>
      </w:pPr>
    </w:p>
    <w:p>
      <w:pPr>
        <w:spacing w:after="0" w:line="15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For the year ended December 31, 2021, certain significant cash flows were as follows:</w:t>
      </w:r>
    </w:p>
    <w:p>
      <w:pPr>
        <w:spacing w:after="0" w:line="144" w:lineRule="exact"/>
        <w:rPr>
          <w:sz w:val="20"/>
          <w:szCs w:val="20"/>
          <w:color w:val="auto"/>
        </w:rPr>
      </w:pPr>
    </w:p>
    <w:p>
      <w:pPr>
        <w:ind w:left="420" w:right="100" w:hanging="331"/>
        <w:spacing w:after="0" w:line="253" w:lineRule="auto"/>
        <w:tabs>
          <w:tab w:leader="none" w:pos="3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$3.6 billion in net cash flow provided by operating activities, which reflected an upfront payment of $125.0 million made in connection with entering into our collaboration with InnoCare and recognized as research and development expense;</w:t>
      </w:r>
    </w:p>
    <w:p>
      <w:pPr>
        <w:spacing w:after="0" w:line="97" w:lineRule="exact"/>
        <w:rPr>
          <w:rFonts w:ascii="Arial" w:cs="Arial" w:eastAsia="Arial" w:hAnsi="Arial"/>
          <w:sz w:val="18"/>
          <w:szCs w:val="18"/>
          <w:color w:val="auto"/>
        </w:rPr>
      </w:pPr>
    </w:p>
    <w:p>
      <w:pPr>
        <w:ind w:left="360" w:hanging="271"/>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$1.8 billion used for share repurchases;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$170.0 million used in connection with our Exchange Offer;</w:t>
      </w:r>
    </w:p>
    <w:p>
      <w:pPr>
        <w:spacing w:after="0" w:line="117" w:lineRule="exact"/>
        <w:rPr>
          <w:rFonts w:ascii="Arial" w:cs="Arial" w:eastAsia="Arial" w:hAnsi="Arial"/>
          <w:sz w:val="18"/>
          <w:szCs w:val="18"/>
          <w:color w:val="auto"/>
        </w:rPr>
      </w:pPr>
    </w:p>
    <w:p>
      <w:pPr>
        <w:ind w:left="420" w:right="380" w:hanging="331"/>
        <w:spacing w:after="0" w:line="261" w:lineRule="auto"/>
        <w:tabs>
          <w:tab w:leader="none" w:pos="3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$258.1 million used for purchases of property, plant and equipment;</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$247.9 million </w:t>
      </w:r>
      <w:r>
        <w:rPr>
          <w:rFonts w:ascii="Arial" w:cs="Arial" w:eastAsia="Arial" w:hAnsi="Arial"/>
          <w:sz w:val="18"/>
          <w:szCs w:val="18"/>
          <w:color w:val="0F243E"/>
        </w:rPr>
        <w:t>in total net payments for income taxes; and</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73"/>
        </w:numPr>
        <w:rPr>
          <w:rFonts w:ascii="Arial" w:cs="Arial" w:eastAsia="Arial" w:hAnsi="Arial"/>
          <w:sz w:val="18"/>
          <w:szCs w:val="18"/>
          <w:color w:val="0F243E"/>
        </w:rPr>
      </w:pPr>
      <w:r>
        <w:rPr>
          <w:rFonts w:ascii="Arial" w:cs="Arial" w:eastAsia="Arial" w:hAnsi="Arial"/>
          <w:sz w:val="18"/>
          <w:szCs w:val="18"/>
          <w:color w:val="auto"/>
        </w:rPr>
        <w:t>$100.0 million milestone payment to Neurimmune.</w:t>
      </w:r>
    </w:p>
    <w:p>
      <w:pPr>
        <w:spacing w:after="0" w:line="171"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For the year ended December 31, 2020, certain significant cash flows were as follows:</w:t>
      </w:r>
    </w:p>
    <w:p>
      <w:pPr>
        <w:spacing w:after="0" w:line="144" w:lineRule="exact"/>
        <w:rPr>
          <w:sz w:val="20"/>
          <w:szCs w:val="20"/>
          <w:color w:val="auto"/>
        </w:rPr>
      </w:pPr>
    </w:p>
    <w:p>
      <w:pPr>
        <w:ind w:left="420" w:hanging="331"/>
        <w:spacing w:after="0" w:line="252" w:lineRule="auto"/>
        <w:tabs>
          <w:tab w:leader="none" w:pos="3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$4.2 billion in net cash flows provided by operating activities, which reflected $1.9 billion of upfront payments and the premium on stock purchases made in connection with entering into our collaborations with Sage, Denali and Sangamo and recognized as research and development expense;</w:t>
      </w:r>
    </w:p>
    <w:p>
      <w:pPr>
        <w:spacing w:after="0" w:line="154" w:lineRule="exact"/>
        <w:rPr>
          <w:rFonts w:ascii="Arial" w:cs="Arial" w:eastAsia="Arial" w:hAnsi="Arial"/>
          <w:sz w:val="18"/>
          <w:szCs w:val="18"/>
          <w:color w:val="auto"/>
        </w:rPr>
      </w:pPr>
    </w:p>
    <w:p>
      <w:pPr>
        <w:ind w:left="360" w:hanging="271"/>
        <w:spacing w:after="0"/>
        <w:tabs>
          <w:tab w:leader="none" w:pos="360" w:val="left"/>
        </w:tabs>
        <w:numPr>
          <w:ilvl w:val="0"/>
          <w:numId w:val="74"/>
        </w:numPr>
        <w:rPr>
          <w:rFonts w:ascii="Arial" w:cs="Arial" w:eastAsia="Arial" w:hAnsi="Arial"/>
          <w:sz w:val="18"/>
          <w:szCs w:val="18"/>
          <w:color w:val="0F243E"/>
        </w:rPr>
      </w:pPr>
      <w:r>
        <w:rPr>
          <w:rFonts w:ascii="Arial" w:cs="Arial" w:eastAsia="Arial" w:hAnsi="Arial"/>
          <w:sz w:val="18"/>
          <w:szCs w:val="18"/>
          <w:color w:val="auto"/>
        </w:rPr>
        <w:t>$6.7 billion used for share repurchases;</w:t>
      </w:r>
    </w:p>
    <w:p>
      <w:pPr>
        <w:spacing w:after="0" w:line="171" w:lineRule="exact"/>
        <w:rPr>
          <w:rFonts w:ascii="Arial" w:cs="Arial" w:eastAsia="Arial" w:hAnsi="Arial"/>
          <w:sz w:val="18"/>
          <w:szCs w:val="18"/>
          <w:color w:val="0F243E"/>
        </w:rPr>
      </w:pPr>
    </w:p>
    <w:p>
      <w:pPr>
        <w:ind w:left="360" w:hanging="271"/>
        <w:spacing w:after="0"/>
        <w:tabs>
          <w:tab w:leader="none" w:pos="3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$3.0 billion in proceeds received from the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issuance of our 2020 Senior Notes;</w:t>
      </w:r>
    </w:p>
    <w:p>
      <w:pPr>
        <w:spacing w:after="0" w:line="171" w:lineRule="exact"/>
        <w:rPr>
          <w:sz w:val="20"/>
          <w:szCs w:val="20"/>
          <w:color w:val="auto"/>
        </w:rPr>
      </w:pPr>
    </w:p>
    <w:p>
      <w:pPr>
        <w:ind w:left="420" w:right="240" w:hanging="334"/>
        <w:spacing w:after="0" w:line="256"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$1.5 billion payment made for the redemption of our 2.90% Senior Notes due September 15, 2020, prior to their maturity;</w:t>
      </w:r>
    </w:p>
    <w:p>
      <w:pPr>
        <w:spacing w:after="0" w:line="147" w:lineRule="exact"/>
        <w:rPr>
          <w:rFonts w:ascii="Arial" w:cs="Arial" w:eastAsia="Arial" w:hAnsi="Arial"/>
          <w:sz w:val="18"/>
          <w:szCs w:val="18"/>
          <w:color w:val="auto"/>
        </w:rPr>
      </w:pPr>
    </w:p>
    <w:p>
      <w:pPr>
        <w:ind w:left="360" w:hanging="274"/>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$906.7 million in total net payments for income taxes;</w:t>
      </w:r>
    </w:p>
    <w:p>
      <w:pPr>
        <w:spacing w:after="0" w:line="171" w:lineRule="exact"/>
        <w:rPr>
          <w:rFonts w:ascii="Arial" w:cs="Arial" w:eastAsia="Arial" w:hAnsi="Arial"/>
          <w:sz w:val="18"/>
          <w:szCs w:val="18"/>
          <w:color w:val="auto"/>
        </w:rPr>
      </w:pPr>
    </w:p>
    <w:p>
      <w:pPr>
        <w:ind w:left="360" w:hanging="274"/>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$441.0 million used to purchase Sage common stock;</w:t>
      </w:r>
    </w:p>
    <w:p>
      <w:pPr>
        <w:spacing w:after="0" w:line="171" w:lineRule="exact"/>
        <w:rPr>
          <w:rFonts w:ascii="Arial" w:cs="Arial" w:eastAsia="Arial" w:hAnsi="Arial"/>
          <w:sz w:val="18"/>
          <w:szCs w:val="18"/>
          <w:color w:val="auto"/>
        </w:rPr>
      </w:pPr>
    </w:p>
    <w:p>
      <w:pPr>
        <w:ind w:left="360" w:hanging="274"/>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$423.7 million used to purchase Denali common stock;</w:t>
      </w:r>
    </w:p>
    <w:p>
      <w:pPr>
        <w:spacing w:after="0" w:line="171" w:lineRule="exact"/>
        <w:rPr>
          <w:rFonts w:ascii="Arial" w:cs="Arial" w:eastAsia="Arial" w:hAnsi="Arial"/>
          <w:sz w:val="18"/>
          <w:szCs w:val="18"/>
          <w:color w:val="auto"/>
        </w:rPr>
      </w:pPr>
    </w:p>
    <w:p>
      <w:pPr>
        <w:ind w:left="420" w:right="300" w:hanging="334"/>
        <w:spacing w:after="0" w:line="261"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$141.8 million used to purchase Sangamo common stock; and</w:t>
      </w:r>
    </w:p>
    <w:p>
      <w:pPr>
        <w:spacing w:after="0" w:line="143" w:lineRule="exact"/>
        <w:rPr>
          <w:rFonts w:ascii="Arial" w:cs="Arial" w:eastAsia="Arial" w:hAnsi="Arial"/>
          <w:sz w:val="18"/>
          <w:szCs w:val="18"/>
          <w:color w:val="auto"/>
        </w:rPr>
      </w:pPr>
    </w:p>
    <w:p>
      <w:pPr>
        <w:ind w:left="420" w:right="480" w:hanging="334"/>
        <w:spacing w:after="0" w:line="261" w:lineRule="auto"/>
        <w:tabs>
          <w:tab w:leader="none" w:pos="3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$424.8 million used for purchases of property, plant and equipment.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Overview</w:t>
      </w:r>
    </w:p>
    <w:p>
      <w:pPr>
        <w:spacing w:after="0" w:line="126" w:lineRule="exact"/>
        <w:rPr>
          <w:sz w:val="20"/>
          <w:szCs w:val="20"/>
          <w:color w:val="auto"/>
        </w:rPr>
      </w:pPr>
    </w:p>
    <w:p>
      <w:pPr>
        <w:ind w:right="60" w:firstLine="202"/>
        <w:spacing w:after="0" w:line="250" w:lineRule="auto"/>
        <w:rPr>
          <w:sz w:val="20"/>
          <w:szCs w:val="20"/>
          <w:color w:val="auto"/>
        </w:rPr>
      </w:pPr>
      <w:r>
        <w:rPr>
          <w:rFonts w:ascii="Arial" w:cs="Arial" w:eastAsia="Arial" w:hAnsi="Arial"/>
          <w:sz w:val="18"/>
          <w:szCs w:val="18"/>
          <w:color w:val="auto"/>
        </w:rPr>
        <w:t>We have historically financed our operating and capital expenditures primarily through cash flow earned through our operations. We expect our operating expenditures, particularly those related to research and development, clinical trials, commercialization of new products and international expansion to continue to grow. However, we expect to continue funding our current and planned operating requirements primarily through our cash flow earned from our operations as well as our existing cash resources. We believe generic competition for TECFIDERA in the U.S. will continue to reduce our cash flow from operations in</w:t>
      </w:r>
    </w:p>
    <w:p>
      <w:pPr>
        <w:spacing w:after="0" w:line="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2022 and will have a significant adverse impact on our future cash flow</w:t>
      </w:r>
    </w:p>
    <w:p>
      <w:pPr>
        <w:spacing w:after="0" w:line="200" w:lineRule="exact"/>
        <w:rPr>
          <w:sz w:val="20"/>
          <w:szCs w:val="20"/>
          <w:color w:val="auto"/>
        </w:rPr>
      </w:pPr>
    </w:p>
    <w:p>
      <w:pPr>
        <w:sectPr>
          <w:pgSz w:w="11900" w:h="16838" w:orient="portrait"/>
          <w:cols w:equalWidth="0" w:num="2">
            <w:col w:w="5180" w:space="720"/>
            <w:col w:w="5280"/>
          </w:cols>
          <w:pgMar w:left="320" w:top="144" w:right="399" w:bottom="1440" w:gutter="0" w:footer="0" w:header="0"/>
          <w:type w:val="continuous"/>
        </w:sect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operations. Additionally, in 2022 we will repay or refinance $1.0 billion related to our 3.625% Senior Note due September 15, 2022.</w:t>
      </w:r>
    </w:p>
    <w:p>
      <w:pPr>
        <w:spacing w:after="0" w:line="67" w:lineRule="exact"/>
        <w:rPr>
          <w:sz w:val="20"/>
          <w:szCs w:val="20"/>
          <w:color w:val="auto"/>
        </w:rPr>
      </w:pPr>
    </w:p>
    <w:p>
      <w:pPr>
        <w:ind w:right="40" w:firstLine="202"/>
        <w:spacing w:after="0" w:line="251"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r>
        <w:rPr>
          <w:rFonts w:ascii="Arial" w:cs="Arial" w:eastAsia="Arial" w:hAnsi="Arial"/>
          <w:sz w:val="18"/>
          <w:szCs w:val="18"/>
          <w:b w:val="1"/>
          <w:bCs w:val="1"/>
          <w:i w:val="1"/>
          <w:iCs w:val="1"/>
          <w:color w:val="2573BA"/>
        </w:rPr>
        <w:t>.</w:t>
      </w:r>
    </w:p>
    <w:p>
      <w:pPr>
        <w:spacing w:after="0" w:line="156" w:lineRule="exact"/>
        <w:rPr>
          <w:sz w:val="20"/>
          <w:szCs w:val="20"/>
          <w:color w:val="auto"/>
        </w:rPr>
      </w:pPr>
    </w:p>
    <w:p>
      <w:pPr>
        <w:ind w:right="500" w:firstLine="445"/>
        <w:spacing w:after="0" w:line="253"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R</w:t>
      </w:r>
      <w:r>
        <w:rPr>
          <w:rFonts w:ascii="Arial" w:cs="Arial" w:eastAsia="Arial" w:hAnsi="Arial"/>
          <w:sz w:val="18"/>
          <w:szCs w:val="18"/>
          <w:i w:val="1"/>
          <w:iCs w:val="1"/>
          <w:color w:val="auto"/>
        </w:rPr>
        <w:t>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included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Cash, Cash Equivalents and Marketable Securities</w:t>
      </w:r>
    </w:p>
    <w:p>
      <w:pPr>
        <w:spacing w:after="0" w:line="126"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w:t>
      </w:r>
    </w:p>
    <w:p>
      <w:pPr>
        <w:spacing w:after="0" w:line="141"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As of December 31, 2021, we had cash, cash equivalents and marketable securities totaling approximately $4.7 billion compared to approximately $3.4 billion as of December 31, 2020. The change in cash, cash equivalents and marketable securities at December 31, 2021, from December 31, 2020, was primarily due to net cash flow provided by operating activities, partially offset by cash used for share repurchases and capital expenditures, cash payments made in connection with our Exchange Offer and a milestone payment made to Neurimmune.</w:t>
      </w:r>
    </w:p>
    <w:p>
      <w:pPr>
        <w:spacing w:after="0" w:line="15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Investments and other assets in our consolidated balance sheet as of December 31, 2021 and 2020, include the carrying value of our investment in Samsung Bioepis of $599.9 million and $620.2 million, respectively. As Samsung Bioepis is a privately-held entity, our ability to liquidate our investment in Samsung Bioepis may be limited and we may realize significantly less than the value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560"/>
        <w:spacing w:after="0" w:line="261" w:lineRule="auto"/>
        <w:rPr>
          <w:sz w:val="20"/>
          <w:szCs w:val="20"/>
          <w:color w:val="auto"/>
        </w:rPr>
      </w:pPr>
      <w:r>
        <w:rPr>
          <w:rFonts w:ascii="Arial" w:cs="Arial" w:eastAsia="Arial" w:hAnsi="Arial"/>
          <w:sz w:val="18"/>
          <w:szCs w:val="18"/>
          <w:color w:val="auto"/>
        </w:rPr>
        <w:t>such investment. The investment is also subject to foreign currency exchange fluctuations.</w:t>
      </w:r>
    </w:p>
    <w:p>
      <w:pPr>
        <w:spacing w:after="0" w:line="144"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In connection with our collaboration with Sangamo, we purchased approximately 24 million shares of Sangamo common stock in April 2020. As of December 31, 2021 and 2020, the fair value of this investment was $173.7 million and $333.7 million, respectively.</w:t>
      </w:r>
    </w:p>
    <w:p>
      <w:pPr>
        <w:spacing w:after="0" w:line="151" w:lineRule="exact"/>
        <w:rPr>
          <w:sz w:val="20"/>
          <w:szCs w:val="20"/>
          <w:color w:val="auto"/>
        </w:rPr>
      </w:pPr>
    </w:p>
    <w:p>
      <w:pPr>
        <w:ind w:left="380" w:right="200" w:firstLine="445"/>
        <w:spacing w:after="0" w:line="253" w:lineRule="auto"/>
        <w:rPr>
          <w:sz w:val="20"/>
          <w:szCs w:val="20"/>
          <w:color w:val="auto"/>
        </w:rPr>
      </w:pPr>
      <w:r>
        <w:rPr>
          <w:rFonts w:ascii="Arial" w:cs="Arial" w:eastAsia="Arial" w:hAnsi="Arial"/>
          <w:sz w:val="18"/>
          <w:szCs w:val="18"/>
          <w:color w:val="auto"/>
        </w:rPr>
        <w:t>In connection with our collaboration with Denali, we purchased approximately 13 million shares of Denali common stock in September 2020. As of December 31, 2021 and 2020, the fair value of this investment was $550.7 million and $935.7 million, respectively.</w:t>
      </w:r>
    </w:p>
    <w:p>
      <w:pPr>
        <w:spacing w:after="0" w:line="151" w:lineRule="exact"/>
        <w:rPr>
          <w:sz w:val="20"/>
          <w:szCs w:val="20"/>
          <w:color w:val="auto"/>
        </w:rPr>
      </w:pPr>
    </w:p>
    <w:p>
      <w:pPr>
        <w:ind w:left="380" w:right="240" w:firstLine="445"/>
        <w:spacing w:after="0" w:line="253" w:lineRule="auto"/>
        <w:rPr>
          <w:sz w:val="20"/>
          <w:szCs w:val="20"/>
          <w:color w:val="auto"/>
        </w:rPr>
      </w:pPr>
      <w:r>
        <w:rPr>
          <w:rFonts w:ascii="Arial" w:cs="Arial" w:eastAsia="Arial" w:hAnsi="Arial"/>
          <w:sz w:val="18"/>
          <w:szCs w:val="18"/>
          <w:color w:val="auto"/>
        </w:rPr>
        <w:t>In connection with our collaboration with Sage, we purchased approximately 6.2 million shares of Sage common stock in December 2020. As of December 31, 2021 and 2020, the fair value of this investment was $231.9 million and $433.9 million, respectively.</w:t>
      </w:r>
    </w:p>
    <w:p>
      <w:pPr>
        <w:spacing w:after="0" w:line="151" w:lineRule="exact"/>
        <w:rPr>
          <w:sz w:val="20"/>
          <w:szCs w:val="20"/>
          <w:color w:val="auto"/>
        </w:rPr>
      </w:pPr>
    </w:p>
    <w:p>
      <w:pPr>
        <w:ind w:left="380" w:right="20" w:firstLine="445"/>
        <w:spacing w:after="0" w:line="253" w:lineRule="auto"/>
        <w:rPr>
          <w:sz w:val="20"/>
          <w:szCs w:val="20"/>
          <w:color w:val="auto"/>
        </w:rPr>
      </w:pPr>
      <w:r>
        <w:rPr>
          <w:rFonts w:ascii="Arial" w:cs="Arial" w:eastAsia="Arial" w:hAnsi="Arial"/>
          <w:sz w:val="18"/>
          <w:szCs w:val="18"/>
          <w:color w:val="auto"/>
        </w:rPr>
        <w:t>Our investment in Ionis common stock had a fair value of $87.5 million and $ 249.1 million as of December 31, 2021 and 2020, respectively. The decrease was partially due to the sale of a portion of our investment in Ionis common stock during the first quarter of 2021.</w:t>
      </w:r>
    </w:p>
    <w:p>
      <w:pPr>
        <w:spacing w:after="0" w:line="151" w:lineRule="exact"/>
        <w:rPr>
          <w:sz w:val="20"/>
          <w:szCs w:val="20"/>
          <w:color w:val="auto"/>
        </w:rPr>
      </w:pPr>
    </w:p>
    <w:p>
      <w:pPr>
        <w:ind w:left="380" w:right="120" w:firstLine="445"/>
        <w:spacing w:after="0" w:line="253"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Sangamo, Denali, Sage and Ionis,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Borrowings</w:t>
      </w:r>
    </w:p>
    <w:p>
      <w:pPr>
        <w:spacing w:after="0" w:line="139" w:lineRule="exact"/>
        <w:rPr>
          <w:sz w:val="20"/>
          <w:szCs w:val="20"/>
          <w:color w:val="auto"/>
        </w:rPr>
      </w:pPr>
    </w:p>
    <w:p>
      <w:pPr>
        <w:ind w:left="380" w:right="560" w:firstLine="445"/>
        <w:spacing w:after="0" w:line="261" w:lineRule="auto"/>
        <w:rPr>
          <w:sz w:val="20"/>
          <w:szCs w:val="20"/>
          <w:color w:val="auto"/>
        </w:rPr>
      </w:pPr>
      <w:r>
        <w:rPr>
          <w:rFonts w:ascii="Arial" w:cs="Arial" w:eastAsia="Arial" w:hAnsi="Arial"/>
          <w:sz w:val="18"/>
          <w:szCs w:val="18"/>
          <w:color w:val="auto"/>
        </w:rPr>
        <w:t>In February 2021 we completed our Exchange Offer, consisting of the following:</w:t>
      </w:r>
    </w:p>
    <w:p>
      <w:pPr>
        <w:spacing w:after="0" w:line="90" w:lineRule="exact"/>
        <w:rPr>
          <w:sz w:val="20"/>
          <w:szCs w:val="20"/>
          <w:color w:val="auto"/>
        </w:rPr>
      </w:pPr>
    </w:p>
    <w:p>
      <w:pPr>
        <w:ind w:left="800" w:right="120" w:hanging="334"/>
        <w:spacing w:after="0" w:line="253" w:lineRule="auto"/>
        <w:tabs>
          <w:tab w:leader="none" w:pos="7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$624.6 million aggregate principal amount of our 2045 Senior Notes was exchanged for $700.7 million aggregate principal amount of our 2051 Senior Notes and approximately $151.8 million of aggregate cash payments; and</w:t>
      </w:r>
    </w:p>
    <w:p>
      <w:pPr>
        <w:spacing w:after="0" w:line="97" w:lineRule="exact"/>
        <w:rPr>
          <w:rFonts w:ascii="Arial" w:cs="Arial" w:eastAsia="Arial" w:hAnsi="Arial"/>
          <w:sz w:val="18"/>
          <w:szCs w:val="18"/>
          <w:color w:val="auto"/>
        </w:rPr>
      </w:pPr>
    </w:p>
    <w:p>
      <w:pPr>
        <w:ind w:left="800" w:right="140" w:hanging="334"/>
        <w:spacing w:after="0" w:line="254" w:lineRule="auto"/>
        <w:tabs>
          <w:tab w:leader="none" w:pos="7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$8.9 million aggregate principal amount of our 2045 Senior Notes was redeemed for approximately $12.1 million of aggregate cash payments, excluding accrued and unpaid interest.</w:t>
      </w:r>
    </w:p>
    <w:p>
      <w:pPr>
        <w:spacing w:after="0" w:line="96" w:lineRule="exact"/>
        <w:rPr>
          <w:sz w:val="20"/>
          <w:szCs w:val="20"/>
          <w:color w:val="auto"/>
        </w:rPr>
      </w:pPr>
    </w:p>
    <w:p>
      <w:pPr>
        <w:jc w:val="both"/>
        <w:ind w:left="380" w:right="480" w:firstLine="445"/>
        <w:spacing w:after="0" w:line="256" w:lineRule="auto"/>
        <w:rPr>
          <w:sz w:val="20"/>
          <w:szCs w:val="20"/>
          <w:color w:val="auto"/>
        </w:rPr>
      </w:pPr>
      <w:r>
        <w:rPr>
          <w:rFonts w:ascii="Arial" w:cs="Arial" w:eastAsia="Arial" w:hAnsi="Arial"/>
          <w:sz w:val="18"/>
          <w:szCs w:val="18"/>
          <w:color w:val="auto"/>
        </w:rPr>
        <w:t>In April 2020 we issued our 2020 Senior Notes for an aggregate principal amount of $3.0 billion, consisting of the following:</w:t>
      </w:r>
    </w:p>
    <w:p>
      <w:pPr>
        <w:spacing w:after="0" w:line="94" w:lineRule="exact"/>
        <w:rPr>
          <w:sz w:val="20"/>
          <w:szCs w:val="20"/>
          <w:color w:val="auto"/>
        </w:rPr>
      </w:pPr>
    </w:p>
    <w:p>
      <w:pPr>
        <w:ind w:left="800" w:right="400" w:hanging="334"/>
        <w:spacing w:after="0" w:line="261" w:lineRule="auto"/>
        <w:tabs>
          <w:tab w:leader="none" w:pos="7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and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right="440" w:hanging="331"/>
        <w:spacing w:after="0" w:line="261" w:lineRule="auto"/>
        <w:tabs>
          <w:tab w:leader="none" w:pos="3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w:t>
      </w:r>
    </w:p>
    <w:p>
      <w:pPr>
        <w:spacing w:after="0" w:line="90"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The following is a summary of our currently outstanding senior secured notes issued in 2015 (2015 Senior Notes):</w:t>
      </w:r>
    </w:p>
    <w:p>
      <w:pPr>
        <w:spacing w:after="0" w:line="90" w:lineRule="exact"/>
        <w:rPr>
          <w:sz w:val="20"/>
          <w:szCs w:val="20"/>
          <w:color w:val="auto"/>
        </w:rPr>
      </w:pPr>
    </w:p>
    <w:p>
      <w:pPr>
        <w:ind w:left="420" w:right="340" w:hanging="331"/>
        <w:spacing w:after="0" w:line="261" w:lineRule="auto"/>
        <w:tabs>
          <w:tab w:leader="none" w:pos="3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w:t>
      </w:r>
    </w:p>
    <w:p>
      <w:pPr>
        <w:spacing w:after="0" w:line="89" w:lineRule="exact"/>
        <w:rPr>
          <w:rFonts w:ascii="Arial" w:cs="Arial" w:eastAsia="Arial" w:hAnsi="Arial"/>
          <w:sz w:val="18"/>
          <w:szCs w:val="18"/>
          <w:color w:val="auto"/>
        </w:rPr>
      </w:pPr>
    </w:p>
    <w:p>
      <w:pPr>
        <w:ind w:left="420" w:right="340" w:hanging="331"/>
        <w:spacing w:after="0" w:line="261" w:lineRule="auto"/>
        <w:tabs>
          <w:tab w:leader="none" w:pos="3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and</w:t>
      </w:r>
    </w:p>
    <w:p>
      <w:pPr>
        <w:spacing w:after="0" w:line="89" w:lineRule="exact"/>
        <w:rPr>
          <w:rFonts w:ascii="Arial" w:cs="Arial" w:eastAsia="Arial" w:hAnsi="Arial"/>
          <w:sz w:val="18"/>
          <w:szCs w:val="18"/>
          <w:color w:val="auto"/>
        </w:rPr>
      </w:pPr>
    </w:p>
    <w:p>
      <w:pPr>
        <w:ind w:left="420" w:right="340" w:hanging="331"/>
        <w:spacing w:after="0" w:line="261" w:lineRule="auto"/>
        <w:tabs>
          <w:tab w:leader="none" w:pos="3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w:t>
      </w:r>
    </w:p>
    <w:p>
      <w:pPr>
        <w:spacing w:after="0" w:line="90" w:lineRule="exact"/>
        <w:rPr>
          <w:sz w:val="20"/>
          <w:szCs w:val="20"/>
          <w:color w:val="auto"/>
        </w:rPr>
      </w:pPr>
    </w:p>
    <w:p>
      <w:pPr>
        <w:ind w:right="220" w:firstLine="405"/>
        <w:spacing w:after="0" w:line="278" w:lineRule="auto"/>
        <w:rPr>
          <w:sz w:val="20"/>
          <w:szCs w:val="20"/>
          <w:color w:val="auto"/>
        </w:rPr>
      </w:pPr>
      <w:r>
        <w:rPr>
          <w:rFonts w:ascii="Arial" w:cs="Arial" w:eastAsia="Arial" w:hAnsi="Arial"/>
          <w:sz w:val="17"/>
          <w:szCs w:val="17"/>
          <w:color w:val="auto"/>
        </w:rPr>
        <w:t>Our 2020 Senior Notes and our 2015 Senior Notes were issued at a discount, which are amortized as additional interest expense over the period from issuance through maturity.</w:t>
      </w:r>
    </w:p>
    <w:p>
      <w:pPr>
        <w:spacing w:after="0" w:line="7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 summary of the fair values of our outstanding borrowings as of December 31, 2021 and 2020,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Fair Value Measurements, </w:t>
      </w:r>
      <w:r>
        <w:rPr>
          <w:rFonts w:ascii="Arial" w:cs="Arial" w:eastAsia="Arial" w:hAnsi="Arial"/>
          <w:sz w:val="18"/>
          <w:szCs w:val="18"/>
          <w:color w:val="auto"/>
        </w:rPr>
        <w:t>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Credit Facility</w:t>
      </w:r>
    </w:p>
    <w:p>
      <w:pPr>
        <w:spacing w:after="0" w:line="12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2021 and 2020, we had no outstanding borrowings and were in compliance with all covenants under this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Working Capital</w:t>
      </w:r>
    </w:p>
    <w:p>
      <w:pPr>
        <w:spacing w:after="0" w:line="112"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Working capital is defined as current assets less current liabilities. Working capital was $3.6 billion and $3.1 billion as of December 31, 2021 and 2020, respectively. The change in working capital reflects an increase in total current assets of approximately $969.4 million and an increase in total current liabilities of approximately $556.0 million.</w:t>
      </w:r>
    </w:p>
    <w:p>
      <w:pPr>
        <w:spacing w:after="0" w:line="154"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The increase in total current assets was primarily driven by an increase in net cash, cash equivalents and marketable securities, due to net cash flow provided by operating activities, partially offset by cash used for share repurchases and capital expenditures, cash payments made in connection with our Exchange Offer and a milestone payment made to Neurimmune.</w:t>
      </w:r>
    </w:p>
    <w:p>
      <w:pPr>
        <w:spacing w:after="0" w:line="139"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The increase in total current liabilities was primarily due to the reclassification of $1.0 billion of our Senior Notes due September 15, 2022, to current liabilities from notes payable, as these Senior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0" w:right="160"/>
        <w:spacing w:after="0" w:line="271" w:lineRule="auto"/>
        <w:rPr>
          <w:sz w:val="20"/>
          <w:szCs w:val="20"/>
          <w:color w:val="auto"/>
        </w:rPr>
      </w:pPr>
      <w:r>
        <w:rPr>
          <w:rFonts w:ascii="Arial" w:cs="Arial" w:eastAsia="Arial" w:hAnsi="Arial"/>
          <w:sz w:val="17"/>
          <w:szCs w:val="17"/>
          <w:color w:val="auto"/>
        </w:rPr>
        <w:t>are due within one year. This increase was partially offset by a reduction in accounts payable as well as accrued expense and other, which was primarily related to decreases in the accrual of contingent payments, the accrual for employee compensation and benefits and the fair values of derivative liabilities.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Share Repurchase Programs</w:t>
      </w:r>
    </w:p>
    <w:p>
      <w:pPr>
        <w:spacing w:after="0" w:line="126" w:lineRule="exact"/>
        <w:rPr>
          <w:sz w:val="20"/>
          <w:szCs w:val="20"/>
          <w:color w:val="auto"/>
        </w:rPr>
      </w:pPr>
    </w:p>
    <w:p>
      <w:pPr>
        <w:ind w:left="380" w:right="20" w:firstLine="445"/>
        <w:spacing w:after="0" w:line="250"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6.0 million and 1.6 million shares of our common stock at a cost of approximately</w:t>
      </w:r>
    </w:p>
    <w:p>
      <w:pPr>
        <w:spacing w:after="0" w:line="3" w:lineRule="exact"/>
        <w:rPr>
          <w:sz w:val="20"/>
          <w:szCs w:val="20"/>
          <w:color w:val="auto"/>
        </w:rPr>
      </w:pPr>
    </w:p>
    <w:p>
      <w:pPr>
        <w:ind w:left="380" w:right="560"/>
        <w:spacing w:after="0" w:line="273" w:lineRule="auto"/>
        <w:rPr>
          <w:sz w:val="20"/>
          <w:szCs w:val="20"/>
          <w:color w:val="auto"/>
        </w:rPr>
      </w:pPr>
      <w:r>
        <w:rPr>
          <w:rFonts w:ascii="Arial" w:cs="Arial" w:eastAsia="Arial" w:hAnsi="Arial"/>
          <w:sz w:val="17"/>
          <w:szCs w:val="17"/>
          <w:color w:val="auto"/>
        </w:rPr>
        <w:t>$1.8 billion and $400.0 million during the years ended December 31, 2021 and 2020, respectively. Approximately $2.8 billion remained available under our 2020 Share Repurchase Program as of December 31, 2021.</w:t>
      </w:r>
    </w:p>
    <w:p>
      <w:pPr>
        <w:spacing w:after="0" w:line="56" w:lineRule="exact"/>
        <w:rPr>
          <w:sz w:val="20"/>
          <w:szCs w:val="20"/>
          <w:color w:val="auto"/>
        </w:rPr>
      </w:pPr>
    </w:p>
    <w:p>
      <w:pPr>
        <w:ind w:left="380" w:right="40" w:firstLine="405"/>
        <w:spacing w:after="0" w:line="251" w:lineRule="auto"/>
        <w:rPr>
          <w:sz w:val="20"/>
          <w:szCs w:val="20"/>
          <w:color w:val="auto"/>
        </w:rPr>
      </w:pPr>
      <w:r>
        <w:rPr>
          <w:rFonts w:ascii="Arial" w:cs="Arial" w:eastAsia="Arial" w:hAnsi="Arial"/>
          <w:sz w:val="18"/>
          <w:szCs w:val="18"/>
          <w:color w:val="auto"/>
        </w:rPr>
        <w:t>In December 2019 our Board of Directors authorized our December 2019 Share Repurchase Program, which was a program to repurchase up to $5.0 billion of our common stock that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March 2019 our Board of Directors authorized our March</w:t>
      </w:r>
    </w:p>
    <w:p>
      <w:pPr>
        <w:spacing w:after="0" w:line="9" w:lineRule="exact"/>
        <w:rPr>
          <w:sz w:val="20"/>
          <w:szCs w:val="20"/>
          <w:color w:val="auto"/>
        </w:rPr>
      </w:pPr>
    </w:p>
    <w:p>
      <w:pPr>
        <w:ind w:left="380" w:right="80"/>
        <w:spacing w:after="0" w:line="251" w:lineRule="auto"/>
        <w:rPr>
          <w:sz w:val="20"/>
          <w:szCs w:val="20"/>
          <w:color w:val="auto"/>
        </w:rPr>
      </w:pPr>
      <w:r>
        <w:rPr>
          <w:rFonts w:ascii="Arial" w:cs="Arial" w:eastAsia="Arial" w:hAnsi="Arial"/>
          <w:sz w:val="18"/>
          <w:szCs w:val="18"/>
          <w:color w:val="auto"/>
        </w:rPr>
        <w:t>2019 Share Repurchase Program, which was a program to repurchase up to $5.0 billion of our common stock that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8" w:lineRule="exact"/>
        <w:rPr>
          <w:sz w:val="20"/>
          <w:szCs w:val="20"/>
          <w:color w:val="auto"/>
        </w:rPr>
      </w:pPr>
    </w:p>
    <w:p>
      <w:pPr>
        <w:ind w:left="380" w:firstLine="445"/>
        <w:spacing w:after="0" w:line="268" w:lineRule="auto"/>
        <w:rPr>
          <w:sz w:val="20"/>
          <w:szCs w:val="20"/>
          <w:color w:val="auto"/>
        </w:rPr>
      </w:pPr>
      <w:r>
        <w:rPr>
          <w:rFonts w:ascii="Arial" w:cs="Arial" w:eastAsia="Arial" w:hAnsi="Arial"/>
          <w:sz w:val="17"/>
          <w:szCs w:val="17"/>
          <w:color w:val="auto"/>
        </w:rPr>
        <w:t>In August 2018 our Board of Directors authorized our 2018 Share Repurchase Program, which was a program to repurchase up to $3.5 billion of our common stock that was completed as of June 30, 2019. All share repurchases under our 2018 Share Repurchase Program were retired. Under our 2018 Share Repurchase Program, we repurchased and retired approximately 8.9 million shares of our common stock at a cost of approximately $2.1 billion during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Cash Flow</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4"/>
          </w:tcPr>
          <w:p>
            <w:pPr>
              <w:ind w:left="1060"/>
              <w:spacing w:after="0"/>
              <w:rPr>
                <w:sz w:val="20"/>
                <w:szCs w:val="20"/>
                <w:color w:val="auto"/>
              </w:rPr>
            </w:pPr>
            <w:r>
              <w:rPr>
                <w:rFonts w:ascii="Arial" w:cs="Arial" w:eastAsia="Arial" w:hAnsi="Arial"/>
                <w:sz w:val="14"/>
                <w:szCs w:val="14"/>
                <w:b w:val="1"/>
                <w:bCs w:val="1"/>
                <w:color w:val="auto"/>
              </w:rPr>
              <w:t>% Change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2021</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1"/>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DBDBDB"/>
            </w:tcBorders>
            <w:gridSpan w:val="2"/>
            <w:vMerge w:val="restart"/>
            <w:shd w:val="clear" w:color="auto" w:fill="DBDBDB"/>
          </w:tcPr>
          <w:p>
            <w:pPr>
              <w:jc w:val="right"/>
              <w:ind w:right="560"/>
              <w:spacing w:after="0" w:line="122"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vMerge w:val="restart"/>
          </w:tcPr>
          <w:p>
            <w:pPr>
              <w:jc w:val="right"/>
              <w:ind w:right="508"/>
              <w:spacing w:after="0" w:line="122"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61"/>
        </w:trPr>
        <w:tc>
          <w:tcPr>
            <w:tcW w:w="3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1040" w:type="dxa"/>
            <w:vAlign w:val="bottom"/>
            <w:vMerge w:val="restart"/>
            <w:shd w:val="clear" w:color="auto" w:fill="DDDDDD"/>
          </w:tcPr>
          <w:p>
            <w:pPr>
              <w:jc w:val="right"/>
              <w:ind w:right="44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1340" w:type="dxa"/>
            <w:vAlign w:val="bottom"/>
            <w:gridSpan w:val="2"/>
            <w:vMerge w:val="continue"/>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1040" w:type="dxa"/>
            <w:vAlign w:val="bottom"/>
            <w:tcBorders>
              <w:bottom w:val="single" w:sz="8" w:color="auto"/>
            </w:tcBorders>
            <w:vMerge w:val="continue"/>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2020</w:t>
            </w:r>
          </w:p>
        </w:tc>
        <w:tc>
          <w:tcPr>
            <w:tcW w:w="140" w:type="dxa"/>
            <w:vAlign w:val="bottom"/>
            <w:tcBorders>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operating activities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3,639.9</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4,229.8</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7,078.6</w:t>
            </w:r>
          </w:p>
        </w:tc>
        <w:tc>
          <w:tcPr>
            <w:tcW w:w="100" w:type="dxa"/>
            <w:vAlign w:val="bottom"/>
          </w:tcPr>
          <w:p>
            <w:pPr>
              <w:spacing w:after="0"/>
              <w:rPr>
                <w:sz w:val="15"/>
                <w:szCs w:val="15"/>
                <w:color w:val="auto"/>
              </w:rPr>
            </w:pPr>
          </w:p>
        </w:tc>
        <w:tc>
          <w:tcPr>
            <w:tcW w:w="134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2573BA"/>
              </w:rPr>
              <w:t>(13.9)%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91"/>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2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(608.6)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2573BA"/>
              </w:rPr>
              <w:t>7.4</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(229.4)</w:t>
            </w:r>
          </w:p>
        </w:tc>
        <w:tc>
          <w:tcPr>
            <w:tcW w:w="0" w:type="dxa"/>
            <w:vAlign w:val="bottom"/>
          </w:tcPr>
          <w:p>
            <w:pPr>
              <w:spacing w:after="0"/>
              <w:rPr>
                <w:sz w:val="1"/>
                <w:szCs w:val="1"/>
                <w:color w:val="auto"/>
              </w:rPr>
            </w:pPr>
          </w:p>
        </w:tc>
      </w:tr>
      <w:tr>
        <w:trPr>
          <w:trHeight w:val="188"/>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Net cash flow used in financing activities</w:t>
            </w:r>
          </w:p>
        </w:tc>
        <w:tc>
          <w:tcPr>
            <w:tcW w:w="320" w:type="dxa"/>
            <w:vAlign w:val="bottom"/>
            <w:shd w:val="clear" w:color="auto" w:fill="DBDBDB"/>
          </w:tcPr>
          <w:p>
            <w:pPr>
              <w:spacing w:after="0"/>
              <w:rPr>
                <w:sz w:val="16"/>
                <w:szCs w:val="16"/>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(2,086.2)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(5,272.7)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(5,860.4)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2573BA"/>
              </w:rPr>
              <w:t>60.4</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-368300</wp:posOffset>
            </wp:positionV>
            <wp:extent cx="754380" cy="3689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5438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ectPr>
          <w:pgSz w:w="11900" w:h="16838" w:orient="portrait"/>
          <w:cols w:equalWidth="0" w:num="1">
            <w:col w:w="11240"/>
          </w:cols>
          <w:pgMar w:left="320" w:top="144" w:right="3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Operating Activities</w:t>
      </w:r>
    </w:p>
    <w:p>
      <w:pPr>
        <w:spacing w:after="0" w:line="13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Cash flow from operating activities represents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cash flow is derived by adjusting our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420" w:right="40" w:hanging="331"/>
        <w:spacing w:after="0" w:line="254" w:lineRule="auto"/>
        <w:tabs>
          <w:tab w:leader="none" w:pos="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non-cash operating items such as depreciation and amortization, impairment charges, unrealized gain (loss) on strategic investments, acquired IPR&amp;D and share-based compensation;</w:t>
      </w:r>
    </w:p>
    <w:p>
      <w:pPr>
        <w:spacing w:after="0" w:line="95" w:lineRule="exact"/>
        <w:rPr>
          <w:rFonts w:ascii="Arial" w:cs="Arial" w:eastAsia="Arial" w:hAnsi="Arial"/>
          <w:sz w:val="18"/>
          <w:szCs w:val="18"/>
          <w:color w:val="auto"/>
        </w:rPr>
      </w:pPr>
    </w:p>
    <w:p>
      <w:pPr>
        <w:ind w:left="420" w:right="20" w:hanging="331"/>
        <w:spacing w:after="0" w:line="254" w:lineRule="auto"/>
        <w:tabs>
          <w:tab w:leader="none" w:pos="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95" w:lineRule="exact"/>
        <w:rPr>
          <w:rFonts w:ascii="Arial" w:cs="Arial" w:eastAsia="Arial" w:hAnsi="Arial"/>
          <w:sz w:val="18"/>
          <w:szCs w:val="18"/>
          <w:color w:val="auto"/>
        </w:rPr>
      </w:pPr>
    </w:p>
    <w:p>
      <w:pPr>
        <w:jc w:val="both"/>
        <w:ind w:left="420" w:right="20" w:hanging="331"/>
        <w:spacing w:after="0" w:line="256" w:lineRule="auto"/>
        <w:tabs>
          <w:tab w:leader="none" w:pos="3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changes in the fair value of contingent payments associated with our acquisitions of businesses and payments related to collaborations.</w:t>
      </w:r>
    </w:p>
    <w:p>
      <w:pPr>
        <w:spacing w:after="0" w:line="94"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For 2021 compared to 2020, the decrease in net cash flow provided by operating activities was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primarily due to lower net income. Net income in 2020 reflected approximately $1,084.0 million, $601.3 million and $208.0 million of upfront payments made in connection with entering into our collaborations with Sage, Denali and Sangamo,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Investing Activities</w:t>
      </w:r>
    </w:p>
    <w:p>
      <w:pPr>
        <w:spacing w:after="0" w:line="135" w:lineRule="exact"/>
        <w:rPr>
          <w:sz w:val="20"/>
          <w:szCs w:val="20"/>
          <w:color w:val="auto"/>
        </w:rPr>
      </w:pPr>
    </w:p>
    <w:p>
      <w:pPr>
        <w:jc w:val="both"/>
        <w:ind w:right="220" w:firstLine="445"/>
        <w:spacing w:after="0" w:line="250" w:lineRule="auto"/>
        <w:rPr>
          <w:sz w:val="20"/>
          <w:szCs w:val="20"/>
          <w:color w:val="auto"/>
        </w:rPr>
      </w:pPr>
      <w:r>
        <w:rPr>
          <w:rFonts w:ascii="Arial" w:cs="Arial" w:eastAsia="Arial" w:hAnsi="Arial"/>
          <w:sz w:val="18"/>
          <w:szCs w:val="18"/>
          <w:color w:val="auto"/>
        </w:rPr>
        <w:t>For 2021 compared to 2020, the decrease in net cash flow used in investing activities was primarily due to the purchases of the common stock of Sangamo, Denali and Sage totaling</w:t>
      </w:r>
    </w:p>
    <w:p>
      <w:pPr>
        <w:spacing w:after="0" w:line="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$1.0 billion during 2020 as well as higher capital expenditures and acquisitions of IPR&amp;D and other intangible assets in 2020, partially offset by higher net proceeds received from the sale of marketable securities in 2020 as compared to the current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Financing Activities</w:t>
      </w:r>
    </w:p>
    <w:p>
      <w:pPr>
        <w:spacing w:after="0" w:line="135"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For 2021 compared to 2020, the decrease in net cash flow used in financing activities was primarily due to the greater number of shares repurchased in 2020 as compared to the comparative period in 2021, partially offset by cash used in connection with our Exchange Offer and a milestone payment to Neurimmune in 2021.</w:t>
      </w:r>
    </w:p>
    <w:p>
      <w:pPr>
        <w:spacing w:after="0" w:line="912" w:lineRule="exact"/>
        <w:rPr>
          <w:sz w:val="20"/>
          <w:szCs w:val="20"/>
          <w:color w:val="auto"/>
        </w:rPr>
      </w:pPr>
    </w:p>
    <w:p>
      <w:pPr>
        <w:sectPr>
          <w:pgSz w:w="11900" w:h="16838" w:orient="portrait"/>
          <w:cols w:equalWidth="0" w:num="2">
            <w:col w:w="5180" w:space="720"/>
            <w:col w:w="5340"/>
          </w:cols>
          <w:pgMar w:left="320" w:top="144" w:right="339"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Contractual Obligations and 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Contractual Obligations</w:t>
      </w:r>
    </w:p>
    <w:p>
      <w:pPr>
        <w:spacing w:after="0" w:line="112" w:lineRule="exact"/>
        <w:rPr>
          <w:sz w:val="20"/>
          <w:szCs w:val="20"/>
          <w:color w:val="auto"/>
        </w:rPr>
      </w:pPr>
    </w:p>
    <w:p>
      <w:pPr>
        <w:ind w:right="560" w:firstLine="445"/>
        <w:spacing w:after="0" w:line="256" w:lineRule="auto"/>
        <w:rPr>
          <w:sz w:val="20"/>
          <w:szCs w:val="20"/>
          <w:color w:val="auto"/>
        </w:rPr>
      </w:pPr>
      <w:r>
        <w:rPr>
          <w:rFonts w:ascii="Arial" w:cs="Arial" w:eastAsia="Arial" w:hAnsi="Arial"/>
          <w:sz w:val="18"/>
          <w:szCs w:val="18"/>
          <w:color w:val="auto"/>
        </w:rPr>
        <w:t>The following table summarizes our contractual obligations as of December 31, 2021,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Less than</w:t>
            </w:r>
          </w:p>
        </w:tc>
        <w:tc>
          <w:tcPr>
            <w:tcW w:w="600" w:type="dxa"/>
            <w:vAlign w:val="bottom"/>
          </w:tcPr>
          <w:p>
            <w:pPr>
              <w:spacing w:after="0"/>
              <w:rPr>
                <w:sz w:val="12"/>
                <w:szCs w:val="12"/>
                <w:color w:val="auto"/>
              </w:rPr>
            </w:pPr>
          </w:p>
        </w:tc>
        <w:tc>
          <w:tcPr>
            <w:tcW w:w="14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1 to 3</w:t>
            </w:r>
          </w:p>
        </w:tc>
        <w:tc>
          <w:tcPr>
            <w:tcW w:w="300" w:type="dxa"/>
            <w:vAlign w:val="bottom"/>
          </w:tcPr>
          <w:p>
            <w:pPr>
              <w:spacing w:after="0"/>
              <w:rPr>
                <w:sz w:val="12"/>
                <w:szCs w:val="12"/>
                <w:color w:val="auto"/>
              </w:rPr>
            </w:pPr>
          </w:p>
        </w:tc>
        <w:tc>
          <w:tcPr>
            <w:tcW w:w="116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3 to 5</w:t>
            </w:r>
          </w:p>
        </w:tc>
        <w:tc>
          <w:tcPr>
            <w:tcW w:w="580" w:type="dxa"/>
            <w:vAlign w:val="bottom"/>
          </w:tcPr>
          <w:p>
            <w:pPr>
              <w:spacing w:after="0"/>
              <w:rPr>
                <w:sz w:val="12"/>
                <w:szCs w:val="12"/>
                <w:color w:val="auto"/>
              </w:rPr>
            </w:pPr>
          </w:p>
        </w:tc>
        <w:tc>
          <w:tcPr>
            <w:tcW w:w="11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DBDBDB"/>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DBDBDB"/>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7"/>
        </w:trPr>
        <w:tc>
          <w:tcPr>
            <w:tcW w:w="2480" w:type="dxa"/>
            <w:vAlign w:val="bottom"/>
            <w:gridSpan w:val="2"/>
          </w:tcPr>
          <w:p>
            <w:pPr>
              <w:ind w:left="480"/>
              <w:spacing w:after="0" w:line="147" w:lineRule="exact"/>
              <w:rPr>
                <w:sz w:val="20"/>
                <w:szCs w:val="20"/>
                <w:color w:val="auto"/>
              </w:rPr>
            </w:pPr>
            <w:r>
              <w:rPr>
                <w:rFonts w:ascii="Arial" w:cs="Arial" w:eastAsia="Arial" w:hAnsi="Arial"/>
                <w:sz w:val="14"/>
                <w:szCs w:val="14"/>
                <w:color w:val="auto"/>
              </w:rPr>
              <w:t>Non-cancellable operating</w:t>
            </w:r>
          </w:p>
        </w:tc>
        <w:tc>
          <w:tcPr>
            <w:tcW w:w="720" w:type="dxa"/>
            <w:vAlign w:val="bottom"/>
            <w:vMerge w:val="restart"/>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321.1</w:t>
            </w:r>
          </w:p>
        </w:tc>
        <w:tc>
          <w:tcPr>
            <w:tcW w:w="70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71.7</w:t>
            </w:r>
          </w:p>
        </w:tc>
        <w:tc>
          <w:tcPr>
            <w:tcW w:w="100" w:type="dxa"/>
            <w:vAlign w:val="bottom"/>
            <w:shd w:val="clear" w:color="auto" w:fill="DBDBDB"/>
          </w:tcPr>
          <w:p>
            <w:pPr>
              <w:spacing w:after="0"/>
              <w:rPr>
                <w:sz w:val="12"/>
                <w:szCs w:val="12"/>
                <w:color w:val="auto"/>
              </w:rPr>
            </w:pP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112.8</w:t>
            </w:r>
          </w:p>
        </w:tc>
        <w:tc>
          <w:tcPr>
            <w:tcW w:w="10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3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71.3</w:t>
            </w:r>
          </w:p>
        </w:tc>
        <w:tc>
          <w:tcPr>
            <w:tcW w:w="80" w:type="dxa"/>
            <w:vAlign w:val="bottom"/>
            <w:shd w:val="clear" w:color="auto" w:fill="DBDBDB"/>
          </w:tcPr>
          <w:p>
            <w:pPr>
              <w:spacing w:after="0"/>
              <w:rPr>
                <w:sz w:val="12"/>
                <w:szCs w:val="12"/>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65.3</w:t>
            </w:r>
          </w:p>
        </w:tc>
        <w:tc>
          <w:tcPr>
            <w:tcW w:w="0" w:type="dxa"/>
            <w:vAlign w:val="bottom"/>
          </w:tcPr>
          <w:p>
            <w:pPr>
              <w:spacing w:after="0"/>
              <w:rPr>
                <w:sz w:val="1"/>
                <w:szCs w:val="1"/>
                <w:color w:val="auto"/>
              </w:rPr>
            </w:pPr>
          </w:p>
        </w:tc>
      </w:tr>
      <w:tr>
        <w:trPr>
          <w:trHeight w:val="171"/>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 xml:space="preserve">leases </w:t>
            </w:r>
            <w:r>
              <w:rPr>
                <w:rFonts w:ascii="Arial" w:cs="Arial" w:eastAsia="Arial" w:hAnsi="Arial"/>
                <w:sz w:val="9"/>
                <w:szCs w:val="9"/>
                <w:color w:val="auto"/>
              </w:rPr>
              <w:t>(1)(2)</w:t>
            </w:r>
          </w:p>
        </w:tc>
        <w:tc>
          <w:tcPr>
            <w:tcW w:w="720" w:type="dxa"/>
            <w:vAlign w:val="bottom"/>
            <w:vMerge w:val="continue"/>
            <w:shd w:val="clear" w:color="auto" w:fill="DBDBDB"/>
          </w:tcPr>
          <w:p>
            <w:pPr>
              <w:spacing w:after="0"/>
              <w:rPr>
                <w:sz w:val="14"/>
                <w:szCs w:val="14"/>
                <w:color w:val="auto"/>
              </w:rPr>
            </w:pPr>
          </w:p>
        </w:tc>
        <w:tc>
          <w:tcPr>
            <w:tcW w:w="960" w:type="dxa"/>
            <w:vAlign w:val="bottom"/>
            <w:vMerge w:val="continue"/>
            <w:shd w:val="clear" w:color="auto" w:fill="DBDBDB"/>
          </w:tcPr>
          <w:p>
            <w:pPr>
              <w:spacing w:after="0"/>
              <w:rPr>
                <w:sz w:val="14"/>
                <w:szCs w:val="14"/>
                <w:color w:val="auto"/>
              </w:rPr>
            </w:pPr>
          </w:p>
        </w:tc>
        <w:tc>
          <w:tcPr>
            <w:tcW w:w="700" w:type="dxa"/>
            <w:vAlign w:val="bottom"/>
            <w:gridSpan w:val="3"/>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00" w:type="dxa"/>
            <w:vAlign w:val="bottom"/>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300" w:type="dxa"/>
            <w:vAlign w:val="bottom"/>
            <w:vMerge w:val="continue"/>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80" w:type="dxa"/>
            <w:vAlign w:val="bottom"/>
            <w:vMerge w:val="continue"/>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480"/>
              <w:spacing w:after="0"/>
              <w:rPr>
                <w:sz w:val="20"/>
                <w:szCs w:val="20"/>
                <w:color w:val="auto"/>
              </w:rPr>
            </w:pPr>
            <w:r>
              <w:rPr>
                <w:rFonts w:ascii="Arial" w:cs="Arial" w:eastAsia="Arial" w:hAnsi="Arial"/>
                <w:sz w:val="14"/>
                <w:szCs w:val="14"/>
                <w:color w:val="auto"/>
              </w:rPr>
              <w:t xml:space="preserve">Long-term debt obligations </w:t>
            </w:r>
            <w:r>
              <w:rPr>
                <w:rFonts w:ascii="Arial" w:cs="Arial" w:eastAsia="Arial" w:hAnsi="Arial"/>
                <w:sz w:val="9"/>
                <w:szCs w:val="9"/>
                <w:color w:val="auto"/>
              </w:rPr>
              <w:t>(3)</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11,580.3</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1,259.9</w:t>
            </w:r>
          </w:p>
        </w:tc>
        <w:tc>
          <w:tcPr>
            <w:tcW w:w="100" w:type="dxa"/>
            <w:vAlign w:val="bottom"/>
            <w:shd w:val="clear" w:color="auto" w:fill="DBDBDB"/>
          </w:tcPr>
          <w:p>
            <w:pPr>
              <w:spacing w:after="0"/>
              <w:rPr>
                <w:sz w:val="16"/>
                <w:szCs w:val="16"/>
                <w:color w:val="auto"/>
              </w:rPr>
            </w:pPr>
          </w:p>
        </w:tc>
        <w:tc>
          <w:tcPr>
            <w:tcW w:w="60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465.4</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2,126.8</w:t>
            </w:r>
          </w:p>
        </w:tc>
        <w:tc>
          <w:tcPr>
            <w:tcW w:w="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7,728.2</w:t>
            </w:r>
          </w:p>
        </w:tc>
        <w:tc>
          <w:tcPr>
            <w:tcW w:w="0" w:type="dxa"/>
            <w:vAlign w:val="bottom"/>
          </w:tcPr>
          <w:p>
            <w:pPr>
              <w:spacing w:after="0"/>
              <w:rPr>
                <w:sz w:val="1"/>
                <w:szCs w:val="1"/>
                <w:color w:val="auto"/>
              </w:rPr>
            </w:pPr>
          </w:p>
        </w:tc>
      </w:tr>
      <w:tr>
        <w:trPr>
          <w:trHeight w:val="153"/>
        </w:trPr>
        <w:tc>
          <w:tcPr>
            <w:tcW w:w="2480" w:type="dxa"/>
            <w:vAlign w:val="bottom"/>
            <w:gridSpan w:val="2"/>
          </w:tcPr>
          <w:p>
            <w:pPr>
              <w:ind w:left="480"/>
              <w:spacing w:after="0" w:line="153" w:lineRule="exact"/>
              <w:rPr>
                <w:sz w:val="20"/>
                <w:szCs w:val="20"/>
                <w:color w:val="auto"/>
              </w:rPr>
            </w:pPr>
            <w:r>
              <w:rPr>
                <w:rFonts w:ascii="Arial" w:cs="Arial" w:eastAsia="Arial" w:hAnsi="Arial"/>
                <w:sz w:val="14"/>
                <w:szCs w:val="14"/>
                <w:color w:val="auto"/>
              </w:rPr>
              <w:t>Purchase and other</w:t>
            </w:r>
          </w:p>
        </w:tc>
        <w:tc>
          <w:tcPr>
            <w:tcW w:w="7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982.9</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230.1</w:t>
            </w:r>
          </w:p>
        </w:tc>
        <w:tc>
          <w:tcPr>
            <w:tcW w:w="100" w:type="dxa"/>
            <w:vAlign w:val="bottom"/>
            <w:shd w:val="clear" w:color="auto" w:fill="DBDBDB"/>
          </w:tcPr>
          <w:p>
            <w:pPr>
              <w:spacing w:after="0"/>
              <w:rPr>
                <w:sz w:val="13"/>
                <w:szCs w:val="13"/>
                <w:color w:val="auto"/>
              </w:rPr>
            </w:pPr>
          </w:p>
        </w:tc>
        <w:tc>
          <w:tcPr>
            <w:tcW w:w="60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509.1</w:t>
            </w:r>
          </w:p>
        </w:tc>
        <w:tc>
          <w:tcPr>
            <w:tcW w:w="1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239.2</w:t>
            </w:r>
          </w:p>
        </w:tc>
        <w:tc>
          <w:tcPr>
            <w:tcW w:w="8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4.5</w:t>
            </w:r>
          </w:p>
        </w:tc>
        <w:tc>
          <w:tcPr>
            <w:tcW w:w="0" w:type="dxa"/>
            <w:vAlign w:val="bottom"/>
          </w:tcPr>
          <w:p>
            <w:pPr>
              <w:spacing w:after="0"/>
              <w:rPr>
                <w:sz w:val="1"/>
                <w:szCs w:val="1"/>
                <w:color w:val="auto"/>
              </w:rPr>
            </w:pPr>
          </w:p>
        </w:tc>
      </w:tr>
      <w:tr>
        <w:trPr>
          <w:trHeight w:val="171"/>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 xml:space="preserve">obligations </w:t>
            </w:r>
            <w:r>
              <w:rPr>
                <w:rFonts w:ascii="Arial" w:cs="Arial" w:eastAsia="Arial" w:hAnsi="Arial"/>
                <w:sz w:val="9"/>
                <w:szCs w:val="9"/>
                <w:color w:val="auto"/>
              </w:rPr>
              <w:t>(4)</w:t>
            </w:r>
          </w:p>
        </w:tc>
        <w:tc>
          <w:tcPr>
            <w:tcW w:w="720" w:type="dxa"/>
            <w:vAlign w:val="bottom"/>
            <w:shd w:val="clear" w:color="auto" w:fill="DBDBDB"/>
          </w:tcPr>
          <w:p>
            <w:pPr>
              <w:spacing w:after="0"/>
              <w:rPr>
                <w:sz w:val="14"/>
                <w:szCs w:val="14"/>
                <w:color w:val="auto"/>
              </w:rPr>
            </w:pPr>
          </w:p>
        </w:tc>
        <w:tc>
          <w:tcPr>
            <w:tcW w:w="96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00" w:type="dxa"/>
            <w:vAlign w:val="bottom"/>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108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11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gridSpan w:val="2"/>
          </w:tcPr>
          <w:p>
            <w:pPr>
              <w:ind w:left="480"/>
              <w:spacing w:after="0"/>
              <w:rPr>
                <w:sz w:val="20"/>
                <w:szCs w:val="20"/>
                <w:color w:val="auto"/>
              </w:rPr>
            </w:pPr>
            <w:r>
              <w:rPr>
                <w:rFonts w:ascii="Arial" w:cs="Arial" w:eastAsia="Arial" w:hAnsi="Arial"/>
                <w:sz w:val="14"/>
                <w:szCs w:val="14"/>
                <w:color w:val="auto"/>
              </w:rPr>
              <w:t>Defined benefit obligation</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132.4</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11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600" w:type="dxa"/>
            <w:vAlign w:val="bottom"/>
            <w:shd w:val="clear" w:color="auto" w:fill="DBDBDB"/>
          </w:tcPr>
          <w:p>
            <w:pPr>
              <w:spacing w:after="0"/>
              <w:rPr>
                <w:sz w:val="16"/>
                <w:szCs w:val="16"/>
                <w:color w:val="auto"/>
              </w:rPr>
            </w:pPr>
          </w:p>
        </w:tc>
        <w:tc>
          <w:tcPr>
            <w:tcW w:w="1460" w:type="dxa"/>
            <w:vAlign w:val="bottom"/>
            <w:gridSpan w:val="3"/>
            <w:shd w:val="clear" w:color="auto" w:fill="DBDBDB"/>
          </w:tcPr>
          <w:p>
            <w:pPr>
              <w:jc w:val="right"/>
              <w:ind w:right="460"/>
              <w:spacing w:after="0"/>
              <w:rPr>
                <w:sz w:val="20"/>
                <w:szCs w:val="20"/>
                <w:color w:val="auto"/>
              </w:rPr>
            </w:pPr>
            <w:r>
              <w:rPr>
                <w:rFonts w:ascii="Arial" w:cs="Arial" w:eastAsia="Arial" w:hAnsi="Arial"/>
                <w:sz w:val="14"/>
                <w:szCs w:val="14"/>
                <w:color w:val="2573BA"/>
              </w:rPr>
              <w:t>—</w:t>
            </w:r>
          </w:p>
        </w:tc>
        <w:tc>
          <w:tcPr>
            <w:tcW w:w="300" w:type="dxa"/>
            <w:vAlign w:val="bottom"/>
            <w:shd w:val="clear" w:color="auto" w:fill="DBDBDB"/>
          </w:tcPr>
          <w:p>
            <w:pPr>
              <w:spacing w:after="0"/>
              <w:rPr>
                <w:sz w:val="16"/>
                <w:szCs w:val="16"/>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58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132.4</w:t>
            </w:r>
          </w:p>
        </w:tc>
        <w:tc>
          <w:tcPr>
            <w:tcW w:w="0" w:type="dxa"/>
            <w:vAlign w:val="bottom"/>
          </w:tcPr>
          <w:p>
            <w:pPr>
              <w:spacing w:after="0"/>
              <w:rPr>
                <w:sz w:val="1"/>
                <w:szCs w:val="1"/>
                <w:color w:val="auto"/>
              </w:rPr>
            </w:pPr>
          </w:p>
        </w:tc>
      </w:tr>
      <w:tr>
        <w:trPr>
          <w:trHeight w:val="133"/>
        </w:trPr>
        <w:tc>
          <w:tcPr>
            <w:tcW w:w="2480" w:type="dxa"/>
            <w:vAlign w:val="bottom"/>
            <w:gridSpan w:val="2"/>
          </w:tcPr>
          <w:p>
            <w:pPr>
              <w:ind w:left="600"/>
              <w:spacing w:after="0" w:line="133" w:lineRule="exact"/>
              <w:rPr>
                <w:sz w:val="20"/>
                <w:szCs w:val="20"/>
                <w:color w:val="auto"/>
              </w:rPr>
            </w:pPr>
            <w:r>
              <w:rPr>
                <w:rFonts w:ascii="Arial" w:cs="Arial" w:eastAsia="Arial" w:hAnsi="Arial"/>
                <w:sz w:val="14"/>
                <w:szCs w:val="14"/>
                <w:color w:val="auto"/>
              </w:rPr>
              <w:t>Total contractual</w:t>
            </w:r>
          </w:p>
        </w:tc>
        <w:tc>
          <w:tcPr>
            <w:tcW w:w="720" w:type="dxa"/>
            <w:vAlign w:val="bottom"/>
            <w:tcBorders>
              <w:top w:val="single" w:sz="8" w:color="auto"/>
            </w:tcBorders>
            <w:vMerge w:val="restart"/>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9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13,016.7</w:t>
            </w:r>
          </w:p>
        </w:tc>
        <w:tc>
          <w:tcPr>
            <w:tcW w:w="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5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1,561.7</w:t>
            </w:r>
          </w:p>
        </w:tc>
        <w:tc>
          <w:tcPr>
            <w:tcW w:w="100" w:type="dxa"/>
            <w:vAlign w:val="bottom"/>
            <w:tcBorders>
              <w:top w:val="single" w:sz="8" w:color="DBDBDB"/>
            </w:tcBorders>
            <w:shd w:val="clear" w:color="auto" w:fill="DBDBDB"/>
          </w:tcPr>
          <w:p>
            <w:pPr>
              <w:spacing w:after="0"/>
              <w:rPr>
                <w:sz w:val="11"/>
                <w:szCs w:val="11"/>
                <w:color w:val="auto"/>
              </w:rPr>
            </w:pPr>
          </w:p>
        </w:tc>
        <w:tc>
          <w:tcPr>
            <w:tcW w:w="6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tcBorders>
              <w:top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1,087.3</w:t>
            </w:r>
          </w:p>
        </w:tc>
        <w:tc>
          <w:tcPr>
            <w:tcW w:w="100" w:type="dxa"/>
            <w:vAlign w:val="bottom"/>
            <w:tcBorders>
              <w:top w:val="single" w:sz="8" w:color="DBDBDB"/>
            </w:tcBorders>
            <w:shd w:val="clear" w:color="auto" w:fill="DBDBDB"/>
          </w:tcPr>
          <w:p>
            <w:pPr>
              <w:spacing w:after="0"/>
              <w:rPr>
                <w:sz w:val="11"/>
                <w:szCs w:val="11"/>
                <w:color w:val="auto"/>
              </w:rPr>
            </w:pPr>
          </w:p>
        </w:tc>
        <w:tc>
          <w:tcPr>
            <w:tcW w:w="280" w:type="dxa"/>
            <w:vAlign w:val="bottom"/>
            <w:tcBorders>
              <w:top w:val="single" w:sz="8" w:color="auto"/>
            </w:tcBorders>
            <w:shd w:val="clear" w:color="auto" w:fill="DBDBDB"/>
          </w:tcPr>
          <w:p>
            <w:pPr>
              <w:spacing w:after="0"/>
              <w:rPr>
                <w:sz w:val="11"/>
                <w:szCs w:val="11"/>
                <w:color w:val="auto"/>
              </w:rPr>
            </w:pPr>
          </w:p>
        </w:tc>
        <w:tc>
          <w:tcPr>
            <w:tcW w:w="3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80" w:type="dxa"/>
            <w:vAlign w:val="bottom"/>
            <w:tcBorders>
              <w:top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2,437.3</w:t>
            </w:r>
          </w:p>
        </w:tc>
        <w:tc>
          <w:tcPr>
            <w:tcW w:w="80" w:type="dxa"/>
            <w:vAlign w:val="bottom"/>
            <w:tcBorders>
              <w:top w:val="single" w:sz="8" w:color="DBDBDB"/>
            </w:tcBorders>
            <w:shd w:val="clear" w:color="auto" w:fill="DBDBDB"/>
          </w:tcPr>
          <w:p>
            <w:pPr>
              <w:spacing w:after="0"/>
              <w:rPr>
                <w:sz w:val="11"/>
                <w:szCs w:val="11"/>
                <w:color w:val="auto"/>
              </w:rPr>
            </w:pPr>
          </w:p>
        </w:tc>
        <w:tc>
          <w:tcPr>
            <w:tcW w:w="5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1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7,930.4</w:t>
            </w:r>
          </w:p>
        </w:tc>
        <w:tc>
          <w:tcPr>
            <w:tcW w:w="0" w:type="dxa"/>
            <w:vAlign w:val="bottom"/>
          </w:tcPr>
          <w:p>
            <w:pPr>
              <w:spacing w:after="0"/>
              <w:rPr>
                <w:sz w:val="1"/>
                <w:szCs w:val="1"/>
                <w:color w:val="auto"/>
              </w:rPr>
            </w:pPr>
          </w:p>
        </w:tc>
      </w:tr>
      <w:tr>
        <w:trPr>
          <w:trHeight w:val="164"/>
        </w:trPr>
        <w:tc>
          <w:tcPr>
            <w:tcW w:w="248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obligations</w:t>
            </w:r>
          </w:p>
        </w:tc>
        <w:tc>
          <w:tcPr>
            <w:tcW w:w="720" w:type="dxa"/>
            <w:vAlign w:val="bottom"/>
            <w:tcBorders>
              <w:bottom w:val="single" w:sz="8" w:color="auto"/>
            </w:tcBorders>
            <w:vMerge w:val="continue"/>
            <w:shd w:val="clear" w:color="auto" w:fill="DBDBDB"/>
          </w:tcPr>
          <w:p>
            <w:pPr>
              <w:spacing w:after="0"/>
              <w:rPr>
                <w:sz w:val="14"/>
                <w:szCs w:val="14"/>
                <w:color w:val="auto"/>
              </w:rPr>
            </w:pPr>
          </w:p>
        </w:tc>
        <w:tc>
          <w:tcPr>
            <w:tcW w:w="960" w:type="dxa"/>
            <w:vAlign w:val="bottom"/>
            <w:tcBorders>
              <w:bottom w:val="single" w:sz="8" w:color="auto"/>
            </w:tcBorders>
            <w:vMerge w:val="continue"/>
            <w:shd w:val="clear" w:color="auto" w:fill="DBDBDB"/>
          </w:tcPr>
          <w:p>
            <w:pPr>
              <w:spacing w:after="0"/>
              <w:rPr>
                <w:sz w:val="14"/>
                <w:szCs w:val="14"/>
                <w:color w:val="auto"/>
              </w:rPr>
            </w:pPr>
          </w:p>
        </w:tc>
        <w:tc>
          <w:tcPr>
            <w:tcW w:w="40" w:type="dxa"/>
            <w:vAlign w:val="bottom"/>
            <w:tcBorders>
              <w:bottom w:val="single" w:sz="8" w:color="auto"/>
            </w:tcBorders>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auto"/>
            </w:tcBorders>
            <w:vMerge w:val="continue"/>
            <w:shd w:val="clear" w:color="auto" w:fill="DBDBDB"/>
          </w:tcPr>
          <w:p>
            <w:pPr>
              <w:spacing w:after="0"/>
              <w:rPr>
                <w:sz w:val="14"/>
                <w:szCs w:val="14"/>
                <w:color w:val="auto"/>
              </w:rPr>
            </w:pPr>
          </w:p>
        </w:tc>
        <w:tc>
          <w:tcPr>
            <w:tcW w:w="108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600" w:type="dxa"/>
            <w:vAlign w:val="bottom"/>
            <w:tcBorders>
              <w:bottom w:val="single" w:sz="8" w:color="auto"/>
            </w:tcBorders>
            <w:vMerge w:val="continue"/>
            <w:shd w:val="clear" w:color="auto" w:fill="DBDBDB"/>
          </w:tcPr>
          <w:p>
            <w:pPr>
              <w:spacing w:after="0"/>
              <w:rPr>
                <w:sz w:val="14"/>
                <w:szCs w:val="14"/>
                <w:color w:val="auto"/>
              </w:rPr>
            </w:pPr>
          </w:p>
        </w:tc>
        <w:tc>
          <w:tcPr>
            <w:tcW w:w="108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300" w:type="dxa"/>
            <w:vAlign w:val="bottom"/>
            <w:tcBorders>
              <w:bottom w:val="single" w:sz="8" w:color="auto"/>
            </w:tcBorders>
            <w:vMerge w:val="continue"/>
            <w:shd w:val="clear" w:color="auto" w:fill="DBDBDB"/>
          </w:tcPr>
          <w:p>
            <w:pPr>
              <w:spacing w:after="0"/>
              <w:rPr>
                <w:sz w:val="14"/>
                <w:szCs w:val="14"/>
                <w:color w:val="auto"/>
              </w:rPr>
            </w:pPr>
          </w:p>
        </w:tc>
        <w:tc>
          <w:tcPr>
            <w:tcW w:w="1080" w:type="dxa"/>
            <w:vAlign w:val="bottom"/>
            <w:tcBorders>
              <w:bottom w:val="single" w:sz="8" w:color="auto"/>
            </w:tcBorders>
            <w:vMerge w:val="continue"/>
            <w:shd w:val="clear" w:color="auto" w:fill="DBDBDB"/>
          </w:tcPr>
          <w:p>
            <w:pPr>
              <w:spacing w:after="0"/>
              <w:rPr>
                <w:sz w:val="14"/>
                <w:szCs w:val="14"/>
                <w:color w:val="auto"/>
              </w:rPr>
            </w:pPr>
          </w:p>
        </w:tc>
        <w:tc>
          <w:tcPr>
            <w:tcW w:w="80" w:type="dxa"/>
            <w:vAlign w:val="bottom"/>
            <w:tcBorders>
              <w:bottom w:val="single" w:sz="8" w:color="DBDBDB"/>
            </w:tcBorders>
            <w:shd w:val="clear" w:color="auto" w:fill="DBDBDB"/>
          </w:tcPr>
          <w:p>
            <w:pPr>
              <w:spacing w:after="0"/>
              <w:rPr>
                <w:sz w:val="14"/>
                <w:szCs w:val="14"/>
                <w:color w:val="auto"/>
              </w:rPr>
            </w:pPr>
          </w:p>
        </w:tc>
        <w:tc>
          <w:tcPr>
            <w:tcW w:w="580" w:type="dxa"/>
            <w:vAlign w:val="bottom"/>
            <w:tcBorders>
              <w:bottom w:val="single" w:sz="8" w:color="auto"/>
            </w:tcBorders>
            <w:vMerge w:val="continue"/>
            <w:shd w:val="clear" w:color="auto" w:fill="DBDBDB"/>
          </w:tcPr>
          <w:p>
            <w:pPr>
              <w:spacing w:after="0"/>
              <w:rPr>
                <w:sz w:val="14"/>
                <w:szCs w:val="14"/>
                <w:color w:val="auto"/>
              </w:rPr>
            </w:pPr>
          </w:p>
        </w:tc>
        <w:tc>
          <w:tcPr>
            <w:tcW w:w="1100" w:type="dxa"/>
            <w:vAlign w:val="bottom"/>
            <w:tcBorders>
              <w:bottom w:val="single" w:sz="8" w:color="auto"/>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7774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76" w:lineRule="exact"/>
        <w:rPr>
          <w:sz w:val="20"/>
          <w:szCs w:val="20"/>
          <w:color w:val="auto"/>
        </w:rPr>
      </w:pPr>
    </w:p>
    <w:p>
      <w:pPr>
        <w:ind w:right="140" w:firstLine="8"/>
        <w:spacing w:after="0" w:line="241" w:lineRule="auto"/>
        <w:tabs>
          <w:tab w:leader="none" w:pos="154"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43" w:lineRule="exact"/>
        <w:rPr>
          <w:rFonts w:ascii="Arial" w:cs="Arial" w:eastAsia="Arial" w:hAnsi="Arial"/>
          <w:sz w:val="17"/>
          <w:szCs w:val="17"/>
          <w:color w:val="auto"/>
          <w:vertAlign w:val="superscript"/>
        </w:rPr>
      </w:pPr>
    </w:p>
    <w:p>
      <w:pPr>
        <w:ind w:right="100" w:firstLine="8"/>
        <w:spacing w:after="0" w:line="232" w:lineRule="auto"/>
        <w:tabs>
          <w:tab w:leader="none" w:pos="154"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Obligations are presented net of sublease income expected to be received for our vacated small-scale biologics manufacturing facility in Cambridge, MA, the vacated portion of our Weston, MA facility and other facilities throughout the world.</w:t>
      </w:r>
    </w:p>
    <w:p>
      <w:pPr>
        <w:spacing w:after="0" w:line="9"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Long-term debt obligations are related to our 2015 Senior Notes and our 2020 Senior Notes, including principal and interest payments.</w:t>
      </w:r>
    </w:p>
    <w:p>
      <w:pPr>
        <w:spacing w:after="0" w:line="43" w:lineRule="exact"/>
        <w:rPr>
          <w:rFonts w:ascii="Arial" w:cs="Arial" w:eastAsia="Arial" w:hAnsi="Arial"/>
          <w:sz w:val="18"/>
          <w:szCs w:val="18"/>
          <w:color w:val="auto"/>
          <w:vertAlign w:val="superscript"/>
        </w:rPr>
      </w:pPr>
    </w:p>
    <w:p>
      <w:pPr>
        <w:ind w:right="720" w:firstLine="8"/>
        <w:spacing w:after="0" w:line="232" w:lineRule="auto"/>
        <w:tabs>
          <w:tab w:leader="none" w:pos="154"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Purchase and other obligations include $633.0 million related to the remaining payments on a one-time mandatory deemed repatriation tax on accumulated foreign subsidiaries' previously untaxed foreign earnings (the Transition Toll Tax) and $10.8 million related to the fair value of net liabilities on derivative contracts.</w:t>
      </w:r>
    </w:p>
    <w:p>
      <w:pPr>
        <w:sectPr>
          <w:pgSz w:w="11900" w:h="16838" w:orient="portrait"/>
          <w:cols w:equalWidth="0" w:num="1">
            <w:col w:w="11240"/>
          </w:cols>
          <w:pgMar w:left="320" w:top="144"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TYSABRI</w:t>
      </w:r>
    </w:p>
    <w:p>
      <w:pPr>
        <w:spacing w:after="0" w:line="108"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25.0% on annual worldwide net sales of TYSABRI that exceed $2.0 billion. Royalty payments are recognized as cost of sales in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SPINRAZA</w:t>
      </w:r>
    </w:p>
    <w:p>
      <w:pPr>
        <w:spacing w:after="0" w:line="122" w:lineRule="exact"/>
        <w:rPr>
          <w:sz w:val="20"/>
          <w:szCs w:val="20"/>
          <w:color w:val="auto"/>
        </w:rPr>
      </w:pPr>
    </w:p>
    <w:p>
      <w:pPr>
        <w:ind w:right="140" w:firstLine="445"/>
        <w:spacing w:after="0" w:line="250" w:lineRule="auto"/>
        <w:rPr>
          <w:sz w:val="20"/>
          <w:szCs w:val="20"/>
          <w:color w:val="auto"/>
        </w:rPr>
      </w:pPr>
      <w:r>
        <w:rPr>
          <w:rFonts w:ascii="Arial" w:cs="Arial" w:eastAsia="Arial" w:hAnsi="Arial"/>
          <w:sz w:val="18"/>
          <w:szCs w:val="18"/>
          <w:color w:val="auto"/>
        </w:rPr>
        <w:t>We make royalty payments on annual worldwide net sales of SPINRAZA using a tiered royalty rate between 11.0% and</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15.0%, which are recognized as cost of sales in our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VUMERITY</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October 2019 the FDA approved VUMERITY for the treatment of RMS. During the fourth quarter of 2021 VUMERITY was approved for the treatment of RRMS in the E.U., Switzerland and the U.K. Under our agreement with Alkermes Pharma Ireland Limited, a subsidiary of Alkermes plc (Alkermes), we make royalty payments to Alkermes on worldwide net sales of VUMERITY using a royalty rate of 15.0%, which are recorded as cost of sales in our consolidated statements of income.</w:t>
      </w:r>
    </w:p>
    <w:p>
      <w:pPr>
        <w:spacing w:after="0" w:line="70"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October 2019 we entered into a new supply agreement and amended our license and collaboration agreement with Alkermes. We have elected to initiate a technology transfer and, following</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 xml:space="preserve">a transition period, to manufacture VUMERITY or have VUMERITY manufactured by a third-party we have engaged in exchange for paying an increased royalty rate to Alkermes on any portion of future worldwide net sales of VUMERITY that is manufactured by us or our designee. For additional information on our collaboration arrangement with Alkermes,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126" w:lineRule="exact"/>
        <w:rPr>
          <w:sz w:val="20"/>
          <w:szCs w:val="20"/>
          <w:color w:val="auto"/>
        </w:rPr>
      </w:pPr>
    </w:p>
    <w:p>
      <w:pPr>
        <w:ind w:right="420" w:firstLine="445"/>
        <w:spacing w:after="0" w:line="256" w:lineRule="auto"/>
        <w:rPr>
          <w:sz w:val="20"/>
          <w:szCs w:val="20"/>
          <w:color w:val="auto"/>
        </w:rPr>
      </w:pPr>
      <w:r>
        <w:rPr>
          <w:rFonts w:ascii="Arial" w:cs="Arial" w:eastAsia="Arial" w:hAnsi="Arial"/>
          <w:sz w:val="18"/>
          <w:szCs w:val="18"/>
          <w:color w:val="auto"/>
        </w:rPr>
        <w:t>In connection with our acquisition of Convergence Pharmaceuticals Ltd. we agreed to make additional payments based upon the achievement of certain milestone events.</w:t>
      </w:r>
    </w:p>
    <w:p>
      <w:pPr>
        <w:spacing w:after="0" w:line="148" w:lineRule="exact"/>
        <w:rPr>
          <w:sz w:val="20"/>
          <w:szCs w:val="20"/>
          <w:color w:val="auto"/>
        </w:rPr>
      </w:pPr>
    </w:p>
    <w:p>
      <w:pPr>
        <w:ind w:right="500" w:firstLine="445"/>
        <w:spacing w:after="0" w:line="253" w:lineRule="auto"/>
        <w:rPr>
          <w:sz w:val="20"/>
          <w:szCs w:val="20"/>
          <w:color w:val="auto"/>
        </w:rPr>
      </w:pPr>
      <w:r>
        <w:rPr>
          <w:rFonts w:ascii="Arial" w:cs="Arial" w:eastAsia="Arial" w:hAnsi="Arial"/>
          <w:sz w:val="18"/>
          <w:szCs w:val="18"/>
          <w:color w:val="auto"/>
        </w:rPr>
        <w:t>We recognized the contingent consideration liabilities associated with this acquisition at their fair value on the acquisition date and revalue these obligations each reporting period. We may pay up to approximately $400.0 million in remaining milestones related to this acquisition.</w:t>
      </w:r>
    </w:p>
    <w:p>
      <w:pPr>
        <w:spacing w:after="0" w:line="12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67"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Based on our development plans as of December 31, 2021, we could trigger potential future milestone payments to third-parties of up to approximately $10.0 billion, including approximately $2.0 billion in development milestones, approximately</w:t>
      </w:r>
    </w:p>
    <w:p>
      <w:pPr>
        <w:spacing w:after="0" w:line="484" w:lineRule="exact"/>
        <w:rPr>
          <w:sz w:val="20"/>
          <w:szCs w:val="20"/>
          <w:color w:val="auto"/>
        </w:rPr>
      </w:pPr>
    </w:p>
    <w:p>
      <w:pPr>
        <w:sectPr>
          <w:pgSz w:w="11900" w:h="16838" w:orient="portrait"/>
          <w:cols w:equalWidth="0" w:num="2">
            <w:col w:w="5220" w:space="680"/>
            <w:col w:w="5340"/>
          </w:cols>
          <w:pgMar w:left="320" w:top="144" w:right="339" w:bottom="1440" w:gutter="0" w:footer="0" w:header="0"/>
          <w:type w:val="continuous"/>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$900.0 million in regulatory milestones and approximately $7.1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2021,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02"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If certain clinical and commercial milestones are met, we may pay up to $133.9 million in milestones in 2022 under our current agreements. Additionally, if aducanumab receives regulatory approval in the jurisdictions where we have submitted filings, we may pay up to $100.0 million in additional milestones to Neurimmune, which includes $ 50.0 million if launched in three or more countries in the E.U. and $50.0 million if launched in Japan. Milestones payable to Neurimmune are shared expenses under the ADUHELM Collaboration Agreement.</w:t>
      </w:r>
    </w:p>
    <w:p>
      <w:pPr>
        <w:spacing w:after="0" w:line="10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9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19,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26"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As of December 31, 2021, we have several ongoing clinical studies in various clinical trial stages. Our most significant clinical trial expenditures are to CROs. The contracts with CROs are generally cancellable, with notice, at our option. We recorded accrued expense of approximately $27.3 million in our consolidated balance sheets for expenditures incurred by CROs as of December 31, 2021. We have approximately $676.1 million in cancellable future commitments based on existing CRO contracts as of December 31, 2021.</w:t>
      </w:r>
    </w:p>
    <w:p>
      <w:pPr>
        <w:spacing w:after="0" w:line="158"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As part of the sale of our Hillerød, Denmark manufacturing operations to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80" w:right="40"/>
        <w:spacing w:after="0" w:line="253" w:lineRule="auto"/>
        <w:rPr>
          <w:sz w:val="20"/>
          <w:szCs w:val="20"/>
          <w:color w:val="auto"/>
        </w:rPr>
      </w:pPr>
      <w:r>
        <w:rPr>
          <w:rFonts w:ascii="Arial" w:cs="Arial" w:eastAsia="Arial" w:hAnsi="Arial"/>
          <w:sz w:val="18"/>
          <w:szCs w:val="18"/>
          <w:color w:val="auto"/>
        </w:rPr>
        <w:t>estimate using a probability-weighted estimate of future manufacturing activity and may further adjust this estimate based upon changes in business conditions, which may result in the increase or reduction of this adverse commitment obligation in subsequent periods.</w:t>
      </w:r>
    </w:p>
    <w:p>
      <w:pPr>
        <w:spacing w:after="0" w:line="84" w:lineRule="exact"/>
        <w:rPr>
          <w:sz w:val="20"/>
          <w:szCs w:val="20"/>
          <w:color w:val="auto"/>
        </w:rPr>
      </w:pPr>
    </w:p>
    <w:p>
      <w:pPr>
        <w:ind w:left="380" w:right="80" w:firstLine="44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12" w:lineRule="exact"/>
        <w:rPr>
          <w:sz w:val="20"/>
          <w:szCs w:val="20"/>
          <w:color w:val="auto"/>
        </w:rPr>
      </w:pPr>
    </w:p>
    <w:p>
      <w:pPr>
        <w:ind w:left="380" w:right="80" w:firstLine="445"/>
        <w:spacing w:after="0" w:line="252"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2021, we have approximately $106.8 million of liabilities associated with uncertain tax positions.</w:t>
      </w:r>
    </w:p>
    <w:p>
      <w:pPr>
        <w:spacing w:after="0" w:line="154"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As of December 31, 2021 and 2020, we have accrued income tax liabilities of approximately $633.0 million and $697.0 million, respectively, under the Transition Toll Tax. Of the amounts accrued as of December 31, 2021, approximately $ 72.7 million is expected to be paid within one year. The Transition Toll Tax will be paid in installments over an eight--year period, which started in 2018, and will not accrue interest.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Other Off-Balance Sheet Arrangements</w:t>
      </w:r>
    </w:p>
    <w:p>
      <w:pPr>
        <w:spacing w:after="0" w:line="126" w:lineRule="exact"/>
        <w:rPr>
          <w:sz w:val="20"/>
          <w:szCs w:val="20"/>
          <w:color w:val="auto"/>
        </w:rPr>
      </w:pPr>
    </w:p>
    <w:p>
      <w:pPr>
        <w:ind w:left="380" w:right="120" w:firstLine="445"/>
        <w:spacing w:after="0" w:line="252"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New Accounting Standards</w:t>
      </w:r>
    </w:p>
    <w:p>
      <w:pPr>
        <w:spacing w:after="0" w:line="103" w:lineRule="exact"/>
        <w:rPr>
          <w:sz w:val="20"/>
          <w:szCs w:val="20"/>
          <w:color w:val="auto"/>
        </w:rPr>
      </w:pPr>
    </w:p>
    <w:p>
      <w:pPr>
        <w:ind w:left="380" w:right="120" w:firstLine="445"/>
        <w:spacing w:after="0" w:line="256"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 xml:space="preserve">Note 1, Summary of Significant Accounting Policies,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this report.</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Legal Matters</w:t>
      </w:r>
    </w:p>
    <w:p>
      <w:pPr>
        <w:spacing w:after="0" w:line="116" w:lineRule="exact"/>
        <w:rPr>
          <w:sz w:val="20"/>
          <w:szCs w:val="20"/>
          <w:color w:val="auto"/>
        </w:rPr>
      </w:pPr>
    </w:p>
    <w:p>
      <w:pPr>
        <w:ind w:left="380" w:right="60" w:firstLine="445"/>
        <w:spacing w:after="0" w:line="256" w:lineRule="auto"/>
        <w:rPr>
          <w:sz w:val="20"/>
          <w:szCs w:val="20"/>
          <w:color w:val="auto"/>
        </w:rPr>
      </w:pPr>
      <w:r>
        <w:rPr>
          <w:rFonts w:ascii="Arial" w:cs="Arial" w:eastAsia="Arial" w:hAnsi="Arial"/>
          <w:sz w:val="18"/>
          <w:szCs w:val="18"/>
          <w:color w:val="auto"/>
        </w:rPr>
        <w:t xml:space="preserve">For a discussion of legal matters as of December 31, 2021, please read </w:t>
      </w:r>
      <w:r>
        <w:rPr>
          <w:rFonts w:ascii="Arial" w:cs="Arial" w:eastAsia="Arial" w:hAnsi="Arial"/>
          <w:sz w:val="18"/>
          <w:szCs w:val="18"/>
          <w:i w:val="1"/>
          <w:iCs w:val="1"/>
          <w:color w:val="auto"/>
        </w:rPr>
        <w:t>Note 20, Litigation,</w:t>
      </w:r>
      <w:r>
        <w:rPr>
          <w:rFonts w:ascii="Arial" w:cs="Arial" w:eastAsia="Arial" w:hAnsi="Arial"/>
          <w:sz w:val="18"/>
          <w:szCs w:val="18"/>
          <w:color w:val="auto"/>
        </w:rPr>
        <w:t xml:space="preserve"> to our consolidated financial statements included in this report.</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Critical Accounting Policies and Estimates</w:t>
      </w:r>
    </w:p>
    <w:p>
      <w:pPr>
        <w:spacing w:after="0" w:line="116" w:lineRule="exact"/>
        <w:rPr>
          <w:sz w:val="20"/>
          <w:szCs w:val="20"/>
          <w:color w:val="auto"/>
        </w:rPr>
      </w:pPr>
    </w:p>
    <w:p>
      <w:pPr>
        <w:ind w:left="380" w:right="240" w:firstLine="445"/>
        <w:spacing w:after="0" w:line="261" w:lineRule="auto"/>
        <w:rPr>
          <w:sz w:val="20"/>
          <w:szCs w:val="20"/>
          <w:color w:val="auto"/>
        </w:rPr>
      </w:pPr>
      <w:r>
        <w:rPr>
          <w:rFonts w:ascii="Arial" w:cs="Arial" w:eastAsia="Arial" w:hAnsi="Arial"/>
          <w:sz w:val="18"/>
          <w:szCs w:val="18"/>
          <w:color w:val="auto"/>
        </w:rPr>
        <w:t>The preparation of our consolidated financial statements, which have been prepared in accordance</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with accounting principles generally accepted in the</w:t>
      </w:r>
    </w:p>
    <w:p>
      <w:pPr>
        <w:spacing w:after="0" w:line="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U.S.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 Other significant accounting policies are outlined in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Revenue Recognition</w:t>
      </w:r>
    </w:p>
    <w:p>
      <w:pPr>
        <w:spacing w:after="0" w:line="139" w:lineRule="exact"/>
        <w:rPr>
          <w:sz w:val="20"/>
          <w:szCs w:val="20"/>
          <w:color w:val="auto"/>
        </w:rPr>
      </w:pPr>
    </w:p>
    <w:p>
      <w:pPr>
        <w:ind w:right="20" w:firstLine="445"/>
        <w:spacing w:after="0" w:line="265" w:lineRule="auto"/>
        <w:rPr>
          <w:sz w:val="20"/>
          <w:szCs w:val="20"/>
          <w:color w:val="auto"/>
        </w:rPr>
      </w:pPr>
      <w:r>
        <w:rPr>
          <w:rFonts w:ascii="Arial" w:cs="Arial" w:eastAsia="Arial" w:hAnsi="Arial"/>
          <w:sz w:val="17"/>
          <w:szCs w:val="17"/>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Financial Accounting Standards Board (FASB) Accounting Standards Codification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(i) identify contract(s) with a customer;</w:t>
      </w:r>
    </w:p>
    <w:p>
      <w:pPr>
        <w:spacing w:after="0" w:line="1" w:lineRule="exact"/>
        <w:rPr>
          <w:sz w:val="20"/>
          <w:szCs w:val="20"/>
          <w:color w:val="auto"/>
        </w:rPr>
      </w:pPr>
    </w:p>
    <w:p>
      <w:pPr>
        <w:ind w:right="60" w:firstLine="8"/>
        <w:spacing w:after="0" w:line="273" w:lineRule="auto"/>
        <w:tabs>
          <w:tab w:leader="none" w:pos="25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Revenue</w:t>
      </w:r>
    </w:p>
    <w:p>
      <w:pPr>
        <w:spacing w:after="0" w:line="13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the U.S., we sell our products primarily to wholesale distributors and specialty pharmacy providers.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10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538235"/>
        </w:rPr>
        <w:t>Reserves for Discounts and Allowances</w:t>
      </w:r>
    </w:p>
    <w:p>
      <w:pPr>
        <w:spacing w:after="0" w:line="135" w:lineRule="exact"/>
        <w:rPr>
          <w:sz w:val="20"/>
          <w:szCs w:val="20"/>
          <w:color w:val="auto"/>
        </w:rPr>
      </w:pPr>
    </w:p>
    <w:p>
      <w:pPr>
        <w:ind w:left="380" w:right="40" w:firstLine="445"/>
        <w:spacing w:after="0" w:line="252"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 Our process for estimating reserve established for these variable consideration components do not differ materially fro our historical practices.</w:t>
      </w:r>
    </w:p>
    <w:p>
      <w:pPr>
        <w:spacing w:after="0" w:line="97" w:lineRule="exact"/>
        <w:rPr>
          <w:sz w:val="20"/>
          <w:szCs w:val="20"/>
          <w:color w:val="auto"/>
        </w:rPr>
      </w:pPr>
    </w:p>
    <w:p>
      <w:pPr>
        <w:ind w:left="380" w:right="180" w:firstLine="445"/>
        <w:spacing w:after="0" w:line="254" w:lineRule="auto"/>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 discounts, contractual adjustments and returns.</w:t>
      </w:r>
    </w:p>
    <w:p>
      <w:pPr>
        <w:spacing w:after="0" w:line="96"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99" w:lineRule="exact"/>
        <w:rPr>
          <w:sz w:val="20"/>
          <w:szCs w:val="20"/>
          <w:color w:val="auto"/>
        </w:rPr>
      </w:pPr>
    </w:p>
    <w:p>
      <w:pPr>
        <w:ind w:left="380" w:firstLine="405"/>
        <w:spacing w:after="0" w:line="278" w:lineRule="auto"/>
        <w:rPr>
          <w:sz w:val="20"/>
          <w:szCs w:val="20"/>
          <w:color w:val="auto"/>
        </w:rPr>
      </w:pPr>
      <w:r>
        <w:rPr>
          <w:rFonts w:ascii="Arial" w:cs="Arial" w:eastAsia="Arial" w:hAnsi="Arial"/>
          <w:sz w:val="17"/>
          <w:szCs w:val="17"/>
          <w:color w:val="auto"/>
        </w:rPr>
        <w:t>As of December 31, 2021, a 10.0% change in our discounts, contractual adjustments and reserves would have resulted in a decrease of our pre-tax earnings by approximately $359.7 million.</w:t>
      </w:r>
    </w:p>
    <w:p>
      <w:pPr>
        <w:spacing w:after="0" w:line="77"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080"/>
          </w:cols>
          <w:pgMar w:left="320" w:top="14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445"/>
        <w:spacing w:after="0" w:line="266" w:lineRule="auto"/>
        <w:rPr>
          <w:sz w:val="20"/>
          <w:szCs w:val="20"/>
          <w:color w:val="auto"/>
        </w:rPr>
      </w:pPr>
      <w:r>
        <w:rPr>
          <w:rFonts w:ascii="Arial" w:cs="Arial" w:eastAsia="Arial" w:hAnsi="Arial"/>
          <w:sz w:val="18"/>
          <w:szCs w:val="18"/>
          <w:color w:val="auto"/>
        </w:rPr>
        <w:t xml:space="preserve">For additional information on our revenue,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4, Revenue</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report.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Inventory</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The determination of obsolete or excess inventory, requires management to make estimates based on assumptions about the future demand of our products, product expiration dates, estimated future sales and our general future plans. If customer demand subsequently differs from our forecasts, requirements for inventory write-offs that differ from our estimates may become necessary.</w:t>
      </w:r>
    </w:p>
    <w:p>
      <w:pPr>
        <w:spacing w:after="0" w:line="10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During the fourth quarter of 2021 we wrote-off approximately $120.0 million of inventory in excess of forecasted demand related to ADUHELM. As of December 31, 2021, we had approximately $223.0 million of inventory related to ADUHELM. We may record additional write-downs of ADUHELM inventory if the final NCD is not broader than the proposed NCD.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Acquired Intangible Assets, including IPR&amp;D</w:t>
      </w:r>
    </w:p>
    <w:p>
      <w:pPr>
        <w:spacing w:after="0" w:line="13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research and development expense as they are incurred.</w:t>
      </w:r>
    </w:p>
    <w:p>
      <w:pPr>
        <w:spacing w:after="0" w:line="103"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IPR&amp;D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60"/>
        <w:spacing w:after="0" w:line="291" w:lineRule="auto"/>
        <w:rPr>
          <w:sz w:val="20"/>
          <w:szCs w:val="20"/>
          <w:color w:val="auto"/>
        </w:rPr>
      </w:pPr>
      <w:r>
        <w:rPr>
          <w:rFonts w:ascii="Arial" w:cs="Arial" w:eastAsia="Arial" w:hAnsi="Arial"/>
          <w:sz w:val="17"/>
          <w:szCs w:val="17"/>
          <w:color w:val="auto"/>
        </w:rPr>
        <w:t>these valuations, and these models require the use of significant estimates and assumptions including but not limited to:</w:t>
      </w:r>
    </w:p>
    <w:p>
      <w:pPr>
        <w:spacing w:after="0" w:line="66" w:lineRule="exact"/>
        <w:rPr>
          <w:sz w:val="20"/>
          <w:szCs w:val="20"/>
          <w:color w:val="auto"/>
        </w:rPr>
      </w:pPr>
    </w:p>
    <w:p>
      <w:pPr>
        <w:ind w:left="800" w:right="80" w:hanging="334"/>
        <w:spacing w:after="0" w:line="261" w:lineRule="auto"/>
        <w:tabs>
          <w:tab w:leader="none" w:pos="7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89" w:lineRule="exact"/>
        <w:rPr>
          <w:rFonts w:ascii="Arial" w:cs="Arial" w:eastAsia="Arial" w:hAnsi="Arial"/>
          <w:sz w:val="18"/>
          <w:szCs w:val="18"/>
          <w:color w:val="auto"/>
        </w:rPr>
      </w:pPr>
    </w:p>
    <w:p>
      <w:pPr>
        <w:ind w:left="740" w:hanging="274"/>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800" w:right="20" w:hanging="334"/>
        <w:spacing w:after="0" w:line="261" w:lineRule="auto"/>
        <w:tabs>
          <w:tab w:leader="none" w:pos="7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estimating future cash flow from product sales resulting from completed products and in process projects; and</w:t>
      </w:r>
    </w:p>
    <w:p>
      <w:pPr>
        <w:spacing w:after="0" w:line="89" w:lineRule="exact"/>
        <w:rPr>
          <w:rFonts w:ascii="Arial" w:cs="Arial" w:eastAsia="Arial" w:hAnsi="Arial"/>
          <w:sz w:val="18"/>
          <w:szCs w:val="18"/>
          <w:color w:val="auto"/>
        </w:rPr>
      </w:pPr>
    </w:p>
    <w:p>
      <w:pPr>
        <w:ind w:left="800" w:right="140" w:hanging="334"/>
        <w:spacing w:after="0" w:line="261" w:lineRule="auto"/>
        <w:tabs>
          <w:tab w:leader="none" w:pos="7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90" w:lineRule="exact"/>
        <w:rPr>
          <w:sz w:val="20"/>
          <w:szCs w:val="20"/>
          <w:color w:val="auto"/>
        </w:rPr>
      </w:pPr>
    </w:p>
    <w:p>
      <w:pPr>
        <w:ind w:left="380" w:right="20" w:firstLine="445"/>
        <w:spacing w:after="0" w:line="254"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96"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No assurance can be given that the underlying assumptions used to estimate expected project sales, development costs or profitability, or the events associated with such projects, will transpire as estimated.</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573BA"/>
        </w:rPr>
        <w:t>Impairment and Amortization of Long-lived Assets</w:t>
      </w:r>
    </w:p>
    <w:p>
      <w:pPr>
        <w:spacing w:after="0" w:line="139" w:lineRule="exact"/>
        <w:rPr>
          <w:sz w:val="20"/>
          <w:szCs w:val="20"/>
          <w:color w:val="auto"/>
        </w:rPr>
      </w:pPr>
    </w:p>
    <w:p>
      <w:pPr>
        <w:ind w:left="380" w:right="160" w:firstLine="445"/>
        <w:spacing w:after="0" w:line="251" w:lineRule="auto"/>
        <w:rPr>
          <w:sz w:val="20"/>
          <w:szCs w:val="20"/>
          <w:color w:val="auto"/>
        </w:rPr>
      </w:pPr>
      <w:r>
        <w:rPr>
          <w:rFonts w:ascii="Arial" w:cs="Arial" w:eastAsia="Arial" w:hAnsi="Arial"/>
          <w:sz w:val="18"/>
          <w:szCs w:val="18"/>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104"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 xml:space="preserve">When performing our impairment assessment, we calculate the fair value using the same methodology as described above under </w:t>
      </w:r>
      <w:r>
        <w:rPr>
          <w:rFonts w:ascii="Arial" w:cs="Arial" w:eastAsia="Arial" w:hAnsi="Arial"/>
          <w:sz w:val="18"/>
          <w:szCs w:val="18"/>
          <w:i w:val="1"/>
          <w:iCs w:val="1"/>
          <w:color w:val="auto"/>
        </w:rPr>
        <w:t>Acquired Intangible Assets, including IPR&amp;D</w:t>
      </w:r>
      <w:r>
        <w:rPr>
          <w:rFonts w:ascii="Arial" w:cs="Arial" w:eastAsia="Arial" w:hAnsi="Arial"/>
          <w:sz w:val="18"/>
          <w:szCs w:val="18"/>
          <w:color w:val="auto"/>
        </w:rPr>
        <w:t>. If the carrying value of our acquired IPR&amp;D exceeds its fair value, then the intangible asset is written down to its fair value. Changes in estimates and assumptions used in determining the fair value of our acquired IPR&amp;D could result in an impairment. Impairments are recorded within amortization and impairment of acquired intangible assets in our consolidated statements of income.</w:t>
      </w:r>
    </w:p>
    <w:p>
      <w:pPr>
        <w:spacing w:after="0" w:line="104"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Based on our most recent impairment assessment we incurred impairment charges of approximately $629.3 million for the year ended December 31, 2021, mainly related to the discontinuation of IPR&amp;D programs. For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60"/>
          </w:cols>
          <w:pgMar w:left="320" w:top="144" w:right="49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00"/>
          </w:cols>
          <w:pgMar w:left="320" w:top="14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information on our impairments, </w:t>
      </w:r>
      <w:r>
        <w:rPr>
          <w:rFonts w:ascii="Arial" w:cs="Arial" w:eastAsia="Arial" w:hAnsi="Arial"/>
          <w:sz w:val="18"/>
          <w:szCs w:val="18"/>
          <w:i w:val="1"/>
          <w:iCs w:val="1"/>
          <w:color w:val="auto"/>
        </w:rPr>
        <w:t>Note 6,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consolidated financial statements included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140"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Our most significant intangible assets are our acquired and in-licensed rights and patents. Acquired and in-licensed rights and patents primarily relate to our acquisition of all remaining rights to TYSABRI from Elan. We amortize the intangible assets related to our TYSABRI, AVONEX, SPINRAZA, VUMERITY and TECFIDERA (rest of world) products using the economic consumption method based on revenue generated from the products underlying the related intangible assets. An analysis of the anticipated lifetime revenue of our TYSABRI, AVONEX, SPINRAZA, VUMERITY and TECFIDERA (rest of world) products is performed annually during our long-range planning cycle and whenever events or changes in circumstances would significantly affect the anticipated lifetime revenue of our TYSABRI, AVONEX, SPINRAZA, VUMERITY and TECFIDERA (rest of world) products.</w:t>
      </w:r>
    </w:p>
    <w:p>
      <w:pPr>
        <w:spacing w:after="0" w:line="155" w:lineRule="exact"/>
        <w:rPr>
          <w:sz w:val="20"/>
          <w:szCs w:val="20"/>
          <w:color w:val="auto"/>
        </w:rPr>
      </w:pPr>
    </w:p>
    <w:p>
      <w:pPr>
        <w:ind w:right="400" w:firstLine="445"/>
        <w:spacing w:after="0" w:line="273" w:lineRule="auto"/>
        <w:rPr>
          <w:sz w:val="20"/>
          <w:szCs w:val="20"/>
          <w:color w:val="auto"/>
        </w:rPr>
      </w:pPr>
      <w:r>
        <w:rPr>
          <w:rFonts w:ascii="Arial" w:cs="Arial" w:eastAsia="Arial" w:hAnsi="Arial"/>
          <w:sz w:val="17"/>
          <w:szCs w:val="17"/>
          <w:color w:val="auto"/>
        </w:rPr>
        <w:t xml:space="preserve">For additional information on the impairment charges related to our long-lived assets during 2021, 2020 and 2019, please read </w:t>
      </w:r>
      <w:r>
        <w:rPr>
          <w:rFonts w:ascii="Arial" w:cs="Arial" w:eastAsia="Arial" w:hAnsi="Arial"/>
          <w:sz w:val="17"/>
          <w:szCs w:val="17"/>
          <w:i w:val="1"/>
          <w:iCs w:val="1"/>
          <w:color w:val="auto"/>
        </w:rPr>
        <w:t>Note 6, Intangible Assets and Goodwill,</w:t>
      </w:r>
      <w:r>
        <w:rPr>
          <w:rFonts w:ascii="Arial" w:cs="Arial" w:eastAsia="Arial" w:hAnsi="Arial"/>
          <w:sz w:val="17"/>
          <w:szCs w:val="17"/>
          <w:color w:val="auto"/>
        </w:rPr>
        <w:t xml:space="preserve"> to our consolidated financial statements included in this report.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w:t>
      </w:r>
    </w:p>
    <w:p>
      <w:pPr>
        <w:spacing w:after="0" w:line="126"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Each reporting period thereafter, we revalue the remaining obligations and record increases or decreases in their fair value as an adjustment to contingent consideration expense in our consolidated statements of income. Changes in the fair value of our contingent consideration obligations can result from changes to one or multiple inputs, including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0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Income Taxes</w:t>
      </w:r>
    </w:p>
    <w:p>
      <w:pPr>
        <w:spacing w:after="0" w:line="139"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We prepare and file income tax returns based on our interpretation of each jurisdiction’s tax laws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40"/>
        <w:spacing w:after="0" w:line="251" w:lineRule="auto"/>
        <w:rPr>
          <w:sz w:val="20"/>
          <w:szCs w:val="20"/>
          <w:color w:val="auto"/>
        </w:rPr>
      </w:pPr>
      <w:r>
        <w:rPr>
          <w:rFonts w:ascii="Arial" w:cs="Arial" w:eastAsia="Arial" w:hAnsi="Arial"/>
          <w:sz w:val="18"/>
          <w:szCs w:val="18"/>
          <w:color w:val="auto"/>
        </w:rPr>
        <w:t>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Upon our election in the fourth quarter of 2018 to record deferred taxes for global intangible low-taxed income (GILTI), we have included amounts related to GILTI taxes within temporary difference.</w:t>
      </w:r>
    </w:p>
    <w:p>
      <w:pPr>
        <w:spacing w:after="0" w:line="103"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101" w:lineRule="exact"/>
        <w:rPr>
          <w:sz w:val="20"/>
          <w:szCs w:val="20"/>
          <w:color w:val="auto"/>
        </w:rPr>
      </w:pPr>
    </w:p>
    <w:p>
      <w:pPr>
        <w:ind w:left="380" w:firstLine="445"/>
        <w:spacing w:after="0" w:line="250"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 likely than 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580"/>
          </w:cols>
          <w:pgMar w:left="320" w:top="144" w:right="47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position. We also accrue for potential interest and penalties related to unrecognized tax benefits in income tax expense.</w:t>
      </w:r>
    </w:p>
    <w:p>
      <w:pPr>
        <w:spacing w:after="0" w:line="196" w:lineRule="exact"/>
        <w:rPr>
          <w:sz w:val="20"/>
          <w:szCs w:val="20"/>
          <w:color w:val="auto"/>
        </w:rPr>
      </w:pPr>
    </w:p>
    <w:p>
      <w:pPr>
        <w:ind w:right="260"/>
        <w:spacing w:after="0" w:line="274" w:lineRule="auto"/>
        <w:rPr>
          <w:sz w:val="20"/>
          <w:szCs w:val="20"/>
          <w:color w:val="auto"/>
        </w:rPr>
      </w:pPr>
      <w:r>
        <w:rPr>
          <w:rFonts w:ascii="Arial" w:cs="Arial" w:eastAsia="Arial" w:hAnsi="Arial"/>
          <w:sz w:val="22"/>
          <w:szCs w:val="22"/>
          <w:b w:val="1"/>
          <w:bCs w:val="1"/>
          <w:color w:val="1C5A7D"/>
        </w:rPr>
        <w:t>ITEM 7A. QUANTITATIVE AND QUALITATIVE DISCLOSURES ABOUT MARKET RISK</w:t>
      </w:r>
    </w:p>
    <w:p>
      <w:pPr>
        <w:spacing w:after="0" w:line="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COVID-19 pandemic.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Foreign Currency Exchange Risk</w:t>
      </w:r>
    </w:p>
    <w:p>
      <w:pPr>
        <w:spacing w:after="0" w:line="12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Japanese yen and South Korean won.</w:t>
      </w:r>
    </w:p>
    <w:p>
      <w:pPr>
        <w:spacing w:after="0" w:line="15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15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flows and changes in fair value caused by volatility in foreign currency exchange 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December 31, 2021, and is not expected to have a material impact on our results of operations or financial position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Revenue and Operating Expense Hedging Program</w:t>
      </w:r>
    </w:p>
    <w:p>
      <w:pPr>
        <w:spacing w:after="0" w:line="122" w:lineRule="exact"/>
        <w:rPr>
          <w:sz w:val="20"/>
          <w:szCs w:val="20"/>
          <w:color w:val="auto"/>
        </w:rPr>
      </w:pPr>
    </w:p>
    <w:p>
      <w:pPr>
        <w:ind w:right="40" w:firstLine="445"/>
        <w:spacing w:after="0" w:line="267" w:lineRule="auto"/>
        <w:rPr>
          <w:sz w:val="20"/>
          <w:szCs w:val="20"/>
          <w:color w:val="auto"/>
        </w:rPr>
      </w:pPr>
      <w:r>
        <w:rPr>
          <w:rFonts w:ascii="Arial" w:cs="Arial" w:eastAsia="Arial" w:hAnsi="Arial"/>
          <w:sz w:val="17"/>
          <w:szCs w:val="17"/>
          <w:color w:val="auto"/>
        </w:rPr>
        <w:t xml:space="preserve">Our foreign currency hedging program is designed to mitigate, over time, a portion of the impact resulting from volatility in exchange rate changes on revenue and operating expense. We use foreign currency forward contracts to manage foreign currency risk, with the majority of our forward contracts used to hedge certain forecasted revenue and operating expense transactions denominated in foreign currencies in the next 15 months. We do not engage in currency speculation. For a more detailed disclosure of our revenue and operating expense hedging program, please read </w:t>
      </w:r>
      <w:r>
        <w:rPr>
          <w:rFonts w:ascii="Arial" w:cs="Arial" w:eastAsia="Arial" w:hAnsi="Arial"/>
          <w:sz w:val="17"/>
          <w:szCs w:val="17"/>
          <w:i w:val="1"/>
          <w:iCs w:val="1"/>
          <w:color w:val="auto"/>
        </w:rPr>
        <w:t>Note 9, Derivative Instruments,</w:t>
      </w:r>
      <w:r>
        <w:rPr>
          <w:rFonts w:ascii="Arial" w:cs="Arial" w:eastAsia="Arial" w:hAnsi="Arial"/>
          <w:sz w:val="17"/>
          <w:szCs w:val="17"/>
          <w:color w:val="auto"/>
        </w:rPr>
        <w:t xml:space="preserve"> to our consolidated financial statements included in this report.</w:t>
      </w:r>
    </w:p>
    <w:p>
      <w:pPr>
        <w:spacing w:after="0" w:line="146"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consolidated statements of cash flow.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Balance Sheet Risk Management Hedging Program</w:t>
      </w:r>
    </w:p>
    <w:p>
      <w:pPr>
        <w:spacing w:after="0" w:line="108"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consolidated statements of cash flow.</w:t>
      </w:r>
    </w:p>
    <w:p>
      <w:pPr>
        <w:spacing w:after="0" w:line="15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December 31, 2021 and 2020, a hypothetical adverse 10.0% movement in foreign currency exchange rates compared to the U.S. dollar across all maturities</w:t>
      </w:r>
    </w:p>
    <w:p>
      <w:pPr>
        <w:spacing w:after="0" w:line="200" w:lineRule="exact"/>
        <w:rPr>
          <w:sz w:val="20"/>
          <w:szCs w:val="20"/>
          <w:color w:val="auto"/>
        </w:rPr>
      </w:pPr>
    </w:p>
    <w:p>
      <w:pPr>
        <w:sectPr>
          <w:pgSz w:w="11900" w:h="16838" w:orient="portrait"/>
          <w:cols w:equalWidth="0" w:num="2">
            <w:col w:w="5220" w:space="680"/>
            <w:col w:w="5220"/>
          </w:cols>
          <w:pgMar w:left="320" w:top="144" w:right="459" w:bottom="1440" w:gutter="0" w:footer="0" w:header="0"/>
          <w:type w:val="continuous"/>
        </w:sect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would result in a hypothetical decrease in the fair value of forward contracts of approximately $333.1 million and $458.2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Net Investment Hedge Program</w:t>
      </w:r>
    </w:p>
    <w:p>
      <w:pPr>
        <w:spacing w:after="0" w:line="122"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Our net investment hedging program is designed to mitigate currency fluctuations between the U.S. dollar and the South Korean won as a result of our approximately 49.9% ownership interest in Samsung Bioepis. We entered into foreign currency forward contracts to hedge changes in the spot rate over the next 10 months. As of December 31, 2021 and 2020, a hypothetical adverse 10.0% movement would result in a hypothetical decrease in fair value of approximately $58.7 million and</w:t>
      </w:r>
    </w:p>
    <w:p>
      <w:pPr>
        <w:spacing w:after="0" w:line="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$56.9 million, respectively. The estimated fair value was determined by measuring the impact of the hypothetical spot rate movement on outstanding forward contracts. We plan to unwind our foreign currency forward contracts in conjunction with the closing of our proposed sale of our ownership interest in Samsung Bioepis to Samsung Biologics. Closing of the transaction is currently anticipated in mid-2022, contingent on the effectiveness of a securities registration statement filed by Samsung Biologics and satisfaction of certain regulatory and other customary closing conditions.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Interest Rate Risk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portfolio includes cash equivalents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The fair value of our marketable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is subject to change as a result of potential changes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interest rates. The potential change in fair value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sensitive instruments has been assessed on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hypothetical 100 basis point adverse movement across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maturities. As of December 31, 2021 and 2020, we estimate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such hypothetical 100 basis point adverse movement would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in a hypothetical loss in fair value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$14.3 million and $13.2 million, respectively, to our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sensitive instruments. The fair values of our investments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determined using third-party pricing services or other market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observable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Credit Risk</w:t>
      </w:r>
    </w:p>
    <w:p>
      <w:pPr>
        <w:spacing w:after="0" w:line="126"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57"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We operate in certain countries where weakness in economic conditions, including as a result of the COVID-19 pandemic,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54"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We believe that our allowance for doubtful accounts was adequate as of December 31,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Equity Price Risk</w:t>
      </w:r>
    </w:p>
    <w:p>
      <w:pPr>
        <w:spacing w:after="0" w:line="126" w:lineRule="exact"/>
        <w:rPr>
          <w:sz w:val="20"/>
          <w:szCs w:val="20"/>
          <w:color w:val="auto"/>
        </w:rPr>
      </w:pPr>
    </w:p>
    <w:p>
      <w:pPr>
        <w:ind w:firstLine="405"/>
        <w:spacing w:after="0" w:line="237" w:lineRule="auto"/>
        <w:rPr>
          <w:sz w:val="20"/>
          <w:szCs w:val="20"/>
          <w:color w:val="auto"/>
        </w:rPr>
      </w:pPr>
      <w:r>
        <w:rPr>
          <w:rFonts w:ascii="Arial" w:cs="Arial" w:eastAsia="Arial" w:hAnsi="Arial"/>
          <w:sz w:val="18"/>
          <w:szCs w:val="18"/>
          <w:color w:val="auto"/>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spacing w:after="0" w:line="95" w:lineRule="exact"/>
        <w:rPr>
          <w:sz w:val="20"/>
          <w:szCs w:val="20"/>
          <w:color w:val="auto"/>
        </w:rPr>
      </w:pPr>
    </w:p>
    <w:p>
      <w:pPr>
        <w:ind w:right="60" w:firstLine="405"/>
        <w:spacing w:after="0" w:line="236" w:lineRule="auto"/>
        <w:rPr>
          <w:sz w:val="20"/>
          <w:szCs w:val="20"/>
          <w:color w:val="auto"/>
        </w:rPr>
      </w:pPr>
      <w:r>
        <w:rPr>
          <w:rFonts w:ascii="Arial" w:cs="Arial" w:eastAsia="Arial" w:hAnsi="Arial"/>
          <w:sz w:val="18"/>
          <w:szCs w:val="18"/>
          <w:color w:val="auto"/>
        </w:rPr>
        <w:t>Changes in the fair value of these equity securities are impacted by the volatility of the stock market and changes in general economic conditions, among other factors. The potential change in fair value for equity price sensitive instruments has been assessed on a hypothetical 10.0% adverse movement. As of December 31, 2021 and 2020, a hypothetical adverse 10.0% movement would result in a hypothetical decrease in fair value of approximately $104.8 million and $188.8 million, respectively.</w:t>
      </w:r>
    </w:p>
    <w:p>
      <w:pPr>
        <w:spacing w:after="0" w:line="230" w:lineRule="exact"/>
        <w:rPr>
          <w:sz w:val="20"/>
          <w:szCs w:val="20"/>
          <w:color w:val="auto"/>
        </w:rPr>
      </w:pPr>
    </w:p>
    <w:p>
      <w:pPr>
        <w:ind w:right="800"/>
        <w:spacing w:after="0" w:line="274" w:lineRule="auto"/>
        <w:rPr>
          <w:sz w:val="20"/>
          <w:szCs w:val="20"/>
          <w:color w:val="auto"/>
        </w:rPr>
      </w:pPr>
      <w:r>
        <w:rPr>
          <w:rFonts w:ascii="Arial" w:cs="Arial" w:eastAsia="Arial" w:hAnsi="Arial"/>
          <w:sz w:val="22"/>
          <w:szCs w:val="22"/>
          <w:b w:val="1"/>
          <w:bCs w:val="1"/>
          <w:color w:val="1C5A7D"/>
        </w:rPr>
        <w:t>ITEM 8. FINANCIAL STATEMENTS AND SUPPLEMENTARY DATA</w:t>
      </w:r>
    </w:p>
    <w:p>
      <w:pPr>
        <w:spacing w:after="0" w:line="35"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information required by this Item 8 is contained on pages F-1 through F-78 of this report and is incorporated herein by reference.</w:t>
      </w:r>
    </w:p>
    <w:p>
      <w:pPr>
        <w:spacing w:after="0" w:line="1723" w:lineRule="exact"/>
        <w:rPr>
          <w:sz w:val="20"/>
          <w:szCs w:val="20"/>
          <w:color w:val="auto"/>
        </w:rPr>
      </w:pPr>
    </w:p>
    <w:p>
      <w:pPr>
        <w:sectPr>
          <w:pgSz w:w="11900" w:h="16838" w:orient="portrait"/>
          <w:cols w:equalWidth="0" w:num="2">
            <w:col w:w="5220" w:space="680"/>
            <w:col w:w="5220"/>
          </w:cols>
          <w:pgMar w:left="320" w:top="144" w:right="459" w:bottom="1440" w:gutter="0" w:footer="0" w:header="0"/>
          <w:type w:val="continuous"/>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120"/>
          </w:cols>
          <w:pgMar w:left="320" w:top="14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40"/>
        <w:spacing w:after="0" w:line="258" w:lineRule="auto"/>
        <w:rPr>
          <w:sz w:val="20"/>
          <w:szCs w:val="20"/>
          <w:color w:val="auto"/>
        </w:rPr>
      </w:pPr>
      <w:r>
        <w:rPr>
          <w:rFonts w:ascii="Arial" w:cs="Arial" w:eastAsia="Arial" w:hAnsi="Arial"/>
          <w:sz w:val="22"/>
          <w:szCs w:val="22"/>
          <w:b w:val="1"/>
          <w:bCs w:val="1"/>
          <w:color w:val="1C5A7D"/>
        </w:rPr>
        <w:t>ITEM 9. CHANGES IN AND DISAGREEMENTS WITH ACCOUNTANTS ON ACCOUNTING AND FINANCIAL DISCLOSURE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1C5A7D"/>
        </w:rPr>
        <w:t>ITEM 9A.</w:t>
      </w:r>
      <w:r>
        <w:rPr>
          <w:sz w:val="20"/>
          <w:szCs w:val="20"/>
          <w:color w:val="auto"/>
        </w:rPr>
        <w:tab/>
      </w:r>
      <w:r>
        <w:rPr>
          <w:rFonts w:ascii="Arial" w:cs="Arial" w:eastAsia="Arial" w:hAnsi="Arial"/>
          <w:sz w:val="21"/>
          <w:szCs w:val="21"/>
          <w:b w:val="1"/>
          <w:bCs w:val="1"/>
          <w:color w:val="1C5A7D"/>
        </w:rPr>
        <w:t>CONTROLS AND PROCEDURES</w:t>
      </w:r>
    </w:p>
    <w:p>
      <w:pPr>
        <w:spacing w:after="0" w:line="98" w:lineRule="exact"/>
        <w:rPr>
          <w:sz w:val="20"/>
          <w:szCs w:val="20"/>
          <w:color w:val="auto"/>
        </w:rPr>
      </w:pPr>
    </w:p>
    <w:p>
      <w:pPr>
        <w:ind w:right="180"/>
        <w:spacing w:after="0" w:line="274" w:lineRule="auto"/>
        <w:rPr>
          <w:sz w:val="20"/>
          <w:szCs w:val="20"/>
          <w:color w:val="auto"/>
        </w:rPr>
      </w:pPr>
      <w:r>
        <w:rPr>
          <w:rFonts w:ascii="Arial" w:cs="Arial" w:eastAsia="Arial" w:hAnsi="Arial"/>
          <w:sz w:val="22"/>
          <w:szCs w:val="22"/>
          <w:b w:val="1"/>
          <w:bCs w:val="1"/>
          <w:color w:val="578196"/>
        </w:rPr>
        <w:t>Disclosure Controls and Procedures and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Controls and Procedures</w:t>
      </w:r>
    </w:p>
    <w:p>
      <w:pPr>
        <w:spacing w:after="0" w:line="11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2021. Based upon that evaluation, our principal executive officer and principal financial officer concluded that, as of the end of the period covered by this report, our disclosure controls and procedures are effective in ensuring that:</w:t>
      </w:r>
    </w:p>
    <w:p>
      <w:pPr>
        <w:spacing w:after="0" w:line="90" w:lineRule="exact"/>
        <w:rPr>
          <w:sz w:val="20"/>
          <w:szCs w:val="20"/>
          <w:color w:val="auto"/>
        </w:rPr>
      </w:pPr>
    </w:p>
    <w:p>
      <w:pPr>
        <w:ind w:left="660" w:right="60" w:hanging="247"/>
        <w:spacing w:after="0" w:line="252"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86" w:lineRule="exact"/>
        <w:rPr>
          <w:rFonts w:ascii="Arial" w:cs="Arial" w:eastAsia="Arial" w:hAnsi="Arial"/>
          <w:sz w:val="18"/>
          <w:szCs w:val="18"/>
          <w:color w:val="auto"/>
        </w:rPr>
      </w:pPr>
    </w:p>
    <w:p>
      <w:pPr>
        <w:ind w:left="660" w:right="20" w:hanging="247"/>
        <w:spacing w:after="0" w:line="254"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69"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Changes in Internal Control over Financial Reporting</w:t>
      </w:r>
    </w:p>
    <w:p>
      <w:pPr>
        <w:spacing w:after="0" w:line="12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2021, that have materially affected, or are reasonably likely to materially affect, our internal control over financial reporting.</w:t>
      </w:r>
    </w:p>
    <w:p>
      <w:pPr>
        <w:spacing w:after="0" w:line="12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2573BA"/>
        </w:rPr>
        <w:t>Management’s Annual Report on Internal Control over Financial Reporting</w:t>
      </w:r>
    </w:p>
    <w:p>
      <w:pPr>
        <w:spacing w:after="0" w:line="53"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0" w:right="100"/>
        <w:spacing w:after="0" w:line="268" w:lineRule="auto"/>
        <w:rPr>
          <w:sz w:val="20"/>
          <w:szCs w:val="20"/>
          <w:color w:val="auto"/>
        </w:rPr>
      </w:pPr>
      <w:r>
        <w:rPr>
          <w:rFonts w:ascii="Arial" w:cs="Arial" w:eastAsia="Arial" w:hAnsi="Arial"/>
          <w:sz w:val="17"/>
          <w:szCs w:val="17"/>
          <w:color w:val="auto"/>
        </w:rPr>
        <w:t>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41" w:lineRule="exact"/>
        <w:rPr>
          <w:sz w:val="20"/>
          <w:szCs w:val="20"/>
          <w:color w:val="auto"/>
        </w:rPr>
      </w:pPr>
    </w:p>
    <w:p>
      <w:pPr>
        <w:ind w:left="800" w:right="340" w:hanging="334"/>
        <w:spacing w:after="0" w:line="256" w:lineRule="auto"/>
        <w:tabs>
          <w:tab w:leader="none" w:pos="7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147" w:lineRule="exact"/>
        <w:rPr>
          <w:rFonts w:ascii="Arial" w:cs="Arial" w:eastAsia="Arial" w:hAnsi="Arial"/>
          <w:sz w:val="18"/>
          <w:szCs w:val="18"/>
          <w:color w:val="auto"/>
        </w:rPr>
      </w:pPr>
    </w:p>
    <w:p>
      <w:pPr>
        <w:ind w:left="800" w:hanging="334"/>
        <w:spacing w:after="0" w:line="271" w:lineRule="auto"/>
        <w:tabs>
          <w:tab w:leader="none" w:pos="7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38" w:lineRule="exact"/>
        <w:rPr>
          <w:rFonts w:ascii="Arial" w:cs="Arial" w:eastAsia="Arial" w:hAnsi="Arial"/>
          <w:sz w:val="17"/>
          <w:szCs w:val="17"/>
          <w:color w:val="auto"/>
        </w:rPr>
      </w:pPr>
    </w:p>
    <w:p>
      <w:pPr>
        <w:ind w:left="800" w:right="20" w:hanging="334"/>
        <w:spacing w:after="0" w:line="254" w:lineRule="auto"/>
        <w:tabs>
          <w:tab w:leader="none" w:pos="7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50" w:lineRule="exact"/>
        <w:rPr>
          <w:sz w:val="20"/>
          <w:szCs w:val="20"/>
          <w:color w:val="auto"/>
        </w:rPr>
      </w:pPr>
    </w:p>
    <w:p>
      <w:pPr>
        <w:ind w:left="380" w:right="260" w:firstLine="44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2021. In making this assessment, management used the criteria set forth by the Committee of Sponsoring Organizations of the Treadway Commission (COSO) in its 2013 Internal Control — Integrated Framework.</w:t>
      </w:r>
    </w:p>
    <w:p>
      <w:pPr>
        <w:spacing w:after="0" w:line="154" w:lineRule="exact"/>
        <w:rPr>
          <w:sz w:val="20"/>
          <w:szCs w:val="20"/>
          <w:color w:val="auto"/>
        </w:rPr>
      </w:pPr>
    </w:p>
    <w:p>
      <w:pPr>
        <w:jc w:val="both"/>
        <w:ind w:left="380" w:right="20" w:firstLine="445"/>
        <w:spacing w:after="0" w:line="256" w:lineRule="auto"/>
        <w:rPr>
          <w:sz w:val="20"/>
          <w:szCs w:val="20"/>
          <w:color w:val="auto"/>
        </w:rPr>
      </w:pPr>
      <w:r>
        <w:rPr>
          <w:rFonts w:ascii="Arial" w:cs="Arial" w:eastAsia="Arial" w:hAnsi="Arial"/>
          <w:sz w:val="18"/>
          <w:szCs w:val="18"/>
          <w:color w:val="auto"/>
        </w:rPr>
        <w:t>Based on our assessment, our management has concluded that, as of December 31, 2021, our internal control over financial reporting is effective based on those criteria.</w:t>
      </w:r>
    </w:p>
    <w:p>
      <w:pPr>
        <w:spacing w:after="0" w:line="148" w:lineRule="exact"/>
        <w:rPr>
          <w:sz w:val="20"/>
          <w:szCs w:val="20"/>
          <w:color w:val="auto"/>
        </w:rPr>
      </w:pPr>
    </w:p>
    <w:p>
      <w:pPr>
        <w:ind w:left="380" w:right="140" w:firstLine="445"/>
        <w:spacing w:after="0" w:line="253"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PricewaterhouseCoopers LLP, an independent registered public accounting firm, as stated in their attestation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44" w:right="459" w:bottom="1440" w:gutter="0" w:footer="0" w:header="0"/>
          <w:type w:val="continuous"/>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1C5A7D"/>
        </w:rPr>
        <w:t>ITEM 9B.</w:t>
      </w:r>
      <w:r>
        <w:rPr>
          <w:sz w:val="20"/>
          <w:szCs w:val="20"/>
          <w:color w:val="auto"/>
        </w:rPr>
        <w:tab/>
      </w:r>
      <w:r>
        <w:rPr>
          <w:rFonts w:ascii="Arial" w:cs="Arial" w:eastAsia="Arial" w:hAnsi="Arial"/>
          <w:sz w:val="21"/>
          <w:szCs w:val="21"/>
          <w:b w:val="1"/>
          <w:bCs w:val="1"/>
          <w:color w:val="1C5A7D"/>
        </w:rPr>
        <w:t>OTHER INFORMATION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1C5A7D"/>
        </w:rPr>
        <w:t>ITEM 9C.</w:t>
      </w:r>
      <w:r>
        <w:rPr>
          <w:sz w:val="20"/>
          <w:szCs w:val="20"/>
          <w:color w:val="auto"/>
        </w:rPr>
        <w:tab/>
      </w:r>
      <w:r>
        <w:rPr>
          <w:rFonts w:ascii="Arial" w:cs="Arial" w:eastAsia="Arial" w:hAnsi="Arial"/>
          <w:sz w:val="21"/>
          <w:szCs w:val="21"/>
          <w:b w:val="1"/>
          <w:bCs w:val="1"/>
          <w:color w:val="1C5A7D"/>
        </w:rPr>
        <w:t>DISCLOSURE REGARDING</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1C5A7D"/>
        </w:rPr>
        <w:t>FOREIGN JURISDICTIONS THAT PREVENT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1C5A7D"/>
        </w:rPr>
        <w:t>INSPECTIONS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1C5A7D"/>
        </w:rPr>
        <w:t>PART III</w:t>
      </w:r>
    </w:p>
    <w:p>
      <w:pPr>
        <w:sectPr>
          <w:pgSz w:w="11900" w:h="16838" w:orient="portrait"/>
          <w:cols w:equalWidth="0" w:num="1">
            <w:col w:w="11100"/>
          </w:cols>
          <w:pgMar w:left="320" w:top="144" w:right="479" w:bottom="1440" w:gutter="0" w:footer="0" w:header="0"/>
        </w:sectPr>
      </w:pPr>
    </w:p>
    <w:p>
      <w:pPr>
        <w:spacing w:after="0" w:line="272" w:lineRule="exact"/>
        <w:rPr>
          <w:sz w:val="20"/>
          <w:szCs w:val="20"/>
          <w:color w:val="auto"/>
        </w:rPr>
      </w:pPr>
    </w:p>
    <w:p>
      <w:pPr>
        <w:ind w:right="60"/>
        <w:spacing w:after="0" w:line="274" w:lineRule="auto"/>
        <w:rPr>
          <w:sz w:val="20"/>
          <w:szCs w:val="20"/>
          <w:color w:val="auto"/>
        </w:rPr>
      </w:pPr>
      <w:r>
        <w:rPr>
          <w:rFonts w:ascii="Arial" w:cs="Arial" w:eastAsia="Arial" w:hAnsi="Arial"/>
          <w:sz w:val="22"/>
          <w:szCs w:val="22"/>
          <w:b w:val="1"/>
          <w:bCs w:val="1"/>
          <w:color w:val="1C5A7D"/>
        </w:rPr>
        <w:t>ITEM 10. DIRECTORS, EXECUTIVE OFFICERS AND CORPORATE GOVERNANCE</w:t>
      </w:r>
    </w:p>
    <w:p>
      <w:pPr>
        <w:spacing w:after="0" w:line="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Item 1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www.biogen.com, under the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Governance</w:t>
      </w:r>
      <w:r>
        <w:rPr>
          <w:rFonts w:ascii="Arial" w:cs="Arial" w:eastAsia="Arial" w:hAnsi="Arial"/>
          <w:sz w:val="18"/>
          <w:szCs w:val="18"/>
          <w:color w:val="auto"/>
        </w:rPr>
        <w:t>” subsection of the “</w:t>
      </w:r>
      <w:r>
        <w:rPr>
          <w:rFonts w:ascii="Arial" w:cs="Arial" w:eastAsia="Arial" w:hAnsi="Arial"/>
          <w:sz w:val="18"/>
          <w:szCs w:val="18"/>
          <w:i w:val="1"/>
          <w:iCs w:val="1"/>
          <w:color w:val="auto"/>
        </w:rPr>
        <w:t>Investors</w:t>
      </w:r>
      <w:r>
        <w:rPr>
          <w:rFonts w:ascii="Arial" w:cs="Arial" w:eastAsia="Arial" w:hAnsi="Arial"/>
          <w:sz w:val="18"/>
          <w:szCs w:val="18"/>
          <w:color w:val="auto"/>
        </w:rPr>
        <w:t>” section of the site. 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make all required disclosures regarding any amendments to, or waivers from, provisions of our code of business conduct at the same location of our website.</w:t>
      </w:r>
    </w:p>
    <w:p>
      <w:pPr>
        <w:spacing w:after="0" w:line="15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 “</w:t>
      </w:r>
      <w:r>
        <w:rPr>
          <w:rFonts w:ascii="Arial" w:cs="Arial" w:eastAsia="Arial" w:hAnsi="Arial"/>
          <w:sz w:val="18"/>
          <w:szCs w:val="18"/>
          <w:i w:val="1"/>
          <w:iCs w:val="1"/>
          <w:color w:val="auto"/>
        </w:rPr>
        <w:t>Proposal 1 - Election of Directors,”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Governance at Biogen” </w:t>
      </w:r>
      <w:r>
        <w:rPr>
          <w:rFonts w:ascii="Arial" w:cs="Arial" w:eastAsia="Arial" w:hAnsi="Arial"/>
          <w:sz w:val="18"/>
          <w:szCs w:val="18"/>
          <w:color w:val="auto"/>
        </w:rPr>
        <w:t>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2022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w:t>
      </w:r>
    </w:p>
    <w:p>
      <w:pPr>
        <w:spacing w:after="0" w:line="23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1C5A7D"/>
        </w:rPr>
        <w:t>ITEM 11.</w:t>
      </w:r>
      <w:r>
        <w:rPr>
          <w:sz w:val="20"/>
          <w:szCs w:val="20"/>
          <w:color w:val="auto"/>
        </w:rPr>
        <w:tab/>
      </w:r>
      <w:r>
        <w:rPr>
          <w:rFonts w:ascii="Arial" w:cs="Arial" w:eastAsia="Arial" w:hAnsi="Arial"/>
          <w:sz w:val="21"/>
          <w:szCs w:val="21"/>
          <w:b w:val="1"/>
          <w:bCs w:val="1"/>
          <w:color w:val="1C5A7D"/>
        </w:rPr>
        <w:t>EXECUTIVE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incorporated by reference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responsive thereto in the sections entitled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Compensation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at Biogen” </w:t>
      </w:r>
      <w:r>
        <w:rPr>
          <w:rFonts w:ascii="Arial" w:cs="Arial" w:eastAsia="Arial" w:hAnsi="Arial"/>
          <w:sz w:val="18"/>
          <w:szCs w:val="18"/>
          <w:color w:val="auto"/>
        </w:rPr>
        <w:t>contained in the proxy statement for our 2022 annual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meeting of stockholders.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left="380"/>
        <w:spacing w:after="0" w:line="258" w:lineRule="auto"/>
        <w:rPr>
          <w:sz w:val="20"/>
          <w:szCs w:val="20"/>
          <w:color w:val="auto"/>
        </w:rPr>
      </w:pPr>
      <w:r>
        <w:rPr>
          <w:rFonts w:ascii="Arial" w:cs="Arial" w:eastAsia="Arial" w:hAnsi="Arial"/>
          <w:sz w:val="22"/>
          <w:szCs w:val="22"/>
          <w:b w:val="1"/>
          <w:bCs w:val="1"/>
          <w:color w:val="1C5A7D"/>
        </w:rPr>
        <w:t>ITEM 12. SECURITY OWNERSHIP OF CERTAIN BENEFICIAL OWNERS AND MANAGEMENT AND RELATED STOCKHOLDER MATTERS</w:t>
      </w:r>
    </w:p>
    <w:p>
      <w:pPr>
        <w:spacing w:after="0" w:line="53" w:lineRule="exact"/>
        <w:rPr>
          <w:sz w:val="20"/>
          <w:szCs w:val="20"/>
          <w:color w:val="auto"/>
        </w:rPr>
      </w:pPr>
    </w:p>
    <w:p>
      <w:pPr>
        <w:ind w:left="380" w:right="40" w:firstLine="445"/>
        <w:spacing w:after="0" w:line="253"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Ownership”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contained in the proxy statement for our 2022 annual meeting of stockholders.</w:t>
      </w:r>
    </w:p>
    <w:p>
      <w:pPr>
        <w:spacing w:after="0" w:line="227" w:lineRule="exact"/>
        <w:rPr>
          <w:sz w:val="20"/>
          <w:szCs w:val="20"/>
          <w:color w:val="auto"/>
        </w:rPr>
      </w:pPr>
    </w:p>
    <w:p>
      <w:pPr>
        <w:jc w:val="both"/>
        <w:ind w:left="380" w:right="580"/>
        <w:spacing w:after="0" w:line="258" w:lineRule="auto"/>
        <w:rPr>
          <w:sz w:val="20"/>
          <w:szCs w:val="20"/>
          <w:color w:val="auto"/>
        </w:rPr>
      </w:pPr>
      <w:r>
        <w:rPr>
          <w:rFonts w:ascii="Arial" w:cs="Arial" w:eastAsia="Arial" w:hAnsi="Arial"/>
          <w:sz w:val="22"/>
          <w:szCs w:val="22"/>
          <w:b w:val="1"/>
          <w:bCs w:val="1"/>
          <w:color w:val="1C5A7D"/>
        </w:rPr>
        <w:t>ITEM 13. CERTAIN RELATIONSHIPS AND RELATED TRANSACTIONS, AND DIRECTOR INDEPENDENCE</w:t>
      </w:r>
    </w:p>
    <w:p>
      <w:pPr>
        <w:spacing w:after="0" w:line="66"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“Corporate Governance at Biogen</w:t>
      </w:r>
      <w:r>
        <w:rPr>
          <w:rFonts w:ascii="Arial" w:cs="Arial" w:eastAsia="Arial" w:hAnsi="Arial"/>
          <w:sz w:val="18"/>
          <w:szCs w:val="18"/>
          <w:color w:val="auto"/>
        </w:rPr>
        <w:t>” contained in the proxy statement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2022 annual meeting of stockholders.</w:t>
      </w:r>
    </w:p>
    <w:p>
      <w:pPr>
        <w:spacing w:after="0" w:line="214" w:lineRule="exact"/>
        <w:rPr>
          <w:sz w:val="20"/>
          <w:szCs w:val="20"/>
          <w:color w:val="auto"/>
        </w:rPr>
      </w:pPr>
    </w:p>
    <w:p>
      <w:pPr>
        <w:ind w:left="380" w:right="500"/>
        <w:spacing w:after="0" w:line="274" w:lineRule="auto"/>
        <w:rPr>
          <w:sz w:val="20"/>
          <w:szCs w:val="20"/>
          <w:color w:val="auto"/>
        </w:rPr>
      </w:pPr>
      <w:r>
        <w:rPr>
          <w:rFonts w:ascii="Arial" w:cs="Arial" w:eastAsia="Arial" w:hAnsi="Arial"/>
          <w:sz w:val="22"/>
          <w:szCs w:val="22"/>
          <w:b w:val="1"/>
          <w:bCs w:val="1"/>
          <w:color w:val="1C5A7D"/>
        </w:rPr>
        <w:t>ITEM 14. PRINCIPAL ACCOUNTANT FEES AND SERVICES</w:t>
      </w:r>
    </w:p>
    <w:p>
      <w:pPr>
        <w:spacing w:after="0" w:line="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response to this item is incorporated by reference from</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discussion responsive thereto in the section entitled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2 - Ratification of the Selection of our Independent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Registered Public Accounting Firm</w:t>
      </w:r>
      <w:r>
        <w:rPr>
          <w:rFonts w:ascii="Arial" w:cs="Arial" w:eastAsia="Arial" w:hAnsi="Arial"/>
          <w:sz w:val="18"/>
          <w:szCs w:val="18"/>
          <w:color w:val="auto"/>
        </w:rPr>
        <w:t>” contained in the proxy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statement for our 2022 annual meeting of stockholders.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44" w:right="47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800" w:type="dxa"/>
            <w:vAlign w:val="bottom"/>
            <w:gridSpan w:val="2"/>
          </w:tcPr>
          <w:p>
            <w:pPr>
              <w:ind w:left="5200"/>
              <w:spacing w:after="0"/>
              <w:rPr>
                <w:sz w:val="20"/>
                <w:szCs w:val="20"/>
                <w:color w:val="auto"/>
              </w:rPr>
            </w:pPr>
            <w:r>
              <w:rPr>
                <w:rFonts w:ascii="Arial" w:cs="Arial" w:eastAsia="Arial" w:hAnsi="Arial"/>
                <w:sz w:val="22"/>
                <w:szCs w:val="22"/>
                <w:b w:val="1"/>
                <w:bCs w:val="1"/>
                <w:color w:val="1C5A7D"/>
              </w:rPr>
              <w:t>PART IV</w:t>
            </w:r>
          </w:p>
        </w:tc>
        <w:tc>
          <w:tcPr>
            <w:tcW w:w="1400" w:type="dxa"/>
            <w:vAlign w:val="bottom"/>
          </w:tcPr>
          <w:p>
            <w:pPr>
              <w:spacing w:after="0"/>
              <w:rPr>
                <w:sz w:val="24"/>
                <w:szCs w:val="24"/>
                <w:color w:val="auto"/>
              </w:rPr>
            </w:pPr>
          </w:p>
        </w:tc>
      </w:tr>
      <w:tr>
        <w:trPr>
          <w:trHeight w:val="513"/>
        </w:trPr>
        <w:tc>
          <w:tcPr>
            <w:tcW w:w="9800" w:type="dxa"/>
            <w:vAlign w:val="bottom"/>
            <w:gridSpan w:val="2"/>
          </w:tcPr>
          <w:p>
            <w:pPr>
              <w:spacing w:after="0"/>
              <w:rPr>
                <w:sz w:val="20"/>
                <w:szCs w:val="20"/>
                <w:color w:val="auto"/>
              </w:rPr>
            </w:pPr>
            <w:r>
              <w:rPr>
                <w:rFonts w:ascii="Arial" w:cs="Arial" w:eastAsia="Arial" w:hAnsi="Arial"/>
                <w:sz w:val="22"/>
                <w:szCs w:val="22"/>
                <w:b w:val="1"/>
                <w:bCs w:val="1"/>
                <w:color w:val="1C5A7D"/>
              </w:rPr>
              <w:t>ITEM 15.   EXHIBITS AND FINANCIAL STATEMENT SCHEDULES</w:t>
            </w:r>
          </w:p>
        </w:tc>
        <w:tc>
          <w:tcPr>
            <w:tcW w:w="1400" w:type="dxa"/>
            <w:vAlign w:val="bottom"/>
          </w:tcPr>
          <w:p>
            <w:pPr>
              <w:spacing w:after="0"/>
              <w:rPr>
                <w:sz w:val="24"/>
                <w:szCs w:val="24"/>
                <w:color w:val="auto"/>
              </w:rPr>
            </w:pPr>
          </w:p>
        </w:tc>
      </w:tr>
      <w:tr>
        <w:trPr>
          <w:trHeight w:val="368"/>
        </w:trPr>
        <w:tc>
          <w:tcPr>
            <w:tcW w:w="9800" w:type="dxa"/>
            <w:vAlign w:val="bottom"/>
            <w:gridSpan w:val="2"/>
          </w:tcPr>
          <w:p>
            <w:pPr>
              <w:spacing w:after="0"/>
              <w:rPr>
                <w:sz w:val="20"/>
                <w:szCs w:val="20"/>
                <w:color w:val="auto"/>
              </w:rPr>
            </w:pPr>
            <w:r>
              <w:rPr>
                <w:rFonts w:ascii="Arial" w:cs="Arial" w:eastAsia="Arial" w:hAnsi="Arial"/>
                <w:sz w:val="18"/>
                <w:szCs w:val="18"/>
                <w:b w:val="1"/>
                <w:bCs w:val="1"/>
                <w:i w:val="1"/>
                <w:iCs w:val="1"/>
                <w:color w:val="2573BA"/>
              </w:rPr>
              <w:t>a. (1) Consolidated Financial Statements:</w:t>
            </w:r>
          </w:p>
        </w:tc>
        <w:tc>
          <w:tcPr>
            <w:tcW w:w="1400" w:type="dxa"/>
            <w:vAlign w:val="bottom"/>
          </w:tcPr>
          <w:p>
            <w:pPr>
              <w:spacing w:after="0"/>
              <w:rPr>
                <w:sz w:val="24"/>
                <w:szCs w:val="24"/>
                <w:color w:val="auto"/>
              </w:rPr>
            </w:pPr>
          </w:p>
        </w:tc>
      </w:tr>
      <w:tr>
        <w:trPr>
          <w:trHeight w:val="297"/>
        </w:trPr>
        <w:tc>
          <w:tcPr>
            <w:tcW w:w="9800" w:type="dxa"/>
            <w:vAlign w:val="bottom"/>
            <w:gridSpan w:val="2"/>
          </w:tcPr>
          <w:p>
            <w:pPr>
              <w:ind w:left="420"/>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1400" w:type="dxa"/>
            <w:vAlign w:val="bottom"/>
          </w:tcPr>
          <w:p>
            <w:pPr>
              <w:spacing w:after="0"/>
              <w:rPr>
                <w:sz w:val="24"/>
                <w:szCs w:val="24"/>
                <w:color w:val="auto"/>
              </w:rPr>
            </w:pPr>
          </w:p>
        </w:tc>
      </w:tr>
      <w:tr>
        <w:trPr>
          <w:trHeight w:val="47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4160" w:type="dxa"/>
            <w:vAlign w:val="bottom"/>
          </w:tcPr>
          <w:p>
            <w:pPr>
              <w:spacing w:after="0"/>
              <w:rPr>
                <w:sz w:val="24"/>
                <w:szCs w:val="24"/>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23"/>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4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w:t>
            </w:r>
          </w:p>
        </w:tc>
        <w:tc>
          <w:tcPr>
            <w:tcW w:w="14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400" w:type="dxa"/>
            <w:vAlign w:val="bottom"/>
          </w:tcPr>
          <w:p>
            <w:pPr>
              <w:jc w:val="right"/>
              <w:spacing w:after="0"/>
              <w:rPr>
                <w:sz w:val="20"/>
                <w:szCs w:val="20"/>
                <w:color w:val="auto"/>
              </w:rPr>
            </w:pPr>
            <w:r>
              <w:rPr>
                <w:rFonts w:ascii="Arial" w:cs="Arial" w:eastAsia="Arial" w:hAnsi="Arial"/>
                <w:sz w:val="18"/>
                <w:szCs w:val="18"/>
                <w:color w:val="auto"/>
              </w:rPr>
              <w:t>F-77</w:t>
            </w: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totals may not sum due to rounding.</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(2) Exhibits</w:t>
      </w:r>
    </w:p>
    <w:p>
      <w:pPr>
        <w:spacing w:after="0" w:line="12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exhibits listed on the Exhibit Index beginning on page 93, which is incorporated herein by reference, are filed or furnished as part of this report or are incorporated into this report by reference.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(3) Financial Statement Schedules</w:t>
      </w:r>
    </w:p>
    <w:p>
      <w:pPr>
        <w:spacing w:after="0" w:line="112"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20"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1C5A7D"/>
        </w:rPr>
        <w:t>ITEM 16.</w:t>
      </w:r>
      <w:r>
        <w:rPr>
          <w:sz w:val="20"/>
          <w:szCs w:val="20"/>
          <w:color w:val="auto"/>
        </w:rPr>
        <w:tab/>
      </w:r>
      <w:r>
        <w:rPr>
          <w:rFonts w:ascii="Arial" w:cs="Arial" w:eastAsia="Arial" w:hAnsi="Arial"/>
          <w:sz w:val="21"/>
          <w:szCs w:val="21"/>
          <w:b w:val="1"/>
          <w:bCs w:val="1"/>
          <w:color w:val="1C5A7D"/>
        </w:rPr>
        <w:t>FORM 10-K SUMMARY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40" w:type="dxa"/>
            <w:vAlign w:val="bottom"/>
            <w:gridSpan w:val="41"/>
          </w:tcPr>
          <w:p>
            <w:pPr>
              <w:ind w:left="380"/>
              <w:spacing w:after="0"/>
              <w:rPr>
                <w:sz w:val="20"/>
                <w:szCs w:val="20"/>
                <w:color w:val="auto"/>
              </w:rPr>
            </w:pPr>
            <w:r>
              <w:rPr>
                <w:rFonts w:ascii="Arial" w:cs="Arial" w:eastAsia="Arial" w:hAnsi="Arial"/>
                <w:sz w:val="22"/>
                <w:szCs w:val="22"/>
                <w:b w:val="1"/>
                <w:bCs w:val="1"/>
                <w:color w:val="1C5A7D"/>
              </w:rPr>
              <w:t>EXHIBIT INDEX</w:t>
            </w:r>
          </w:p>
        </w:tc>
      </w:tr>
      <w:tr>
        <w:trPr>
          <w:trHeight w:val="449"/>
        </w:trPr>
        <w:tc>
          <w:tcPr>
            <w:tcW w:w="4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20" w:type="dxa"/>
            <w:vAlign w:val="bottom"/>
            <w:gridSpan w:val="35"/>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6"/>
                <w:szCs w:val="16"/>
                <w:color w:val="auto"/>
              </w:rPr>
              <w:t>2.1†</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56">
              <w:r>
                <w:rPr>
                  <w:rFonts w:ascii="Arial" w:cs="Arial" w:eastAsia="Arial" w:hAnsi="Arial"/>
                  <w:sz w:val="16"/>
                  <w:szCs w:val="16"/>
                  <w:color w:val="0000FF"/>
                </w:rPr>
                <w:t>Asset Purchase Agreement among Biogen Idec International Holding Ltd., Elan Pharma International Limited and Elan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2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Pharmaceuticals, Inc., dated as of February 5, 2013. Filed as Exhibit 2.1 to our Current Report on Form 8-K/A filed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February 12, 2013.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2.2</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57">
              <w:r>
                <w:rPr>
                  <w:rFonts w:ascii="Arial" w:cs="Arial" w:eastAsia="Arial" w:hAnsi="Arial"/>
                  <w:sz w:val="16"/>
                  <w:szCs w:val="16"/>
                  <w:color w:val="0000FF"/>
                </w:rPr>
                <w:t>Separation Agreement between Biogen Inc. and Bioverativ Inc. dated as of January 31, 2017. Filed as Exhibit 2.1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our Current Report on Form 8-K filed on February 2, 2017.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3.1</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58">
              <w:r>
                <w:rPr>
                  <w:rFonts w:ascii="Arial" w:cs="Arial" w:eastAsia="Arial" w:hAnsi="Arial"/>
                  <w:sz w:val="16"/>
                  <w:szCs w:val="16"/>
                  <w:color w:val="0000FF"/>
                </w:rPr>
                <w:t>Amended and Restated Certificate of Incorporation, as amended. Filed as Exhibit 3.1 to our Quarterly Report on Form</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10-Q for the quarter ended June 30, 2012.</w:t>
              </w:r>
            </w:hyperlink>
          </w:p>
        </w:tc>
        <w:tc>
          <w:tcPr>
            <w:tcW w:w="566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3.2</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59">
              <w:r>
                <w:rPr>
                  <w:rFonts w:ascii="Arial" w:cs="Arial" w:eastAsia="Arial" w:hAnsi="Arial"/>
                  <w:sz w:val="16"/>
                  <w:szCs w:val="16"/>
                  <w:color w:val="0000FF"/>
                </w:rPr>
                <w:t>Certificate of Amendment to the Certificate of Incorporation. Filed as Exhibit 3.1 to our Current Report on Form 8-K filed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on March 27, 2015.</w:t>
              </w:r>
            </w:hyperlink>
          </w:p>
        </w:tc>
        <w:tc>
          <w:tcPr>
            <w:tcW w:w="7280" w:type="dxa"/>
            <w:vAlign w:val="bottom"/>
            <w:tcBorders>
              <w:top w:val="single" w:sz="8" w:color="0000FF"/>
            </w:tcBorders>
            <w:gridSpan w:val="3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3.3</w:t>
            </w:r>
          </w:p>
        </w:tc>
        <w:tc>
          <w:tcPr>
            <w:tcW w:w="1780" w:type="dxa"/>
            <w:vAlign w:val="bottom"/>
          </w:tcPr>
          <w:p>
            <w:pPr>
              <w:spacing w:after="0"/>
              <w:rPr>
                <w:sz w:val="17"/>
                <w:szCs w:val="17"/>
                <w:color w:val="auto"/>
              </w:rPr>
            </w:pPr>
          </w:p>
        </w:tc>
        <w:tc>
          <w:tcPr>
            <w:tcW w:w="8320" w:type="dxa"/>
            <w:vAlign w:val="bottom"/>
            <w:tcBorders>
              <w:bottom w:val="single" w:sz="8" w:color="0000FF"/>
            </w:tcBorders>
            <w:gridSpan w:val="26"/>
          </w:tcPr>
          <w:p>
            <w:pPr>
              <w:spacing w:after="0"/>
              <w:rPr>
                <w:rFonts w:ascii="Arial" w:cs="Arial" w:eastAsia="Arial" w:hAnsi="Arial"/>
                <w:sz w:val="16"/>
                <w:szCs w:val="16"/>
                <w:color w:val="0000FF"/>
              </w:rPr>
            </w:pPr>
            <w:hyperlink r:id="rId260">
              <w:r>
                <w:rPr>
                  <w:rFonts w:ascii="Arial" w:cs="Arial" w:eastAsia="Arial" w:hAnsi="Arial"/>
                  <w:sz w:val="16"/>
                  <w:szCs w:val="16"/>
                  <w:color w:val="0000FF"/>
                </w:rPr>
                <w:t>Certificate of Amendment of Biogen Inc.'s Amended and Restated Certificate of Incorporation, as amended. Filed as</w:t>
              </w:r>
            </w:hyperlink>
          </w:p>
        </w:tc>
        <w:tc>
          <w:tcPr>
            <w:tcW w:w="520" w:type="dxa"/>
            <w:vAlign w:val="bottom"/>
            <w:gridSpan w:val="19"/>
          </w:tcPr>
          <w:p>
            <w:pPr>
              <w:spacing w:after="0"/>
              <w:rPr>
                <w:sz w:val="17"/>
                <w:szCs w:val="17"/>
                <w:color w:val="auto"/>
              </w:rPr>
            </w:pPr>
          </w:p>
        </w:tc>
      </w:tr>
      <w:tr>
        <w:trPr>
          <w:trHeight w:val="156"/>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880" w:type="dxa"/>
            <w:vAlign w:val="bottom"/>
            <w:tcBorders>
              <w:bottom w:val="single" w:sz="8" w:color="0000FF"/>
            </w:tcBorders>
            <w:gridSpan w:val="14"/>
          </w:tcPr>
          <w:p>
            <w:pPr>
              <w:spacing w:after="0" w:line="155" w:lineRule="exact"/>
              <w:rPr>
                <w:rFonts w:ascii="Arial" w:cs="Arial" w:eastAsia="Arial" w:hAnsi="Arial"/>
                <w:sz w:val="16"/>
                <w:szCs w:val="16"/>
                <w:color w:val="0000FF"/>
              </w:rPr>
            </w:pPr>
            <w:hyperlink r:id="rId260">
              <w:r>
                <w:rPr>
                  <w:rFonts w:ascii="Arial" w:cs="Arial" w:eastAsia="Arial" w:hAnsi="Arial"/>
                  <w:sz w:val="16"/>
                  <w:szCs w:val="16"/>
                  <w:color w:val="0000FF"/>
                </w:rPr>
                <w:t>Exhibit 3.1 to our Current Report on Form 8-K filed on June 8, 2021.</w:t>
              </w:r>
            </w:hyperlink>
          </w:p>
        </w:tc>
        <w:tc>
          <w:tcPr>
            <w:tcW w:w="3960" w:type="dxa"/>
            <w:vAlign w:val="bottom"/>
            <w:gridSpan w:val="31"/>
          </w:tcPr>
          <w:p>
            <w:pPr>
              <w:spacing w:after="0"/>
              <w:rPr>
                <w:sz w:val="13"/>
                <w:szCs w:val="13"/>
                <w:color w:val="auto"/>
              </w:rPr>
            </w:pPr>
          </w:p>
        </w:tc>
      </w:tr>
      <w:tr>
        <w:trPr>
          <w:trHeight w:val="209"/>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3.4</w:t>
            </w:r>
          </w:p>
        </w:tc>
        <w:tc>
          <w:tcPr>
            <w:tcW w:w="1780" w:type="dxa"/>
            <w:vAlign w:val="bottom"/>
          </w:tcPr>
          <w:p>
            <w:pPr>
              <w:spacing w:after="0"/>
              <w:rPr>
                <w:sz w:val="18"/>
                <w:szCs w:val="18"/>
                <w:color w:val="auto"/>
              </w:rPr>
            </w:pPr>
          </w:p>
        </w:tc>
        <w:tc>
          <w:tcPr>
            <w:tcW w:w="8360" w:type="dxa"/>
            <w:vAlign w:val="bottom"/>
            <w:tcBorders>
              <w:bottom w:val="single" w:sz="8" w:color="0000FF"/>
            </w:tcBorders>
            <w:gridSpan w:val="28"/>
          </w:tcPr>
          <w:p>
            <w:pPr>
              <w:spacing w:after="0"/>
              <w:rPr>
                <w:rFonts w:ascii="Arial" w:cs="Arial" w:eastAsia="Arial" w:hAnsi="Arial"/>
                <w:sz w:val="16"/>
                <w:szCs w:val="16"/>
                <w:color w:val="0000FF"/>
              </w:rPr>
            </w:pPr>
            <w:hyperlink r:id="rId261">
              <w:r>
                <w:rPr>
                  <w:rFonts w:ascii="Arial" w:cs="Arial" w:eastAsia="Arial" w:hAnsi="Arial"/>
                  <w:sz w:val="16"/>
                  <w:szCs w:val="16"/>
                  <w:color w:val="0000FF"/>
                </w:rPr>
                <w:t>Fourth Amended and Restated Bylaws. Filed as Exhibit 3.1 to our Current Report on Form 8-K filed on June 9, 2017.</w:t>
              </w:r>
            </w:hyperlink>
          </w:p>
        </w:tc>
        <w:tc>
          <w:tcPr>
            <w:tcW w:w="480" w:type="dxa"/>
            <w:vAlign w:val="bottom"/>
            <w:gridSpan w:val="17"/>
          </w:tcPr>
          <w:p>
            <w:pPr>
              <w:spacing w:after="0"/>
              <w:rPr>
                <w:sz w:val="18"/>
                <w:szCs w:val="18"/>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4.1</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62">
              <w:r>
                <w:rPr>
                  <w:rFonts w:ascii="Arial" w:cs="Arial" w:eastAsia="Arial" w:hAnsi="Arial"/>
                  <w:sz w:val="16"/>
                  <w:szCs w:val="16"/>
                  <w:color w:val="0000FF"/>
                </w:rPr>
                <w:t>Second Supplemental Indenture, dated April 30, 2020, between Biogen Inc. and U.S. Bank National Association,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60" w:type="dxa"/>
            <w:vAlign w:val="bottom"/>
            <w:tcBorders>
              <w:top w:val="single" w:sz="8" w:color="0000FF"/>
              <w:bottom w:val="single" w:sz="8" w:color="0000FF"/>
            </w:tcBorders>
            <w:gridSpan w:val="41"/>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including the forms of Global Notes attached as Exhibit A and Exhibit B, respectively, thereto. Filed as Exhibit 4.2 to our</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80" w:type="dxa"/>
            <w:vAlign w:val="bottom"/>
            <w:tcBorders>
              <w:bottom w:val="single" w:sz="8" w:color="0000FF"/>
            </w:tcBorders>
            <w:gridSpan w:val="9"/>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Current Report on Form 8-K filed on April 30, 2020.</w:t>
              </w:r>
            </w:hyperlink>
          </w:p>
        </w:tc>
        <w:tc>
          <w:tcPr>
            <w:tcW w:w="5100" w:type="dxa"/>
            <w:vAlign w:val="bottom"/>
            <w:gridSpan w:val="3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4.2</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58">
              <w:r>
                <w:rPr>
                  <w:rFonts w:ascii="Arial" w:cs="Arial" w:eastAsia="Arial" w:hAnsi="Arial"/>
                  <w:sz w:val="16"/>
                  <w:szCs w:val="16"/>
                  <w:color w:val="0000FF"/>
                </w:rPr>
                <w:t>Reference is made to Exhibit 3.1 for a description of the rights, preferences and privileges of our Series A Preferred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Stock and Series X Junior Participating Preferred Stock.</w:t>
              </w:r>
            </w:hyperlink>
          </w:p>
        </w:tc>
        <w:tc>
          <w:tcPr>
            <w:tcW w:w="45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4.3</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63">
              <w:r>
                <w:rPr>
                  <w:rFonts w:ascii="Arial" w:cs="Arial" w:eastAsia="Arial" w:hAnsi="Arial"/>
                  <w:sz w:val="16"/>
                  <w:szCs w:val="16"/>
                  <w:color w:val="0000FF"/>
                </w:rPr>
                <w:t>Indenture between Biogen Inc. and U.S. Bank National Association, dated as of September 15, 2015. Filed as Exhibit</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4.</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September 16, 2015.</w:t>
              </w:r>
            </w:hyperlink>
          </w:p>
        </w:tc>
        <w:tc>
          <w:tcPr>
            <w:tcW w:w="376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4.4</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64">
              <w:r>
                <w:rPr>
                  <w:rFonts w:ascii="Arial" w:cs="Arial" w:eastAsia="Arial" w:hAnsi="Arial"/>
                  <w:sz w:val="16"/>
                  <w:szCs w:val="16"/>
                  <w:color w:val="0000FF"/>
                </w:rPr>
                <w:t>First Supplemental Indenture between Biogen Inc. and U.S. Bank National Association, dated September 15, 2015.</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2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Filed as Exhibit 4.2 to our Current Report on Form 8-K filed on September 16, 2015.</w:t>
              </w:r>
            </w:hyperlink>
          </w:p>
        </w:tc>
        <w:tc>
          <w:tcPr>
            <w:tcW w:w="2720" w:type="dxa"/>
            <w:vAlign w:val="bottom"/>
            <w:tcBorders>
              <w:top w:val="single" w:sz="8" w:color="0000FF"/>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4.5</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65">
              <w:r>
                <w:rPr>
                  <w:rFonts w:ascii="Arial" w:cs="Arial" w:eastAsia="Arial" w:hAnsi="Arial"/>
                  <w:sz w:val="16"/>
                  <w:szCs w:val="16"/>
                  <w:color w:val="0000FF"/>
                </w:rPr>
                <w:t>Third Supplemental Indenture, dated February 16, 2021, between Biogen Inc. and U.S. Bank National Association.</w:t>
              </w:r>
            </w:hyperlink>
          </w:p>
        </w:tc>
      </w:tr>
      <w:tr>
        <w:trPr>
          <w:trHeight w:val="156"/>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200" w:type="dxa"/>
            <w:vAlign w:val="bottom"/>
            <w:tcBorders>
              <w:top w:val="single" w:sz="8" w:color="0000FF"/>
            </w:tcBorders>
            <w:gridSpan w:val="23"/>
          </w:tcPr>
          <w:p>
            <w:pPr>
              <w:spacing w:after="0" w:line="155" w:lineRule="exact"/>
              <w:rPr>
                <w:rFonts w:ascii="Arial" w:cs="Arial" w:eastAsia="Arial" w:hAnsi="Arial"/>
                <w:sz w:val="16"/>
                <w:szCs w:val="16"/>
                <w:color w:val="0000FF"/>
              </w:rPr>
            </w:pPr>
            <w:hyperlink r:id="rId265">
              <w:r>
                <w:rPr>
                  <w:rFonts w:ascii="Arial" w:cs="Arial" w:eastAsia="Arial" w:hAnsi="Arial"/>
                  <w:sz w:val="16"/>
                  <w:szCs w:val="16"/>
                  <w:color w:val="0000FF"/>
                </w:rPr>
                <w:t>Filed as Exhibit 4.2 to our Current Report on Form 8-K filed on February 16, 2021.</w:t>
              </w:r>
            </w:hyperlink>
          </w:p>
        </w:tc>
        <w:tc>
          <w:tcPr>
            <w:tcW w:w="640" w:type="dxa"/>
            <w:vAlign w:val="bottom"/>
            <w:gridSpan w:val="22"/>
          </w:tcPr>
          <w:p>
            <w:pPr>
              <w:spacing w:after="0"/>
              <w:rPr>
                <w:sz w:val="13"/>
                <w:szCs w:val="13"/>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4.6</w:t>
            </w:r>
          </w:p>
        </w:tc>
        <w:tc>
          <w:tcPr>
            <w:tcW w:w="1780" w:type="dxa"/>
            <w:vAlign w:val="bottom"/>
          </w:tcPr>
          <w:p>
            <w:pPr>
              <w:spacing w:after="0"/>
              <w:rPr>
                <w:sz w:val="18"/>
                <w:szCs w:val="18"/>
                <w:color w:val="auto"/>
              </w:rPr>
            </w:pPr>
          </w:p>
        </w:tc>
        <w:tc>
          <w:tcPr>
            <w:tcW w:w="8160" w:type="dxa"/>
            <w:vAlign w:val="bottom"/>
            <w:tcBorders>
              <w:bottom w:val="single" w:sz="8" w:color="0000FF"/>
            </w:tcBorders>
            <w:gridSpan w:val="22"/>
          </w:tcPr>
          <w:p>
            <w:pPr>
              <w:spacing w:after="0"/>
              <w:rPr>
                <w:rFonts w:ascii="Arial" w:cs="Arial" w:eastAsia="Arial" w:hAnsi="Arial"/>
                <w:sz w:val="16"/>
                <w:szCs w:val="16"/>
                <w:color w:val="0000FF"/>
              </w:rPr>
            </w:pPr>
            <w:hyperlink r:id="rId266">
              <w:r>
                <w:rPr>
                  <w:rFonts w:ascii="Arial" w:cs="Arial" w:eastAsia="Arial" w:hAnsi="Arial"/>
                  <w:sz w:val="16"/>
                  <w:szCs w:val="16"/>
                  <w:color w:val="0000FF"/>
                </w:rPr>
                <w:t>Form of 3.250% Senior Notes due 2051, in the form of a Global Note bearing a private placement legend. Filed as</w:t>
              </w:r>
            </w:hyperlink>
          </w:p>
        </w:tc>
        <w:tc>
          <w:tcPr>
            <w:tcW w:w="680" w:type="dxa"/>
            <w:vAlign w:val="bottom"/>
            <w:gridSpan w:val="23"/>
          </w:tcPr>
          <w:p>
            <w:pPr>
              <w:spacing w:after="0"/>
              <w:rPr>
                <w:sz w:val="18"/>
                <w:szCs w:val="18"/>
                <w:color w:val="auto"/>
              </w:rPr>
            </w:pPr>
          </w:p>
        </w:tc>
      </w:tr>
      <w:tr>
        <w:trPr>
          <w:trHeight w:val="155"/>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5260" w:type="dxa"/>
            <w:vAlign w:val="bottom"/>
            <w:tcBorders>
              <w:bottom w:val="single" w:sz="8" w:color="0000FF"/>
            </w:tcBorders>
            <w:gridSpan w:val="16"/>
          </w:tcPr>
          <w:p>
            <w:pPr>
              <w:spacing w:after="0" w:line="155" w:lineRule="exact"/>
              <w:rPr>
                <w:rFonts w:ascii="Arial" w:cs="Arial" w:eastAsia="Arial" w:hAnsi="Arial"/>
                <w:sz w:val="16"/>
                <w:szCs w:val="16"/>
                <w:color w:val="0000FF"/>
              </w:rPr>
            </w:pPr>
            <w:hyperlink r:id="rId266">
              <w:r>
                <w:rPr>
                  <w:rFonts w:ascii="Arial" w:cs="Arial" w:eastAsia="Arial" w:hAnsi="Arial"/>
                  <w:sz w:val="16"/>
                  <w:szCs w:val="16"/>
                  <w:color w:val="0000FF"/>
                </w:rPr>
                <w:t>Exhibit 4.3 to our Current Report on Form 8-K filed on February 16, 2021.</w:t>
              </w:r>
            </w:hyperlink>
          </w:p>
        </w:tc>
        <w:tc>
          <w:tcPr>
            <w:tcW w:w="3580" w:type="dxa"/>
            <w:vAlign w:val="bottom"/>
            <w:gridSpan w:val="29"/>
          </w:tcPr>
          <w:p>
            <w:pPr>
              <w:spacing w:after="0"/>
              <w:rPr>
                <w:sz w:val="13"/>
                <w:szCs w:val="13"/>
                <w:color w:val="auto"/>
              </w:rPr>
            </w:pPr>
          </w:p>
        </w:tc>
      </w:tr>
      <w:tr>
        <w:trPr>
          <w:trHeight w:val="210"/>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4.7</w:t>
            </w:r>
          </w:p>
        </w:tc>
        <w:tc>
          <w:tcPr>
            <w:tcW w:w="1780" w:type="dxa"/>
            <w:vAlign w:val="bottom"/>
          </w:tcPr>
          <w:p>
            <w:pPr>
              <w:spacing w:after="0"/>
              <w:rPr>
                <w:sz w:val="18"/>
                <w:szCs w:val="18"/>
                <w:color w:val="auto"/>
              </w:rPr>
            </w:pPr>
          </w:p>
        </w:tc>
        <w:tc>
          <w:tcPr>
            <w:tcW w:w="8340" w:type="dxa"/>
            <w:vAlign w:val="bottom"/>
            <w:tcBorders>
              <w:bottom w:val="single" w:sz="8" w:color="0000FF"/>
            </w:tcBorders>
            <w:gridSpan w:val="27"/>
          </w:tcPr>
          <w:p>
            <w:pPr>
              <w:spacing w:after="0"/>
              <w:rPr>
                <w:rFonts w:ascii="Arial" w:cs="Arial" w:eastAsia="Arial" w:hAnsi="Arial"/>
                <w:sz w:val="16"/>
                <w:szCs w:val="16"/>
                <w:color w:val="0000FF"/>
              </w:rPr>
            </w:pPr>
            <w:hyperlink r:id="rId267">
              <w:r>
                <w:rPr>
                  <w:rFonts w:ascii="Arial" w:cs="Arial" w:eastAsia="Arial" w:hAnsi="Arial"/>
                  <w:sz w:val="16"/>
                  <w:szCs w:val="16"/>
                  <w:color w:val="0000FF"/>
                </w:rPr>
                <w:t>Form of 3.250% Senior Notes due 2051, in the form of a Global Note bearing a Regulation S legend. Filed as Exhibit</w:t>
              </w:r>
            </w:hyperlink>
          </w:p>
        </w:tc>
        <w:tc>
          <w:tcPr>
            <w:tcW w:w="500" w:type="dxa"/>
            <w:vAlign w:val="bottom"/>
            <w:gridSpan w:val="18"/>
          </w:tcPr>
          <w:p>
            <w:pPr>
              <w:spacing w:after="0"/>
              <w:rPr>
                <w:sz w:val="18"/>
                <w:szCs w:val="18"/>
                <w:color w:val="auto"/>
              </w:rPr>
            </w:pPr>
          </w:p>
        </w:tc>
      </w:tr>
      <w:tr>
        <w:trPr>
          <w:trHeight w:val="155"/>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840" w:type="dxa"/>
            <w:vAlign w:val="bottom"/>
            <w:gridSpan w:val="45"/>
          </w:tcPr>
          <w:p>
            <w:pPr>
              <w:spacing w:after="0" w:line="155" w:lineRule="exact"/>
              <w:rPr>
                <w:rFonts w:ascii="Arial" w:cs="Arial" w:eastAsia="Arial" w:hAnsi="Arial"/>
                <w:sz w:val="16"/>
                <w:szCs w:val="16"/>
                <w:color w:val="0000FF"/>
              </w:rPr>
            </w:pPr>
            <w:hyperlink r:id="rId267">
              <w:r>
                <w:rPr>
                  <w:rFonts w:ascii="Arial" w:cs="Arial" w:eastAsia="Arial" w:hAnsi="Arial"/>
                  <w:sz w:val="16"/>
                  <w:szCs w:val="16"/>
                  <w:color w:val="0000FF"/>
                </w:rPr>
                <w:t>4.</w:t>
              </w:r>
              <w:r>
                <w:rPr>
                  <w:rFonts w:ascii="Arial" w:cs="Arial" w:eastAsia="Arial" w:hAnsi="Arial"/>
                  <w:sz w:val="16"/>
                  <w:szCs w:val="16"/>
                  <w:u w:val="single" w:color="auto"/>
                  <w:color w:val="0000FF"/>
                </w:rPr>
                <w:t>4</w:t>
              </w:r>
              <w:r>
                <w:rPr>
                  <w:rFonts w:ascii="Arial" w:cs="Arial" w:eastAsia="Arial" w:hAnsi="Arial"/>
                  <w:sz w:val="16"/>
                  <w:szCs w:val="16"/>
                  <w:color w:val="0000FF"/>
                </w:rPr>
                <w:t xml:space="preserve"> to our Current Report on Form 8-K filed on February 16, 2021.</w:t>
              </w:r>
            </w:hyperlink>
          </w:p>
        </w:tc>
      </w:tr>
      <w:tr>
        <w:trPr>
          <w:trHeight w:val="210"/>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4.8+</w:t>
            </w:r>
          </w:p>
        </w:tc>
        <w:tc>
          <w:tcPr>
            <w:tcW w:w="178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4"/>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Description of Securities.</w:t>
              </w:r>
            </w:hyperlink>
          </w:p>
        </w:tc>
        <w:tc>
          <w:tcPr>
            <w:tcW w:w="2920" w:type="dxa"/>
            <w:vAlign w:val="bottom"/>
            <w:tcBorders>
              <w:top w:val="single" w:sz="8" w:color="0000FF"/>
            </w:tcBorders>
            <w:gridSpan w:val="9"/>
          </w:tcPr>
          <w:p>
            <w:pPr>
              <w:spacing w:after="0"/>
              <w:rPr>
                <w:sz w:val="18"/>
                <w:szCs w:val="18"/>
                <w:color w:val="auto"/>
              </w:rPr>
            </w:pPr>
          </w:p>
        </w:tc>
        <w:tc>
          <w:tcPr>
            <w:tcW w:w="4120" w:type="dxa"/>
            <w:vAlign w:val="bottom"/>
            <w:gridSpan w:val="32"/>
          </w:tcPr>
          <w:p>
            <w:pPr>
              <w:spacing w:after="0"/>
              <w:rPr>
                <w:sz w:val="18"/>
                <w:szCs w:val="18"/>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4.9</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68">
              <w:r>
                <w:rPr>
                  <w:rFonts w:ascii="Arial" w:cs="Arial" w:eastAsia="Arial" w:hAnsi="Arial"/>
                  <w:sz w:val="16"/>
                  <w:szCs w:val="16"/>
                  <w:color w:val="0000FF"/>
                </w:rPr>
                <w:t>Registration Rights Agreement, dated February 16, 2021, between Biogen Inc. and Deutsche Bank Securities Inc. and</w:t>
              </w:r>
            </w:hyperlink>
          </w:p>
        </w:tc>
      </w:tr>
      <w:tr>
        <w:trPr>
          <w:trHeight w:val="155"/>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25"/>
          </w:tcPr>
          <w:p>
            <w:pPr>
              <w:spacing w:after="0" w:line="155" w:lineRule="exact"/>
              <w:rPr>
                <w:rFonts w:ascii="Arial" w:cs="Arial" w:eastAsia="Arial" w:hAnsi="Arial"/>
                <w:sz w:val="16"/>
                <w:szCs w:val="16"/>
                <w:color w:val="0000FF"/>
              </w:rPr>
            </w:pPr>
            <w:hyperlink r:id="rId268">
              <w:r>
                <w:rPr>
                  <w:rFonts w:ascii="Arial" w:cs="Arial" w:eastAsia="Arial" w:hAnsi="Arial"/>
                  <w:sz w:val="16"/>
                  <w:szCs w:val="16"/>
                  <w:color w:val="0000FF"/>
                </w:rPr>
                <w:t>Citigroup Global Markets, Inc. with respect to the 3.250% Senior Notes due 2051. Filed as Exhibit 4.5 to our Current</w:t>
              </w:r>
            </w:hyperlink>
          </w:p>
        </w:tc>
        <w:tc>
          <w:tcPr>
            <w:tcW w:w="160" w:type="dxa"/>
            <w:vAlign w:val="bottom"/>
            <w:tcBorders>
              <w:top w:val="single" w:sz="8" w:color="0000FF"/>
            </w:tcBorders>
            <w:gridSpan w:val="4"/>
          </w:tcPr>
          <w:p>
            <w:pPr>
              <w:spacing w:after="0"/>
              <w:rPr>
                <w:sz w:val="13"/>
                <w:szCs w:val="13"/>
                <w:color w:val="auto"/>
              </w:rPr>
            </w:pPr>
          </w:p>
        </w:tc>
        <w:tc>
          <w:tcPr>
            <w:tcW w:w="380" w:type="dxa"/>
            <w:vAlign w:val="bottom"/>
            <w:gridSpan w:val="16"/>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420" w:type="dxa"/>
            <w:vAlign w:val="bottom"/>
            <w:tcBorders>
              <w:bottom w:val="single" w:sz="8" w:color="0000FF"/>
            </w:tcBorders>
            <w:gridSpan w:val="8"/>
          </w:tcPr>
          <w:p>
            <w:pPr>
              <w:spacing w:after="0" w:line="155" w:lineRule="exact"/>
              <w:rPr>
                <w:rFonts w:ascii="Arial" w:cs="Arial" w:eastAsia="Arial" w:hAnsi="Arial"/>
                <w:sz w:val="16"/>
                <w:szCs w:val="16"/>
                <w:color w:val="0000FF"/>
              </w:rPr>
            </w:pPr>
            <w:hyperlink r:id="rId268">
              <w:r>
                <w:rPr>
                  <w:rFonts w:ascii="Arial" w:cs="Arial" w:eastAsia="Arial" w:hAnsi="Arial"/>
                  <w:sz w:val="16"/>
                  <w:szCs w:val="16"/>
                  <w:color w:val="0000FF"/>
                </w:rPr>
                <w:t>Report on Form 8-K filed on February 16, 2021.</w:t>
              </w:r>
            </w:hyperlink>
          </w:p>
        </w:tc>
        <w:tc>
          <w:tcPr>
            <w:tcW w:w="5420" w:type="dxa"/>
            <w:vAlign w:val="bottom"/>
            <w:gridSpan w:val="37"/>
          </w:tcPr>
          <w:p>
            <w:pPr>
              <w:spacing w:after="0"/>
              <w:rPr>
                <w:sz w:val="13"/>
                <w:szCs w:val="13"/>
                <w:color w:val="auto"/>
              </w:rPr>
            </w:pPr>
          </w:p>
        </w:tc>
      </w:tr>
      <w:tr>
        <w:trPr>
          <w:trHeight w:val="209"/>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10.1</w:t>
            </w:r>
          </w:p>
        </w:tc>
        <w:tc>
          <w:tcPr>
            <w:tcW w:w="1780" w:type="dxa"/>
            <w:vAlign w:val="bottom"/>
          </w:tcPr>
          <w:p>
            <w:pPr>
              <w:spacing w:after="0"/>
              <w:rPr>
                <w:sz w:val="18"/>
                <w:szCs w:val="18"/>
                <w:color w:val="auto"/>
              </w:rPr>
            </w:pPr>
          </w:p>
        </w:tc>
        <w:tc>
          <w:tcPr>
            <w:tcW w:w="8840" w:type="dxa"/>
            <w:vAlign w:val="bottom"/>
            <w:gridSpan w:val="45"/>
          </w:tcPr>
          <w:p>
            <w:pPr>
              <w:spacing w:after="0"/>
              <w:rPr>
                <w:rFonts w:ascii="Arial" w:cs="Arial" w:eastAsia="Arial" w:hAnsi="Arial"/>
                <w:sz w:val="16"/>
                <w:szCs w:val="16"/>
                <w:color w:val="0000FF"/>
              </w:rPr>
            </w:pPr>
            <w:hyperlink r:id="rId269">
              <w:r>
                <w:rPr>
                  <w:rFonts w:ascii="Arial" w:cs="Arial" w:eastAsia="Arial" w:hAnsi="Arial"/>
                  <w:sz w:val="16"/>
                  <w:szCs w:val="16"/>
                  <w:color w:val="0000FF"/>
                </w:rPr>
                <w:t>Credit Agreement between Biogen Inc., Bank of America, N.A., Goldman Sachs Bank USA and other lenders party</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thereto, dated August 28, 2015. Filed as Exhibit 10.1 to our Current Report on Form 8-K filed on September 1,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20" w:type="dxa"/>
            <w:vAlign w:val="bottom"/>
            <w:gridSpan w:val="9"/>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10.2</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0">
              <w:r>
                <w:rPr>
                  <w:rFonts w:ascii="Arial" w:cs="Arial" w:eastAsia="Arial" w:hAnsi="Arial"/>
                  <w:sz w:val="16"/>
                  <w:szCs w:val="16"/>
                  <w:color w:val="0000FF"/>
                </w:rPr>
                <w:t>Credit Agreement, dated as of January 28, 2020, among Biogen Inc., Bank of America, N.A., as administrative agent,</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2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swing ling lender and the L/C issuer, and the other lenders party thereto. Filed as Exhibit 10.1 to our Current Report on</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4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Form 8-K filed on February 3, 2020.</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10.3†</w:t>
            </w:r>
          </w:p>
        </w:tc>
        <w:tc>
          <w:tcPr>
            <w:tcW w:w="8840" w:type="dxa"/>
            <w:vAlign w:val="bottom"/>
            <w:gridSpan w:val="45"/>
          </w:tcPr>
          <w:p>
            <w:pPr>
              <w:spacing w:after="0"/>
              <w:rPr>
                <w:rFonts w:ascii="Arial" w:cs="Arial" w:eastAsia="Arial" w:hAnsi="Arial"/>
                <w:sz w:val="16"/>
                <w:szCs w:val="16"/>
                <w:color w:val="0000FF"/>
              </w:rPr>
            </w:pPr>
            <w:hyperlink r:id="rId271">
              <w:r>
                <w:rPr>
                  <w:rFonts w:ascii="Arial" w:cs="Arial" w:eastAsia="Arial" w:hAnsi="Arial"/>
                  <w:sz w:val="16"/>
                  <w:szCs w:val="16"/>
                  <w:color w:val="0000FF"/>
                </w:rPr>
                <w:t>Second Amended and Restated Collaboration Agreement between Biogen Idec Inc. and Genentech, Inc., dated as of</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6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October 18, 2010. Filed as Exhibit 10.5 to our Annual Report on Form 10-K for the year ended December 31, 2010.</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20" w:type="dxa"/>
            <w:vAlign w:val="bottom"/>
            <w:gridSpan w:val="9"/>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6"/>
                <w:szCs w:val="16"/>
                <w:color w:val="auto"/>
              </w:rPr>
              <w:t>10.4†</w:t>
            </w:r>
          </w:p>
        </w:tc>
        <w:tc>
          <w:tcPr>
            <w:tcW w:w="8840" w:type="dxa"/>
            <w:vAlign w:val="bottom"/>
            <w:gridSpan w:val="45"/>
          </w:tcPr>
          <w:p>
            <w:pPr>
              <w:spacing w:after="0"/>
              <w:rPr>
                <w:rFonts w:ascii="Arial" w:cs="Arial" w:eastAsia="Arial" w:hAnsi="Arial"/>
                <w:sz w:val="16"/>
                <w:szCs w:val="16"/>
                <w:color w:val="0000FF"/>
              </w:rPr>
            </w:pPr>
            <w:hyperlink r:id="rId272">
              <w:r>
                <w:rPr>
                  <w:rFonts w:ascii="Arial" w:cs="Arial" w:eastAsia="Arial" w:hAnsi="Arial"/>
                  <w:sz w:val="16"/>
                  <w:szCs w:val="16"/>
                  <w:color w:val="0000FF"/>
                </w:rPr>
                <w:t>Letter Agreement regarding GA101 financial terms between Biogen Idec Inc. and Genentech, Inc., dated October 18,</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2010. Filed as Exhibit 10.6 to our Annual Report on Form 10-K for the year ended December 31, 2010.</w:t>
              </w:r>
            </w:hyperlink>
          </w:p>
        </w:tc>
        <w:tc>
          <w:tcPr>
            <w:tcW w:w="120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10.5</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3">
              <w:r>
                <w:rPr>
                  <w:rFonts w:ascii="Arial" w:cs="Arial" w:eastAsia="Arial" w:hAnsi="Arial"/>
                  <w:sz w:val="16"/>
                  <w:szCs w:val="16"/>
                  <w:color w:val="0000FF"/>
                </w:rPr>
                <w:t>Settlement and License Agreement, dated January 17, 2017, between Biogen Swiss Manufacturing GmbH, Biogen</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4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International Holdings ltd., Forward Pharma A/S and other parties thereto. Filed as Exhibit 10.1 to our Current Report</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8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on Form 8-K filed on February 1, 2017.</w:t>
              </w:r>
            </w:hyperlink>
          </w:p>
        </w:tc>
        <w:tc>
          <w:tcPr>
            <w:tcW w:w="20" w:type="dxa"/>
            <w:vAlign w:val="bottom"/>
          </w:tcPr>
          <w:p>
            <w:pPr>
              <w:spacing w:after="0"/>
              <w:rPr>
                <w:sz w:val="12"/>
                <w:szCs w:val="12"/>
                <w:color w:val="auto"/>
              </w:rPr>
            </w:pPr>
          </w:p>
        </w:tc>
        <w:tc>
          <w:tcPr>
            <w:tcW w:w="22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2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320" w:type="dxa"/>
            <w:vAlign w:val="bottom"/>
            <w:gridSpan w:val="13"/>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10.6*</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4">
              <w:r>
                <w:rPr>
                  <w:rFonts w:ascii="Arial" w:cs="Arial" w:eastAsia="Arial" w:hAnsi="Arial"/>
                  <w:sz w:val="16"/>
                  <w:szCs w:val="16"/>
                  <w:color w:val="0000FF"/>
                </w:rPr>
                <w:t>Biogen Inc. 2017 Omnibus Equity Plan. Filed as Appendix B to our Definitive Proxy Statement on Schedule 14A filed</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on April 26, 2017.</w:t>
              </w:r>
            </w:hyperlink>
          </w:p>
        </w:tc>
        <w:tc>
          <w:tcPr>
            <w:tcW w:w="22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940" w:type="dxa"/>
            <w:vAlign w:val="bottom"/>
            <w:gridSpan w:val="1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5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10.7*</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5">
              <w:r>
                <w:rPr>
                  <w:rFonts w:ascii="Arial" w:cs="Arial" w:eastAsia="Arial" w:hAnsi="Arial"/>
                  <w:sz w:val="16"/>
                  <w:szCs w:val="16"/>
                  <w:color w:val="0000FF"/>
                </w:rPr>
                <w:t>Form of restricted stock unit award agreement under the Biogen Inc. 2017 Omnibus Equity Plan. Filed as Exhibit 10.2</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0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to our Quarterly Report on Form 10-Q for the quarter ended June 30, 2017.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5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10.8*</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6">
              <w:r>
                <w:rPr>
                  <w:rFonts w:ascii="Arial" w:cs="Arial" w:eastAsia="Arial" w:hAnsi="Arial"/>
                  <w:sz w:val="16"/>
                  <w:szCs w:val="16"/>
                  <w:color w:val="0000FF"/>
                </w:rPr>
                <w:t>Form of market stock unit award agreement under the Biogen Inc. 2017 Omnibus Equity Plan. Filed as Exhibit 10.3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our Quarterly Report on Form 10-Q for the quarter ended June 30, 2017.</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5"/>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540" w:type="dxa"/>
            <w:vAlign w:val="bottom"/>
            <w:gridSpan w:val="2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10.9*</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7">
              <w:r>
                <w:rPr>
                  <w:rFonts w:ascii="Arial" w:cs="Arial" w:eastAsia="Arial" w:hAnsi="Arial"/>
                  <w:sz w:val="16"/>
                  <w:szCs w:val="16"/>
                  <w:color w:val="0000FF"/>
                </w:rPr>
                <w:t>Form of performance unit award agreement under the Biogen Inc. 2017 Omnibus Equity Plan. Filed as Exhibit 10.4 to</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82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our Quarterly Report on Form 10-Q for the quarter ended June 30, 2017.</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0" w:type="dxa"/>
            <w:vAlign w:val="bottom"/>
            <w:gridSpan w:val="15"/>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560" w:type="dxa"/>
            <w:vAlign w:val="bottom"/>
            <w:gridSpan w:val="25"/>
          </w:tcPr>
          <w:p>
            <w:pPr>
              <w:spacing w:after="0" w:line="20" w:lineRule="exact"/>
              <w:rPr>
                <w:sz w:val="1"/>
                <w:szCs w:val="1"/>
                <w:color w:val="auto"/>
              </w:rPr>
            </w:pPr>
          </w:p>
        </w:tc>
      </w:tr>
      <w:tr>
        <w:trPr>
          <w:trHeight w:val="196"/>
        </w:trPr>
        <w:tc>
          <w:tcPr>
            <w:tcW w:w="880" w:type="dxa"/>
            <w:vAlign w:val="bottom"/>
            <w:gridSpan w:val="2"/>
          </w:tcPr>
          <w:p>
            <w:pPr>
              <w:ind w:left="40"/>
              <w:spacing w:after="0"/>
              <w:rPr>
                <w:sz w:val="20"/>
                <w:szCs w:val="20"/>
                <w:color w:val="auto"/>
              </w:rPr>
            </w:pPr>
            <w:r>
              <w:rPr>
                <w:rFonts w:ascii="Arial" w:cs="Arial" w:eastAsia="Arial" w:hAnsi="Arial"/>
                <w:sz w:val="16"/>
                <w:szCs w:val="16"/>
                <w:color w:val="auto"/>
              </w:rPr>
              <w:t>10.10*</w:t>
            </w:r>
          </w:p>
        </w:tc>
        <w:tc>
          <w:tcPr>
            <w:tcW w:w="1780" w:type="dxa"/>
            <w:vAlign w:val="bottom"/>
          </w:tcPr>
          <w:p>
            <w:pPr>
              <w:spacing w:after="0"/>
              <w:rPr>
                <w:sz w:val="17"/>
                <w:szCs w:val="17"/>
                <w:color w:val="auto"/>
              </w:rPr>
            </w:pPr>
          </w:p>
        </w:tc>
        <w:tc>
          <w:tcPr>
            <w:tcW w:w="8840" w:type="dxa"/>
            <w:vAlign w:val="bottom"/>
            <w:gridSpan w:val="45"/>
          </w:tcPr>
          <w:p>
            <w:pPr>
              <w:spacing w:after="0"/>
              <w:rPr>
                <w:rFonts w:ascii="Arial" w:cs="Arial" w:eastAsia="Arial" w:hAnsi="Arial"/>
                <w:sz w:val="16"/>
                <w:szCs w:val="16"/>
                <w:color w:val="0000FF"/>
              </w:rPr>
            </w:pPr>
            <w:hyperlink r:id="rId278">
              <w:r>
                <w:rPr>
                  <w:rFonts w:ascii="Arial" w:cs="Arial" w:eastAsia="Arial" w:hAnsi="Arial"/>
                  <w:sz w:val="16"/>
                  <w:szCs w:val="16"/>
                  <w:color w:val="0000FF"/>
                </w:rPr>
                <w:t>Form of cash-settled performance unit award agreement under the Biogen Inc. 2017 Omnibus Equity Plan. Filed as</w:t>
              </w:r>
            </w:hyperlink>
          </w:p>
        </w:tc>
      </w:tr>
      <w:tr>
        <w:trPr>
          <w:trHeight w:val="142"/>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Exhibit 10.5 to our Quarterly Report on Form 10-Q for the quarter ended June 30, 2017.</w:t>
              </w:r>
            </w:hyperlink>
          </w:p>
        </w:tc>
        <w:tc>
          <w:tcPr>
            <w:tcW w:w="140" w:type="dxa"/>
            <w:vAlign w:val="bottom"/>
            <w:gridSpan w:val="7"/>
          </w:tcPr>
          <w:p>
            <w:pPr>
              <w:spacing w:after="0"/>
              <w:rPr>
                <w:sz w:val="12"/>
                <w:szCs w:val="12"/>
                <w:color w:val="auto"/>
              </w:rPr>
            </w:pPr>
          </w:p>
        </w:tc>
      </w:tr>
      <w:tr>
        <w:trPr>
          <w:trHeight w:val="871"/>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20" w:type="dxa"/>
            <w:vAlign w:val="bottom"/>
            <w:tcBorders>
              <w:top w:val="single" w:sz="8" w:color="0000FF"/>
            </w:tcBorders>
            <w:gridSpan w:val="8"/>
          </w:tcPr>
          <w:p>
            <w:pPr>
              <w:ind w:left="2860"/>
              <w:spacing w:after="0"/>
              <w:rPr>
                <w:sz w:val="20"/>
                <w:szCs w:val="20"/>
                <w:color w:val="auto"/>
              </w:rPr>
            </w:pPr>
            <w:r>
              <w:rPr>
                <w:rFonts w:ascii="Arial" w:cs="Arial" w:eastAsia="Arial" w:hAnsi="Arial"/>
                <w:sz w:val="18"/>
                <w:szCs w:val="18"/>
                <w:color w:val="auto"/>
              </w:rPr>
              <w:t>93</w:t>
            </w: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62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00" w:type="dxa"/>
            <w:vAlign w:val="bottom"/>
            <w:gridSpan w:val="3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10.11*</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1">
              <w:r>
                <w:rPr>
                  <w:rFonts w:ascii="Arial" w:cs="Arial" w:eastAsia="Arial" w:hAnsi="Arial"/>
                  <w:sz w:val="16"/>
                  <w:szCs w:val="16"/>
                  <w:color w:val="0000FF"/>
                </w:rPr>
                <w:t>Form of performance stock units award agreement (cash-settled) under the Biogen Inc. 2017 Omnibus Equity Plan.</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Filed as Exhibit 10.10 to our Annual Report on Form 10-K for the year ended December 31, 2017.</w:t>
              </w:r>
            </w:hyperlink>
          </w:p>
        </w:tc>
        <w:tc>
          <w:tcPr>
            <w:tcW w:w="162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10.12*</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2">
              <w:r>
                <w:rPr>
                  <w:rFonts w:ascii="Arial" w:cs="Arial" w:eastAsia="Arial" w:hAnsi="Arial"/>
                  <w:sz w:val="16"/>
                  <w:szCs w:val="16"/>
                  <w:color w:val="0000FF"/>
                </w:rPr>
                <w:t>Form of performance stock units award agreement under the Biogen Inc. 2017 Omnibus Equity Plan. Filed as Exhibit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86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10.</w:t>
              </w:r>
              <w:r>
                <w:rPr>
                  <w:rFonts w:ascii="Arial" w:cs="Arial" w:eastAsia="Arial" w:hAnsi="Arial"/>
                  <w:sz w:val="16"/>
                  <w:szCs w:val="16"/>
                  <w:u w:val="single" w:color="auto"/>
                  <w:color w:val="0000FF"/>
                </w:rPr>
                <w:t>11</w:t>
              </w:r>
              <w:r>
                <w:rPr>
                  <w:rFonts w:ascii="Arial" w:cs="Arial" w:eastAsia="Arial" w:hAnsi="Arial"/>
                  <w:sz w:val="16"/>
                  <w:szCs w:val="16"/>
                  <w:color w:val="0000FF"/>
                </w:rPr>
                <w:t xml:space="preserve"> to our Annual Report on Form 10-K for the year ended December 31, 2017.</w:t>
              </w:r>
            </w:hyperlink>
          </w:p>
        </w:tc>
        <w:tc>
          <w:tcPr>
            <w:tcW w:w="268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10.13*</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3">
              <w:r>
                <w:rPr>
                  <w:rFonts w:ascii="Arial" w:cs="Arial" w:eastAsia="Arial" w:hAnsi="Arial"/>
                  <w:sz w:val="16"/>
                  <w:szCs w:val="16"/>
                  <w:color w:val="0000FF"/>
                </w:rPr>
                <w:t>Form of performance stock units award agreement under the Biogen Inc. 2017 Omnibus Equity Plan. Filed as Exhibit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3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83">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Quarterly Report on Form 10-Q for the quarter ended March 31, 2018.</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10.14*</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4">
              <w:r>
                <w:rPr>
                  <w:rFonts w:ascii="Arial" w:cs="Arial" w:eastAsia="Arial" w:hAnsi="Arial"/>
                  <w:sz w:val="16"/>
                  <w:szCs w:val="16"/>
                  <w:color w:val="0000FF"/>
                </w:rPr>
                <w:t>Form of performance stock units award agreement (cash settled) under the Biogen Inc. 2017 Omnibus Equity Plan.</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2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84">
              <w:r>
                <w:rPr>
                  <w:rFonts w:ascii="Arial" w:cs="Arial" w:eastAsia="Arial" w:hAnsi="Arial"/>
                  <w:sz w:val="16"/>
                  <w:szCs w:val="16"/>
                  <w:color w:val="0000FF"/>
                </w:rPr>
                <w:t>Filed as Exhibit 10.2 to our Quarterly Report on Form 10-Q for the quarter ended March 31, 2018.</w:t>
              </w:r>
            </w:hyperlink>
          </w:p>
        </w:tc>
        <w:tc>
          <w:tcPr>
            <w:tcW w:w="4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10.15*</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5">
              <w:r>
                <w:rPr>
                  <w:rFonts w:ascii="Arial" w:cs="Arial" w:eastAsia="Arial" w:hAnsi="Arial"/>
                  <w:sz w:val="16"/>
                  <w:szCs w:val="16"/>
                  <w:color w:val="0000FF"/>
                </w:rPr>
                <w:t>Form of restricted stock unit award agreement (2018 one-time transition grant) under the Biogen Inc. 2017 Omnibus</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9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85">
              <w:r>
                <w:rPr>
                  <w:rFonts w:ascii="Arial" w:cs="Arial" w:eastAsia="Arial" w:hAnsi="Arial"/>
                  <w:sz w:val="16"/>
                  <w:szCs w:val="16"/>
                  <w:color w:val="0000FF"/>
                </w:rPr>
                <w:t>Equity Plan. Filed as Exhibit 10.3 to our Quarterly Report on Form 10-Q for the quarter ended March 31, 2018.</w:t>
              </w:r>
            </w:hyperlink>
          </w:p>
        </w:tc>
        <w:tc>
          <w:tcPr>
            <w:tcW w:w="400" w:type="dxa"/>
            <w:vAlign w:val="bottom"/>
            <w:tcBorders>
              <w:top w:val="single" w:sz="8" w:color="0000FF"/>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10.16*</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6">
              <w:r>
                <w:rPr>
                  <w:rFonts w:ascii="Arial" w:cs="Arial" w:eastAsia="Arial" w:hAnsi="Arial"/>
                  <w:sz w:val="16"/>
                  <w:szCs w:val="16"/>
                  <w:color w:val="0000FF"/>
                </w:rPr>
                <w:t>Form of market stock unit award agreement under the Biogen Inc. 2017 Omnibus Equity Plan (for grants commencing</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9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86">
              <w:r>
                <w:rPr>
                  <w:rFonts w:ascii="Arial" w:cs="Arial" w:eastAsia="Arial" w:hAnsi="Arial"/>
                  <w:sz w:val="16"/>
                  <w:szCs w:val="16"/>
                  <w:color w:val="0000FF"/>
                </w:rPr>
                <w:t>in July 2019). Filed as Exhibit 10.1 to our Quarterly Report on Form 10-Q for the quarter ended June 30, 2019.</w:t>
              </w:r>
            </w:hyperlink>
          </w:p>
        </w:tc>
        <w:tc>
          <w:tcPr>
            <w:tcW w:w="52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10.17*</w:t>
            </w:r>
          </w:p>
        </w:tc>
        <w:tc>
          <w:tcPr>
            <w:tcW w:w="1780" w:type="dxa"/>
            <w:vAlign w:val="bottom"/>
          </w:tcPr>
          <w:p>
            <w:pPr>
              <w:spacing w:after="0"/>
              <w:rPr>
                <w:sz w:val="17"/>
                <w:szCs w:val="17"/>
                <w:color w:val="auto"/>
              </w:rPr>
            </w:pPr>
          </w:p>
        </w:tc>
        <w:tc>
          <w:tcPr>
            <w:tcW w:w="7960" w:type="dxa"/>
            <w:vAlign w:val="bottom"/>
            <w:tcBorders>
              <w:bottom w:val="single" w:sz="8" w:color="0000FF"/>
            </w:tcBorders>
            <w:gridSpan w:val="18"/>
          </w:tcPr>
          <w:p>
            <w:pPr>
              <w:spacing w:after="0"/>
              <w:rPr>
                <w:rFonts w:ascii="Arial" w:cs="Arial" w:eastAsia="Arial" w:hAnsi="Arial"/>
                <w:sz w:val="16"/>
                <w:szCs w:val="16"/>
                <w:color w:val="0000FF"/>
              </w:rPr>
            </w:pPr>
            <w:hyperlink r:id="rId287">
              <w:r>
                <w:rPr>
                  <w:rFonts w:ascii="Arial" w:cs="Arial" w:eastAsia="Arial" w:hAnsi="Arial"/>
                  <w:sz w:val="16"/>
                  <w:szCs w:val="16"/>
                  <w:color w:val="0000FF"/>
                </w:rPr>
                <w:t>Form of performance stock units award agreement under the Biogen Inc. 2017 Omnibus Equity Plan (for grants</w:t>
              </w:r>
            </w:hyperlink>
          </w:p>
        </w:tc>
        <w:tc>
          <w:tcPr>
            <w:tcW w:w="800" w:type="dxa"/>
            <w:vAlign w:val="bottom"/>
            <w:gridSpan w:val="19"/>
          </w:tcPr>
          <w:p>
            <w:pPr>
              <w:spacing w:after="0"/>
              <w:rPr>
                <w:sz w:val="17"/>
                <w:szCs w:val="17"/>
                <w:color w:val="auto"/>
              </w:rPr>
            </w:pPr>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60" w:type="dxa"/>
            <w:vAlign w:val="bottom"/>
            <w:gridSpan w:val="37"/>
          </w:tcPr>
          <w:p>
            <w:pPr>
              <w:spacing w:after="0" w:line="142" w:lineRule="exact"/>
              <w:rPr>
                <w:rFonts w:ascii="Arial" w:cs="Arial" w:eastAsia="Arial" w:hAnsi="Arial"/>
                <w:sz w:val="16"/>
                <w:szCs w:val="16"/>
                <w:color w:val="0000FF"/>
              </w:rPr>
            </w:pPr>
            <w:hyperlink r:id="rId287">
              <w:r>
                <w:rPr>
                  <w:rFonts w:ascii="Arial" w:cs="Arial" w:eastAsia="Arial" w:hAnsi="Arial"/>
                  <w:sz w:val="16"/>
                  <w:szCs w:val="16"/>
                  <w:color w:val="0000FF"/>
                </w:rPr>
                <w:t>commencing in July 2019). Filed as Exhibit 10.2 to our Quarterly Report on Form 10-Q for the quarter ended June 30,</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287">
              <w:r>
                <w:rPr>
                  <w:rFonts w:ascii="Arial" w:cs="Arial" w:eastAsia="Arial" w:hAnsi="Arial"/>
                  <w:sz w:val="16"/>
                  <w:szCs w:val="16"/>
                  <w:color w:val="0000FF"/>
                </w:rPr>
                <w:t>2019.</w:t>
              </w:r>
            </w:hyperlink>
          </w:p>
        </w:tc>
        <w:tc>
          <w:tcPr>
            <w:tcW w:w="86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10.18*</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8">
              <w:r>
                <w:rPr>
                  <w:rFonts w:ascii="Arial" w:cs="Arial" w:eastAsia="Arial" w:hAnsi="Arial"/>
                  <w:sz w:val="16"/>
                  <w:szCs w:val="16"/>
                  <w:color w:val="0000FF"/>
                </w:rPr>
                <w:t>Form of performance stock units award agreement (cash settled) under the Biogen Inc. 2017 Omnibus Equity Plan (for</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4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88">
              <w:r>
                <w:rPr>
                  <w:rFonts w:ascii="Arial" w:cs="Arial" w:eastAsia="Arial" w:hAnsi="Arial"/>
                  <w:sz w:val="16"/>
                  <w:szCs w:val="16"/>
                  <w:color w:val="0000FF"/>
                </w:rPr>
                <w:t>grants commencing in July 2019). Filed as Exhibit 10.3 to our Quarterly Report on Form 10-Q for the quarter ended</w:t>
              </w:r>
            </w:hyperlink>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288">
              <w:r>
                <w:rPr>
                  <w:rFonts w:ascii="Arial" w:cs="Arial" w:eastAsia="Arial" w:hAnsi="Arial"/>
                  <w:sz w:val="16"/>
                  <w:szCs w:val="16"/>
                  <w:color w:val="0000FF"/>
                </w:rPr>
                <w:t>June 30, 2019.</w:t>
              </w:r>
            </w:hyperlink>
          </w:p>
        </w:tc>
        <w:tc>
          <w:tcPr>
            <w:tcW w:w="7160" w:type="dxa"/>
            <w:vAlign w:val="bottom"/>
            <w:tcBorders>
              <w:top w:val="single" w:sz="8" w:color="0000FF"/>
            </w:tcBorders>
            <w:gridSpan w:val="17"/>
          </w:tcPr>
          <w:p>
            <w:pPr>
              <w:spacing w:after="0"/>
              <w:rPr>
                <w:sz w:val="12"/>
                <w:szCs w:val="12"/>
                <w:color w:val="auto"/>
              </w:rPr>
            </w:pPr>
          </w:p>
        </w:tc>
        <w:tc>
          <w:tcPr>
            <w:tcW w:w="3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10.19*</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89">
              <w:r>
                <w:rPr>
                  <w:rFonts w:ascii="Arial" w:cs="Arial" w:eastAsia="Arial" w:hAnsi="Arial"/>
                  <w:sz w:val="16"/>
                  <w:szCs w:val="16"/>
                  <w:color w:val="0000FF"/>
                </w:rPr>
                <w:t>Biogen Idec Inc. 2008 Amended and Restated Omnibus Equity Plan. Filed as Exhibit 10.1 to our Quarterly Report on</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89">
              <w:r>
                <w:rPr>
                  <w:rFonts w:ascii="Arial" w:cs="Arial" w:eastAsia="Arial" w:hAnsi="Arial"/>
                  <w:sz w:val="16"/>
                  <w:szCs w:val="16"/>
                  <w:color w:val="0000FF"/>
                </w:rPr>
                <w:t>Form 10-Q for the quarter ended March 31, 2014.</w:t>
              </w:r>
            </w:hyperlink>
          </w:p>
        </w:tc>
        <w:tc>
          <w:tcPr>
            <w:tcW w:w="518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10.20*</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0">
              <w:r>
                <w:rPr>
                  <w:rFonts w:ascii="Arial" w:cs="Arial" w:eastAsia="Arial" w:hAnsi="Arial"/>
                  <w:sz w:val="16"/>
                  <w:szCs w:val="16"/>
                  <w:color w:val="0000FF"/>
                </w:rPr>
                <w:t>Form of performance unit award agreement under the Biogen Idec Inc. 2008 Omnibus Equity Plan. Filed as Exhibit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90">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Quarterly Report on Form 10-Q for the quarter ended March 31,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10.21*</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1">
              <w:r>
                <w:rPr>
                  <w:rFonts w:ascii="Arial" w:cs="Arial" w:eastAsia="Arial" w:hAnsi="Arial"/>
                  <w:sz w:val="16"/>
                  <w:szCs w:val="16"/>
                  <w:color w:val="0000FF"/>
                </w:rPr>
                <w:t>Form of market stock unit award agreement under the Biogen Idec Inc. 2008 Omnibus Equity Plan. Filed as Exhibit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91">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our Quarterly Report on Form 10-Q for the quarter ended March 31,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10.22*</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2">
              <w:r>
                <w:rPr>
                  <w:rFonts w:ascii="Arial" w:cs="Arial" w:eastAsia="Arial" w:hAnsi="Arial"/>
                  <w:sz w:val="16"/>
                  <w:szCs w:val="16"/>
                  <w:color w:val="0000FF"/>
                </w:rPr>
                <w:t>Form of restricted stock unit award agreement under the Biogen Idec Inc. 2008 Omnibus Equity Plan. Filed as Exhibit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August 1,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10.23*</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3">
              <w:r>
                <w:rPr>
                  <w:rFonts w:ascii="Arial" w:cs="Arial" w:eastAsia="Arial" w:hAnsi="Arial"/>
                  <w:sz w:val="16"/>
                  <w:szCs w:val="16"/>
                  <w:color w:val="0000FF"/>
                </w:rPr>
                <w:t>Form of nonqualified stock option award agreement under the Biogen Idec Inc. 2008 Omnibus Equity Plan. Filed as</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1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93">
              <w:r>
                <w:rPr>
                  <w:rFonts w:ascii="Arial" w:cs="Arial" w:eastAsia="Arial" w:hAnsi="Arial"/>
                  <w:sz w:val="16"/>
                  <w:szCs w:val="16"/>
                  <w:color w:val="0000FF"/>
                </w:rPr>
                <w:t>Exhibit 10.2 to our Current Report on Form 8-K filed on August 1, 2008.</w:t>
              </w:r>
            </w:hyperlink>
          </w:p>
        </w:tc>
        <w:tc>
          <w:tcPr>
            <w:tcW w:w="352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10.24*</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4">
              <w:r>
                <w:rPr>
                  <w:rFonts w:ascii="Arial" w:cs="Arial" w:eastAsia="Arial" w:hAnsi="Arial"/>
                  <w:sz w:val="16"/>
                  <w:szCs w:val="16"/>
                  <w:color w:val="0000FF"/>
                </w:rPr>
                <w:t>Form of cash-settled performance shares award agreement under the Biogen Idec Inc. 2008 Omnibus Equity Plan.</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94">
              <w:r>
                <w:rPr>
                  <w:rFonts w:ascii="Arial" w:cs="Arial" w:eastAsia="Arial" w:hAnsi="Arial"/>
                  <w:sz w:val="16"/>
                  <w:szCs w:val="16"/>
                  <w:color w:val="0000FF"/>
                </w:rPr>
                <w:t>Filed as Exhibit 10.1 to our Quarterly Report on Form 10-Q for the quarter ended March 31, 2010.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10.25*</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5">
              <w:r>
                <w:rPr>
                  <w:rFonts w:ascii="Arial" w:cs="Arial" w:eastAsia="Arial" w:hAnsi="Arial"/>
                  <w:sz w:val="16"/>
                  <w:szCs w:val="16"/>
                  <w:color w:val="0000FF"/>
                </w:rPr>
                <w:t>Biogen Inc. 2006 Non-Employee Directors Equity Plan, as amended. Filed as Exhibit 10.1 to our Quarterly Report on</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95">
              <w:r>
                <w:rPr>
                  <w:rFonts w:ascii="Arial" w:cs="Arial" w:eastAsia="Arial" w:hAnsi="Arial"/>
                  <w:sz w:val="16"/>
                  <w:szCs w:val="16"/>
                  <w:color w:val="0000FF"/>
                </w:rPr>
                <w:t>Form 10-Q for the quarter ended March 31, 2015.</w:t>
              </w:r>
            </w:hyperlink>
          </w:p>
        </w:tc>
        <w:tc>
          <w:tcPr>
            <w:tcW w:w="5160" w:type="dxa"/>
            <w:vAlign w:val="bottom"/>
            <w:tcBorders>
              <w:top w:val="single" w:sz="8" w:color="0000FF"/>
            </w:tcBorders>
            <w:gridSpan w:val="3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10.26*</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6">
              <w:r>
                <w:rPr>
                  <w:rFonts w:ascii="Arial" w:cs="Arial" w:eastAsia="Arial" w:hAnsi="Arial"/>
                  <w:sz w:val="16"/>
                  <w:szCs w:val="16"/>
                  <w:color w:val="0000FF"/>
                </w:rPr>
                <w:t>Biogen Inc. 2015 Employee Stock Purchase Plan. Filed as Appendix A to our Definitive Proxy Statement on Schedule</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5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96">
              <w:r>
                <w:rPr>
                  <w:rFonts w:ascii="Arial" w:cs="Arial" w:eastAsia="Arial" w:hAnsi="Arial"/>
                  <w:sz w:val="16"/>
                  <w:szCs w:val="16"/>
                  <w:color w:val="0000FF"/>
                </w:rPr>
                <w:t>14A filed on April 30, 2015.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10.27*</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7">
              <w:r>
                <w:rPr>
                  <w:rFonts w:ascii="Arial" w:cs="Arial" w:eastAsia="Arial" w:hAnsi="Arial"/>
                  <w:sz w:val="16"/>
                  <w:szCs w:val="16"/>
                  <w:color w:val="0000FF"/>
                </w:rPr>
                <w:t>Biogen Idec Inc. 2008 Performance-Based Management Incentive Plan. Filed as Appendix B to our Definitive Proxy</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2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97">
              <w:r>
                <w:rPr>
                  <w:rFonts w:ascii="Arial" w:cs="Arial" w:eastAsia="Arial" w:hAnsi="Arial"/>
                  <w:sz w:val="16"/>
                  <w:szCs w:val="16"/>
                  <w:color w:val="0000FF"/>
                </w:rPr>
                <w:t>Statement on Schedule 14A filed on May 8, 2008.</w:t>
              </w:r>
            </w:hyperlink>
          </w:p>
        </w:tc>
        <w:tc>
          <w:tcPr>
            <w:tcW w:w="40" w:type="dxa"/>
            <w:vAlign w:val="bottom"/>
            <w:gridSpan w:val="2"/>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10.28*</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8">
              <w:r>
                <w:rPr>
                  <w:rFonts w:ascii="Arial" w:cs="Arial" w:eastAsia="Arial" w:hAnsi="Arial"/>
                  <w:sz w:val="16"/>
                  <w:szCs w:val="16"/>
                  <w:color w:val="0000FF"/>
                </w:rPr>
                <w:t>Biogen Inc. 2019 Form of Performance-Based Management Incentive Plan, as amended. Filed as Exhibit 10.1 to our</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74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98">
              <w:r>
                <w:rPr>
                  <w:rFonts w:ascii="Arial" w:cs="Arial" w:eastAsia="Arial" w:hAnsi="Arial"/>
                  <w:sz w:val="16"/>
                  <w:szCs w:val="16"/>
                  <w:color w:val="0000FF"/>
                </w:rPr>
                <w:t>Quarterly Report on Form 10-Q for the quarter ended June 30, 2021.</w:t>
              </w:r>
            </w:hyperlink>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0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10.29*</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299">
              <w:r>
                <w:rPr>
                  <w:rFonts w:ascii="Arial" w:cs="Arial" w:eastAsia="Arial" w:hAnsi="Arial"/>
                  <w:sz w:val="16"/>
                  <w:szCs w:val="16"/>
                  <w:color w:val="0000FF"/>
                </w:rPr>
                <w:t>Biogen Idec Inc. Voluntary Executive Supplemental Savings Plan, as amended and restated effective January 1, 2004.</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99">
              <w:r>
                <w:rPr>
                  <w:rFonts w:ascii="Arial" w:cs="Arial" w:eastAsia="Arial" w:hAnsi="Arial"/>
                  <w:sz w:val="16"/>
                  <w:szCs w:val="16"/>
                  <w:color w:val="0000FF"/>
                </w:rPr>
                <w:t>Filed as Exhibit 10.13 to our Annual Report on Form 10-K for the year ended December 31, 2003.</w:t>
              </w:r>
            </w:hyperlink>
          </w:p>
        </w:tc>
        <w:tc>
          <w:tcPr>
            <w:tcW w:w="166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10.30*</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300">
              <w:r>
                <w:rPr>
                  <w:rFonts w:ascii="Arial" w:cs="Arial" w:eastAsia="Arial" w:hAnsi="Arial"/>
                  <w:sz w:val="16"/>
                  <w:szCs w:val="16"/>
                  <w:color w:val="0000FF"/>
                </w:rPr>
                <w:t>Biogen Idec Inc. Supplemental Savings Plan, as amended. Filed as Exhibit 10.23 to our Annual Report on Form 10-K</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for the year ended December 31, 2015.</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10.31*</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301">
              <w:r>
                <w:rPr>
                  <w:rFonts w:ascii="Arial" w:cs="Arial" w:eastAsia="Arial" w:hAnsi="Arial"/>
                  <w:sz w:val="16"/>
                  <w:szCs w:val="16"/>
                  <w:color w:val="0000FF"/>
                </w:rPr>
                <w:t>Biogen Idec Inc. Voluntary Board of Directors Savings Plan, as amended. Filed as Exhibit 10.24 to our Annual Report</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on Form 10-K for the year ended December 31, 2015.</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60" w:type="dxa"/>
            <w:vAlign w:val="bottom"/>
            <w:tcBorders>
              <w:right w:val="single" w:sz="8" w:color="0000FF"/>
            </w:tcBorders>
            <w:gridSpan w:val="6"/>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10.32*</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302">
              <w:r>
                <w:rPr>
                  <w:rFonts w:ascii="Arial" w:cs="Arial" w:eastAsia="Arial" w:hAnsi="Arial"/>
                  <w:sz w:val="16"/>
                  <w:szCs w:val="16"/>
                  <w:color w:val="0000FF"/>
                </w:rPr>
                <w:t>Biogen Inc. Executive Severance Policy - U.S. Executive Vice President, as amended effective June 19, 2019. Filed as</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Exhibit 10.4 to our Quarterly Report on Form 10-Q for the quarter ended June 30, 2019.</w:t>
              </w:r>
            </w:hyperlink>
          </w:p>
        </w:tc>
        <w:tc>
          <w:tcPr>
            <w:tcW w:w="2320" w:type="dxa"/>
            <w:vAlign w:val="bottom"/>
            <w:tcBorders>
              <w:top w:val="single" w:sz="8" w:color="0000FF"/>
            </w:tcBorders>
            <w:gridSpan w:val="16"/>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10.33*</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303">
              <w:r>
                <w:rPr>
                  <w:rFonts w:ascii="Arial" w:cs="Arial" w:eastAsia="Arial" w:hAnsi="Arial"/>
                  <w:sz w:val="16"/>
                  <w:szCs w:val="16"/>
                  <w:color w:val="0000FF"/>
                </w:rPr>
                <w:t>Biogen Inc. Executive Severance Policy - U.S. Executive Vice President, as amended effective July 13, 2020. Filed as</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7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Exhibit 10.1 to our Quarterly Report on Form 10-Q for the quarter ended September 30, 2020.</w:t>
              </w:r>
            </w:hyperlink>
          </w:p>
        </w:tc>
        <w:tc>
          <w:tcPr>
            <w:tcW w:w="1960" w:type="dxa"/>
            <w:vAlign w:val="bottom"/>
            <w:tcBorders>
              <w:top w:val="single" w:sz="8" w:color="0000FF"/>
            </w:tcBorders>
            <w:gridSpan w:val="19"/>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6"/>
                <w:szCs w:val="16"/>
                <w:color w:val="auto"/>
              </w:rPr>
              <w:t>10.34*</w:t>
            </w:r>
          </w:p>
        </w:tc>
        <w:tc>
          <w:tcPr>
            <w:tcW w:w="1780" w:type="dxa"/>
            <w:vAlign w:val="bottom"/>
          </w:tcPr>
          <w:p>
            <w:pPr>
              <w:spacing w:after="0"/>
              <w:rPr>
                <w:sz w:val="17"/>
                <w:szCs w:val="17"/>
                <w:color w:val="auto"/>
              </w:rPr>
            </w:pPr>
          </w:p>
        </w:tc>
        <w:tc>
          <w:tcPr>
            <w:tcW w:w="8760" w:type="dxa"/>
            <w:vAlign w:val="bottom"/>
            <w:gridSpan w:val="37"/>
          </w:tcPr>
          <w:p>
            <w:pPr>
              <w:spacing w:after="0"/>
              <w:rPr>
                <w:rFonts w:ascii="Arial" w:cs="Arial" w:eastAsia="Arial" w:hAnsi="Arial"/>
                <w:sz w:val="16"/>
                <w:szCs w:val="16"/>
                <w:color w:val="0000FF"/>
              </w:rPr>
            </w:pPr>
            <w:hyperlink r:id="rId304">
              <w:r>
                <w:rPr>
                  <w:rFonts w:ascii="Arial" w:cs="Arial" w:eastAsia="Arial" w:hAnsi="Arial"/>
                  <w:sz w:val="16"/>
                  <w:szCs w:val="16"/>
                  <w:color w:val="0000FF"/>
                </w:rPr>
                <w:t>Annual Retainer Summary for Board of Directors (effective January 1, 2020). Filed as Exhibit 10.1 to our Quarterly</w:t>
              </w:r>
            </w:hyperlink>
          </w:p>
        </w:tc>
      </w:tr>
      <w:tr>
        <w:trPr>
          <w:trHeight w:val="142"/>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7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Report on Form 10-Q for the quarter ended September 30, 2019.</w:t>
              </w:r>
            </w:hyperlink>
          </w:p>
        </w:tc>
        <w:tc>
          <w:tcPr>
            <w:tcW w:w="3860" w:type="dxa"/>
            <w:vAlign w:val="bottom"/>
            <w:tcBorders>
              <w:top w:val="single" w:sz="8" w:color="0000FF"/>
            </w:tcBorders>
            <w:gridSpan w:val="20"/>
          </w:tcPr>
          <w:p>
            <w:pPr>
              <w:spacing w:after="0"/>
              <w:rPr>
                <w:sz w:val="12"/>
                <w:szCs w:val="12"/>
                <w:color w:val="auto"/>
              </w:rPr>
            </w:pPr>
          </w:p>
        </w:tc>
        <w:tc>
          <w:tcPr>
            <w:tcW w:w="180" w:type="dxa"/>
            <w:vAlign w:val="bottom"/>
            <w:gridSpan w:val="9"/>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940" w:type="dxa"/>
            <w:vAlign w:val="bottom"/>
            <w:gridSpan w:val="2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10.35*</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06">
              <w:r>
                <w:rPr>
                  <w:rFonts w:ascii="Arial" w:cs="Arial" w:eastAsia="Arial" w:hAnsi="Arial"/>
                  <w:sz w:val="16"/>
                  <w:szCs w:val="16"/>
                  <w:color w:val="0000FF"/>
                </w:rPr>
                <w:t>Form of indemnification agreement for directors and executive officers. Filed as Exhibit 10.1 to our Current Report on</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306">
              <w:r>
                <w:rPr>
                  <w:rFonts w:ascii="Arial" w:cs="Arial" w:eastAsia="Arial" w:hAnsi="Arial"/>
                  <w:sz w:val="16"/>
                  <w:szCs w:val="16"/>
                  <w:color w:val="0000FF"/>
                </w:rPr>
                <w:t>Form 8-K filed on June 7, 2011.</w:t>
              </w:r>
            </w:hyperlink>
          </w:p>
        </w:tc>
        <w:tc>
          <w:tcPr>
            <w:tcW w:w="63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10.36*</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07">
              <w:r>
                <w:rPr>
                  <w:rFonts w:ascii="Arial" w:cs="Arial" w:eastAsia="Arial" w:hAnsi="Arial"/>
                  <w:sz w:val="16"/>
                  <w:szCs w:val="16"/>
                  <w:color w:val="0000FF"/>
                </w:rPr>
                <w:t>Employment Agreement between Biogen Inc. and Michel Vounatsos dated December 18, 2016 and effective as of</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3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307">
              <w:r>
                <w:rPr>
                  <w:rFonts w:ascii="Arial" w:cs="Arial" w:eastAsia="Arial" w:hAnsi="Arial"/>
                  <w:sz w:val="16"/>
                  <w:szCs w:val="16"/>
                  <w:color w:val="0000FF"/>
                </w:rPr>
                <w:t>January 6, 2017. Filed as Exhibit 10.1 to our Current Report on Form 8-K filed on December 19, 2016.</w:t>
              </w:r>
            </w:hyperlink>
          </w:p>
        </w:tc>
        <w:tc>
          <w:tcPr>
            <w:tcW w:w="146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10.37*</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08">
              <w:r>
                <w:rPr>
                  <w:rFonts w:ascii="Arial" w:cs="Arial" w:eastAsia="Arial" w:hAnsi="Arial"/>
                  <w:sz w:val="16"/>
                  <w:szCs w:val="16"/>
                  <w:color w:val="0000FF"/>
                </w:rPr>
                <w:t>Letter regarding employment arrangement of Michael McDonnell dated July 16, 2020. Filed as Exhibit 10.2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3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308">
              <w:r>
                <w:rPr>
                  <w:rFonts w:ascii="Arial" w:cs="Arial" w:eastAsia="Arial" w:hAnsi="Arial"/>
                  <w:sz w:val="16"/>
                  <w:szCs w:val="16"/>
                  <w:color w:val="0000FF"/>
                </w:rPr>
                <w:t>Quarterly Report on Form 10-Q for the quarter ended September 30, 2020.</w:t>
              </w:r>
            </w:hyperlink>
          </w:p>
        </w:tc>
        <w:tc>
          <w:tcPr>
            <w:tcW w:w="33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10.38*</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09">
              <w:r>
                <w:rPr>
                  <w:rFonts w:ascii="Arial" w:cs="Arial" w:eastAsia="Arial" w:hAnsi="Arial"/>
                  <w:sz w:val="16"/>
                  <w:szCs w:val="16"/>
                  <w:color w:val="0000FF"/>
                </w:rPr>
                <w:t>Letter regarding employment arrangement of Susan Alexander dated December 13, 2005. Filed as Exhibit 10.58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6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309">
              <w:r>
                <w:rPr>
                  <w:rFonts w:ascii="Arial" w:cs="Arial" w:eastAsia="Arial" w:hAnsi="Arial"/>
                  <w:sz w:val="16"/>
                  <w:szCs w:val="16"/>
                  <w:color w:val="0000FF"/>
                </w:rPr>
                <w:t>Annual Report on Form 10-K for the year ended December 31, 2009.</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10.39*</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10">
              <w:r>
                <w:rPr>
                  <w:rFonts w:ascii="Arial" w:cs="Arial" w:eastAsia="Arial" w:hAnsi="Arial"/>
                  <w:sz w:val="16"/>
                  <w:szCs w:val="16"/>
                  <w:color w:val="0000FF"/>
                </w:rPr>
                <w:t>Letter regarding employment arrangement of Alfred W. Sandrock, Jr. dated May 7, 2013. Filed as Exhibit 10.1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310">
              <w:r>
                <w:rPr>
                  <w:rFonts w:ascii="Arial" w:cs="Arial" w:eastAsia="Arial" w:hAnsi="Arial"/>
                  <w:sz w:val="16"/>
                  <w:szCs w:val="16"/>
                  <w:color w:val="0000FF"/>
                </w:rPr>
                <w:t>Quarterly Report on Form 10-Q for the quarter ended June 30, 2013.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10.40*</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11">
              <w:r>
                <w:rPr>
                  <w:rFonts w:ascii="Arial" w:cs="Arial" w:eastAsia="Arial" w:hAnsi="Arial"/>
                  <w:sz w:val="16"/>
                  <w:szCs w:val="16"/>
                  <w:color w:val="0000FF"/>
                </w:rPr>
                <w:t>Letter regarding employment arrangement of Alfred Sandrock dated October 19, 2015. Filed as Exhibit 10.37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311">
              <w:r>
                <w:rPr>
                  <w:rFonts w:ascii="Arial" w:cs="Arial" w:eastAsia="Arial" w:hAnsi="Arial"/>
                  <w:sz w:val="16"/>
                  <w:szCs w:val="16"/>
                  <w:color w:val="0000FF"/>
                </w:rPr>
                <w:t>Annual Report on Form 10-K for the year ended December 31, 2015.</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10.41*</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12">
              <w:r>
                <w:rPr>
                  <w:rFonts w:ascii="Arial" w:cs="Arial" w:eastAsia="Arial" w:hAnsi="Arial"/>
                  <w:sz w:val="16"/>
                  <w:szCs w:val="16"/>
                  <w:color w:val="0000FF"/>
                </w:rPr>
                <w:t>Letter regarding employment arrangement of Chirfi Guindo dated October 12, 2017. Filed as Exhibit 10.41 to our Annual</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312">
              <w:r>
                <w:rPr>
                  <w:rFonts w:ascii="Arial" w:cs="Arial" w:eastAsia="Arial" w:hAnsi="Arial"/>
                  <w:sz w:val="16"/>
                  <w:szCs w:val="16"/>
                  <w:color w:val="0000FF"/>
                </w:rPr>
                <w:t>Report on Form 10-K for the year ended December 31, 2020.</w:t>
              </w:r>
            </w:hyperlink>
          </w:p>
        </w:tc>
        <w:tc>
          <w:tcPr>
            <w:tcW w:w="436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10.42*</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13">
              <w:r>
                <w:rPr>
                  <w:rFonts w:ascii="Arial" w:cs="Arial" w:eastAsia="Arial" w:hAnsi="Arial"/>
                  <w:sz w:val="16"/>
                  <w:szCs w:val="16"/>
                  <w:color w:val="0000FF"/>
                </w:rPr>
                <w:t>Letter regarding employment arrangement of Jeffrey Capello dated November 14, 2017. Filed as Exhibit 10.31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7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313">
              <w:r>
                <w:rPr>
                  <w:rFonts w:ascii="Arial" w:cs="Arial" w:eastAsia="Arial" w:hAnsi="Arial"/>
                  <w:sz w:val="16"/>
                  <w:szCs w:val="16"/>
                  <w:color w:val="0000FF"/>
                </w:rPr>
                <w:t>Annual Report on Form 10-K for the year ended December 31, 2017.</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1840" w:type="dxa"/>
            <w:vAlign w:val="bottom"/>
            <w:tcBorders>
              <w:left w:val="single" w:sz="8" w:color="0000FF"/>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10.43*</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r:id="rId314">
              <w:r>
                <w:rPr>
                  <w:rFonts w:ascii="Arial" w:cs="Arial" w:eastAsia="Arial" w:hAnsi="Arial"/>
                  <w:sz w:val="16"/>
                  <w:szCs w:val="16"/>
                  <w:color w:val="0000FF"/>
                </w:rPr>
                <w:t>Separation Agreement between Biogen Inc. and Jeffrey Capello dated July 16, 2020. Filed as Exhibit 10.3 to our</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3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314">
              <w:r>
                <w:rPr>
                  <w:rFonts w:ascii="Arial" w:cs="Arial" w:eastAsia="Arial" w:hAnsi="Arial"/>
                  <w:sz w:val="16"/>
                  <w:szCs w:val="16"/>
                  <w:color w:val="0000FF"/>
                </w:rPr>
                <w:t>Quarterly Report on Form 10-Q for the quarter ended September 30, 2020.</w:t>
              </w:r>
            </w:hyperlink>
          </w:p>
        </w:tc>
        <w:tc>
          <w:tcPr>
            <w:tcW w:w="3280" w:type="dxa"/>
            <w:vAlign w:val="bottom"/>
            <w:tcBorders>
              <w:top w:val="single" w:sz="8" w:color="0000FF"/>
            </w:tcBorders>
            <w:gridSpan w:val="9"/>
          </w:tcPr>
          <w:p>
            <w:pPr>
              <w:spacing w:after="0"/>
              <w:rPr>
                <w:sz w:val="12"/>
                <w:szCs w:val="12"/>
                <w:color w:val="auto"/>
              </w:rPr>
            </w:pPr>
          </w:p>
        </w:tc>
        <w:tc>
          <w:tcPr>
            <w:tcW w:w="1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10.44</w:t>
            </w:r>
          </w:p>
        </w:tc>
        <w:tc>
          <w:tcPr>
            <w:tcW w:w="1680" w:type="dxa"/>
            <w:vAlign w:val="bottom"/>
          </w:tcPr>
          <w:p>
            <w:pPr>
              <w:spacing w:after="0"/>
              <w:rPr>
                <w:sz w:val="17"/>
                <w:szCs w:val="17"/>
                <w:color w:val="auto"/>
              </w:rPr>
            </w:pPr>
          </w:p>
        </w:tc>
        <w:tc>
          <w:tcPr>
            <w:tcW w:w="7900" w:type="dxa"/>
            <w:vAlign w:val="bottom"/>
            <w:tcBorders>
              <w:bottom w:val="single" w:sz="8" w:color="0000FF"/>
            </w:tcBorders>
            <w:gridSpan w:val="12"/>
          </w:tcPr>
          <w:p>
            <w:pPr>
              <w:spacing w:after="0"/>
              <w:rPr>
                <w:rFonts w:ascii="Arial" w:cs="Arial" w:eastAsia="Arial" w:hAnsi="Arial"/>
                <w:sz w:val="16"/>
                <w:szCs w:val="16"/>
                <w:color w:val="0000FF"/>
              </w:rPr>
            </w:pPr>
            <w:hyperlink r:id="rId315">
              <w:r>
                <w:rPr>
                  <w:rFonts w:ascii="Arial" w:cs="Arial" w:eastAsia="Arial" w:hAnsi="Arial"/>
                  <w:sz w:val="16"/>
                  <w:szCs w:val="16"/>
                  <w:color w:val="0000FF"/>
                </w:rPr>
                <w:t>Joint Venture Agreement, dated December 6, 2011, by and between Samsung BioLogics Co., Ltd. and Biogen</w:t>
              </w:r>
            </w:hyperlink>
          </w:p>
        </w:tc>
        <w:tc>
          <w:tcPr>
            <w:tcW w:w="920" w:type="dxa"/>
            <w:vAlign w:val="bottom"/>
            <w:gridSpan w:val="13"/>
          </w:tcPr>
          <w:p>
            <w:pPr>
              <w:spacing w:after="0"/>
              <w:rPr>
                <w:sz w:val="17"/>
                <w:szCs w:val="17"/>
                <w:color w:val="auto"/>
              </w:rPr>
            </w:pPr>
          </w:p>
        </w:tc>
      </w:tr>
      <w:tr>
        <w:trPr>
          <w:trHeight w:val="155"/>
        </w:trPr>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820" w:type="dxa"/>
            <w:vAlign w:val="bottom"/>
            <w:gridSpan w:val="25"/>
          </w:tcPr>
          <w:p>
            <w:pPr>
              <w:spacing w:after="0" w:line="155" w:lineRule="exact"/>
              <w:rPr>
                <w:rFonts w:ascii="Arial" w:cs="Arial" w:eastAsia="Arial" w:hAnsi="Arial"/>
                <w:sz w:val="16"/>
                <w:szCs w:val="16"/>
                <w:color w:val="0000FF"/>
              </w:rPr>
            </w:pPr>
            <w:hyperlink r:id="rId315">
              <w:r>
                <w:rPr>
                  <w:rFonts w:ascii="Arial" w:cs="Arial" w:eastAsia="Arial" w:hAnsi="Arial"/>
                  <w:sz w:val="16"/>
                  <w:szCs w:val="16"/>
                  <w:color w:val="0000FF"/>
                </w:rPr>
                <w:t>Therapeutics Inc. (f/k/a Biogen Idec Therapeutics Inc.), as amended February 28, 2012, September 29, 2014, and</w:t>
              </w:r>
            </w:hyperlink>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2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820" w:type="dxa"/>
            <w:vAlign w:val="bottom"/>
            <w:gridSpan w:val="25"/>
          </w:tcPr>
          <w:p>
            <w:pPr>
              <w:spacing w:after="0" w:line="155" w:lineRule="exact"/>
              <w:rPr>
                <w:rFonts w:ascii="Arial" w:cs="Arial" w:eastAsia="Arial" w:hAnsi="Arial"/>
                <w:sz w:val="16"/>
                <w:szCs w:val="16"/>
                <w:color w:val="0000FF"/>
              </w:rPr>
            </w:pPr>
            <w:hyperlink r:id="rId315">
              <w:r>
                <w:rPr>
                  <w:rFonts w:ascii="Arial" w:cs="Arial" w:eastAsia="Arial" w:hAnsi="Arial"/>
                  <w:sz w:val="16"/>
                  <w:szCs w:val="16"/>
                  <w:color w:val="0000FF"/>
                </w:rPr>
                <w:t>February 20, 2019. Filed as Exhibit 10.1 to our Quarterly Report on Form 10-Q for the quarter ended March 31, 2021.</w:t>
              </w:r>
            </w:hyperlink>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21+</w:t>
            </w:r>
          </w:p>
        </w:tc>
        <w:tc>
          <w:tcPr>
            <w:tcW w:w="1680" w:type="dxa"/>
            <w:vAlign w:val="bottom"/>
          </w:tcPr>
          <w:p>
            <w:pPr>
              <w:spacing w:after="0"/>
              <w:rPr>
                <w:sz w:val="18"/>
                <w:szCs w:val="18"/>
                <w:color w:val="auto"/>
              </w:rPr>
            </w:pPr>
          </w:p>
        </w:tc>
        <w:tc>
          <w:tcPr>
            <w:tcW w:w="940" w:type="dxa"/>
            <w:vAlign w:val="bottom"/>
            <w:tcBorders>
              <w:top w:val="single" w:sz="8" w:color="0000FF"/>
              <w:bottom w:val="single" w:sz="8" w:color="0000FF"/>
            </w:tcBorders>
            <w:gridSpan w:val="2"/>
          </w:tcPr>
          <w:p>
            <w:pPr>
              <w:spacing w:after="0"/>
              <w:rPr>
                <w:rFonts w:ascii="Arial" w:cs="Arial" w:eastAsia="Arial" w:hAnsi="Arial"/>
                <w:sz w:val="16"/>
                <w:szCs w:val="16"/>
                <w:color w:val="0000FF"/>
              </w:rPr>
            </w:pPr>
            <w:hyperlink w:anchor="page208">
              <w:r>
                <w:rPr>
                  <w:rFonts w:ascii="Arial" w:cs="Arial" w:eastAsia="Arial" w:hAnsi="Arial"/>
                  <w:sz w:val="16"/>
                  <w:szCs w:val="16"/>
                  <w:color w:val="0000FF"/>
                </w:rPr>
                <w:t>Subsidiaries.</w:t>
              </w:r>
            </w:hyperlink>
          </w:p>
        </w:tc>
        <w:tc>
          <w:tcPr>
            <w:tcW w:w="7460" w:type="dxa"/>
            <w:vAlign w:val="bottom"/>
            <w:tcBorders>
              <w:top w:val="single" w:sz="8" w:color="0000FF"/>
            </w:tcBorders>
            <w:gridSpan w:val="12"/>
          </w:tcPr>
          <w:p>
            <w:pPr>
              <w:spacing w:after="0"/>
              <w:rPr>
                <w:sz w:val="18"/>
                <w:szCs w:val="18"/>
                <w:color w:val="auto"/>
              </w:rPr>
            </w:pPr>
          </w:p>
        </w:tc>
        <w:tc>
          <w:tcPr>
            <w:tcW w:w="420" w:type="dxa"/>
            <w:vAlign w:val="bottom"/>
            <w:gridSpan w:val="11"/>
          </w:tcPr>
          <w:p>
            <w:pPr>
              <w:spacing w:after="0"/>
              <w:rPr>
                <w:sz w:val="18"/>
                <w:szCs w:val="18"/>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23+</w:t>
            </w:r>
          </w:p>
        </w:tc>
        <w:tc>
          <w:tcPr>
            <w:tcW w:w="1680" w:type="dxa"/>
            <w:vAlign w:val="bottom"/>
          </w:tcPr>
          <w:p>
            <w:pPr>
              <w:spacing w:after="0"/>
              <w:rPr>
                <w:sz w:val="17"/>
                <w:szCs w:val="17"/>
                <w:color w:val="auto"/>
              </w:rPr>
            </w:pPr>
          </w:p>
        </w:tc>
        <w:tc>
          <w:tcPr>
            <w:tcW w:w="6760" w:type="dxa"/>
            <w:vAlign w:val="bottom"/>
            <w:tcBorders>
              <w:bottom w:val="single" w:sz="8" w:color="0000FF"/>
            </w:tcBorders>
            <w:gridSpan w:val="9"/>
          </w:tcPr>
          <w:p>
            <w:pPr>
              <w:spacing w:after="0"/>
              <w:rPr>
                <w:rFonts w:ascii="Arial" w:cs="Arial" w:eastAsia="Arial" w:hAnsi="Arial"/>
                <w:sz w:val="16"/>
                <w:szCs w:val="16"/>
                <w:color w:val="0000FF"/>
              </w:rPr>
            </w:pPr>
            <w:hyperlink w:anchor="page210">
              <w:r>
                <w:rPr>
                  <w:rFonts w:ascii="Arial" w:cs="Arial" w:eastAsia="Arial" w:hAnsi="Arial"/>
                  <w:sz w:val="16"/>
                  <w:szCs w:val="16"/>
                  <w:color w:val="0000FF"/>
                </w:rPr>
                <w:t>Consent of PricewaterhouseCoopers LLP, an Independent Registered Public Accounting Firm.</w:t>
              </w:r>
            </w:hyperlink>
          </w:p>
        </w:tc>
        <w:tc>
          <w:tcPr>
            <w:tcW w:w="2060" w:type="dxa"/>
            <w:vAlign w:val="bottom"/>
            <w:gridSpan w:val="16"/>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w:anchor="page211">
              <w:r>
                <w:rPr>
                  <w:rFonts w:ascii="Arial" w:cs="Arial" w:eastAsia="Arial" w:hAnsi="Arial"/>
                  <w:sz w:val="16"/>
                  <w:szCs w:val="16"/>
                  <w:color w:val="0000FF"/>
                </w:rPr>
                <w:t>Certification of the Chief Executive Officer pursuant to Section 302 of the Sarbanes-Oxley Act of 2002.</w:t>
              </w:r>
            </w:hyperlink>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680" w:type="dxa"/>
            <w:vAlign w:val="bottom"/>
          </w:tcPr>
          <w:p>
            <w:pPr>
              <w:spacing w:after="0"/>
              <w:rPr>
                <w:sz w:val="17"/>
                <w:szCs w:val="17"/>
                <w:color w:val="auto"/>
              </w:rPr>
            </w:pPr>
          </w:p>
        </w:tc>
        <w:tc>
          <w:tcPr>
            <w:tcW w:w="7320" w:type="dxa"/>
            <w:vAlign w:val="bottom"/>
            <w:tcBorders>
              <w:top w:val="single" w:sz="8" w:color="0000FF"/>
            </w:tcBorders>
            <w:gridSpan w:val="11"/>
          </w:tcPr>
          <w:p>
            <w:pPr>
              <w:spacing w:after="0"/>
              <w:rPr>
                <w:rFonts w:ascii="Arial" w:cs="Arial" w:eastAsia="Arial" w:hAnsi="Arial"/>
                <w:sz w:val="16"/>
                <w:szCs w:val="16"/>
                <w:color w:val="0000FF"/>
              </w:rPr>
            </w:pPr>
            <w:hyperlink w:anchor="page212">
              <w:r>
                <w:rPr>
                  <w:rFonts w:ascii="Arial" w:cs="Arial" w:eastAsia="Arial" w:hAnsi="Arial"/>
                  <w:sz w:val="16"/>
                  <w:szCs w:val="16"/>
                  <w:color w:val="0000FF"/>
                </w:rPr>
                <w:t>Certification of the Chief Financial Officer pursuant to Section 302 of the Sarbanes-Oxley Act of 2002.</w:t>
              </w:r>
            </w:hyperlink>
          </w:p>
        </w:tc>
        <w:tc>
          <w:tcPr>
            <w:tcW w:w="1500" w:type="dxa"/>
            <w:vAlign w:val="bottom"/>
            <w:gridSpan w:val="14"/>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400" w:type="dxa"/>
            <w:vAlign w:val="bottom"/>
            <w:gridSpan w:val="9"/>
            <w:shd w:val="clear" w:color="auto" w:fill="0000FF"/>
          </w:tcPr>
          <w:p>
            <w:pPr>
              <w:spacing w:after="0" w:line="20" w:lineRule="exact"/>
              <w:rPr>
                <w:sz w:val="1"/>
                <w:szCs w:val="1"/>
                <w:color w:val="auto"/>
              </w:rPr>
            </w:pPr>
          </w:p>
        </w:tc>
        <w:tc>
          <w:tcPr>
            <w:tcW w:w="15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680" w:type="dxa"/>
            <w:vAlign w:val="bottom"/>
          </w:tcPr>
          <w:p>
            <w:pPr>
              <w:spacing w:after="0"/>
              <w:rPr>
                <w:sz w:val="17"/>
                <w:szCs w:val="17"/>
                <w:color w:val="auto"/>
              </w:rPr>
            </w:pPr>
          </w:p>
        </w:tc>
        <w:tc>
          <w:tcPr>
            <w:tcW w:w="8820" w:type="dxa"/>
            <w:vAlign w:val="bottom"/>
            <w:gridSpan w:val="25"/>
          </w:tcPr>
          <w:p>
            <w:pPr>
              <w:spacing w:after="0"/>
              <w:rPr>
                <w:rFonts w:ascii="Arial" w:cs="Arial" w:eastAsia="Arial" w:hAnsi="Arial"/>
                <w:sz w:val="16"/>
                <w:szCs w:val="16"/>
                <w:color w:val="0000FF"/>
              </w:rPr>
            </w:pPr>
            <w:hyperlink w:anchor="page213">
              <w:r>
                <w:rPr>
                  <w:rFonts w:ascii="Arial" w:cs="Arial" w:eastAsia="Arial" w:hAnsi="Arial"/>
                  <w:sz w:val="16"/>
                  <w:szCs w:val="16"/>
                  <w:color w:val="0000FF"/>
                </w:rPr>
                <w:t>Certification of the Chief Executive Officer and the Chief Financial Officer pursuant to Section 906 of the Sarbanes-Oxley</w:t>
              </w:r>
            </w:hyperlink>
          </w:p>
        </w:tc>
      </w:tr>
      <w:tr>
        <w:trPr>
          <w:trHeight w:val="142"/>
        </w:trPr>
        <w:tc>
          <w:tcPr>
            <w:tcW w:w="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8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w:anchor="page213">
              <w:r>
                <w:rPr>
                  <w:rFonts w:ascii="Arial" w:cs="Arial" w:eastAsia="Arial" w:hAnsi="Arial"/>
                  <w:sz w:val="16"/>
                  <w:szCs w:val="16"/>
                  <w:color w:val="0000FF"/>
                </w:rPr>
                <w:t>Act of 2002.</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960" w:type="dxa"/>
            <w:vAlign w:val="bottom"/>
            <w:gridSpan w:val="24"/>
          </w:tcPr>
          <w:p>
            <w:pPr>
              <w:spacing w:after="0" w:line="20" w:lineRule="exact"/>
              <w:rPr>
                <w:sz w:val="1"/>
                <w:szCs w:val="1"/>
                <w:color w:val="auto"/>
              </w:rPr>
            </w:pPr>
          </w:p>
        </w:tc>
      </w:tr>
      <w:tr>
        <w:trPr>
          <w:trHeight w:val="198"/>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1680" w:type="dxa"/>
            <w:vAlign w:val="bottom"/>
          </w:tcPr>
          <w:p>
            <w:pPr>
              <w:spacing w:after="0"/>
              <w:rPr>
                <w:sz w:val="17"/>
                <w:szCs w:val="17"/>
                <w:color w:val="auto"/>
              </w:rPr>
            </w:pPr>
          </w:p>
        </w:tc>
        <w:tc>
          <w:tcPr>
            <w:tcW w:w="8820" w:type="dxa"/>
            <w:vAlign w:val="bottom"/>
            <w:gridSpan w:val="25"/>
          </w:tcPr>
          <w:p>
            <w:pPr>
              <w:spacing w:after="0"/>
              <w:rPr>
                <w:sz w:val="20"/>
                <w:szCs w:val="20"/>
                <w:color w:val="auto"/>
              </w:rPr>
            </w:pPr>
            <w:r>
              <w:rPr>
                <w:rFonts w:ascii="Arial" w:cs="Arial" w:eastAsia="Arial" w:hAnsi="Arial"/>
                <w:sz w:val="16"/>
                <w:szCs w:val="16"/>
                <w:color w:val="auto"/>
              </w:rPr>
              <w:t>The following materials from Biogen Inc.’s Annual Report on Form 10-K for the year ended December 31, 2021,</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25"/>
          </w:tcPr>
          <w:p>
            <w:pPr>
              <w:spacing w:after="0" w:line="162" w:lineRule="exact"/>
              <w:rPr>
                <w:sz w:val="20"/>
                <w:szCs w:val="20"/>
                <w:color w:val="auto"/>
              </w:rPr>
            </w:pPr>
            <w:r>
              <w:rPr>
                <w:rFonts w:ascii="Arial" w:cs="Arial" w:eastAsia="Arial" w:hAnsi="Arial"/>
                <w:sz w:val="16"/>
                <w:szCs w:val="16"/>
                <w:color w:val="auto"/>
              </w:rPr>
              <w:t>formatted in iXBRL (Inline Extensible Business Reporting Language): (i) the Consolidated Statements of Income, (ii) the</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25"/>
          </w:tcPr>
          <w:p>
            <w:pPr>
              <w:spacing w:after="0" w:line="162" w:lineRule="exact"/>
              <w:rPr>
                <w:sz w:val="20"/>
                <w:szCs w:val="20"/>
                <w:color w:val="auto"/>
              </w:rPr>
            </w:pPr>
            <w:r>
              <w:rPr>
                <w:rFonts w:ascii="Arial" w:cs="Arial" w:eastAsia="Arial" w:hAnsi="Arial"/>
                <w:sz w:val="16"/>
                <w:szCs w:val="16"/>
                <w:color w:val="auto"/>
              </w:rPr>
              <w:t>Consolidated Statements of Comprehensive Income, (iii) the Consolidated Balance Sheets, (iv) the Consolidated</w:t>
            </w:r>
          </w:p>
        </w:tc>
      </w:tr>
      <w:tr>
        <w:trPr>
          <w:trHeight w:val="162"/>
        </w:trPr>
        <w:tc>
          <w:tcPr>
            <w:tcW w:w="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20" w:type="dxa"/>
            <w:vAlign w:val="bottom"/>
            <w:gridSpan w:val="25"/>
          </w:tcPr>
          <w:p>
            <w:pPr>
              <w:spacing w:after="0" w:line="162" w:lineRule="exact"/>
              <w:rPr>
                <w:sz w:val="20"/>
                <w:szCs w:val="20"/>
                <w:color w:val="auto"/>
              </w:rPr>
            </w:pPr>
            <w:r>
              <w:rPr>
                <w:rFonts w:ascii="Arial" w:cs="Arial" w:eastAsia="Arial" w:hAnsi="Arial"/>
                <w:sz w:val="16"/>
                <w:szCs w:val="16"/>
                <w:color w:val="auto"/>
              </w:rPr>
              <w:t>Statements of Cash Flow, (v) the Consolidated Statements of Equity and (vi) Notes to Consolidated Financial</w:t>
            </w:r>
          </w:p>
        </w:tc>
      </w:tr>
      <w:tr>
        <w:trPr>
          <w:trHeight w:val="195"/>
        </w:trPr>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20" w:type="dxa"/>
            <w:vAlign w:val="bottom"/>
            <w:gridSpan w:val="25"/>
          </w:tcPr>
          <w:p>
            <w:pPr>
              <w:spacing w:after="0"/>
              <w:rPr>
                <w:sz w:val="20"/>
                <w:szCs w:val="20"/>
                <w:color w:val="auto"/>
              </w:rPr>
            </w:pPr>
            <w:r>
              <w:rPr>
                <w:rFonts w:ascii="Arial" w:cs="Arial" w:eastAsia="Arial" w:hAnsi="Arial"/>
                <w:sz w:val="16"/>
                <w:szCs w:val="16"/>
                <w:color w:val="auto"/>
              </w:rPr>
              <w:t>Statements.</w:t>
            </w:r>
          </w:p>
        </w:tc>
      </w:tr>
    </w:tbl>
    <w:p>
      <w:pPr>
        <w:spacing w:after="0" w:line="140" w:lineRule="exact"/>
        <w:rPr>
          <w:sz w:val="20"/>
          <w:szCs w:val="20"/>
          <w:color w:val="auto"/>
        </w:rPr>
      </w:pPr>
    </w:p>
    <w:p>
      <w:pPr>
        <w:ind w:left="680" w:hanging="533"/>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31" w:lineRule="exact"/>
        <w:rPr>
          <w:sz w:val="20"/>
          <w:szCs w:val="20"/>
          <w:color w:val="auto"/>
        </w:rPr>
      </w:pPr>
    </w:p>
    <w:p>
      <w:pPr>
        <w:ind w:left="680" w:hanging="533"/>
        <w:spacing w:after="0"/>
        <w:tabs>
          <w:tab w:leader="none" w:pos="6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Confidential treatment has been granted or requested with respect to portions of this exhibit.</w:t>
      </w:r>
    </w:p>
    <w:p>
      <w:pPr>
        <w:spacing w:after="0" w:line="144"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144" w:lineRule="exact"/>
        <w:rPr>
          <w:sz w:val="20"/>
          <w:szCs w:val="20"/>
          <w:color w:val="auto"/>
        </w:rPr>
      </w:pPr>
    </w:p>
    <w:p>
      <w:pPr>
        <w:ind w:left="680" w:hanging="604"/>
        <w:spacing w:after="0"/>
        <w:tabs>
          <w:tab w:leader="none" w:pos="6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1C5A7D"/>
        </w:rPr>
        <w:t>SIGNATURES</w:t>
      </w:r>
    </w:p>
    <w:p>
      <w:pPr>
        <w:spacing w:after="0" w:line="116"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9"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BIOGEN INC.</w:t>
      </w:r>
    </w:p>
    <w:p>
      <w:pPr>
        <w:spacing w:after="0" w:line="315" w:lineRule="exact"/>
        <w:rPr>
          <w:sz w:val="20"/>
          <w:szCs w:val="20"/>
          <w:color w:val="auto"/>
        </w:rPr>
      </w:pPr>
    </w:p>
    <w:p>
      <w:pPr>
        <w:ind w:left="7000"/>
        <w:spacing w:after="0"/>
        <w:tabs>
          <w:tab w:leader="none" w:pos="770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23495</wp:posOffset>
            </wp:positionV>
            <wp:extent cx="22459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Michel Vounatsos</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2022</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940"/>
          </w:cols>
          <w:pgMar w:left="320" w:top="144" w:right="639" w:bottom="1440" w:gutter="0" w:footer="0" w:header="0"/>
        </w:sectPr>
      </w:pPr>
    </w:p>
    <w:p>
      <w:pPr>
        <w:spacing w:after="0" w:line="266"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u w:val="single" w:color="auto"/>
          <w:color w:val="auto"/>
        </w:rPr>
        <w:t>Name</w:t>
      </w:r>
    </w:p>
    <w:p>
      <w:pPr>
        <w:spacing w:after="0" w:line="297"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ICHEL</w:t>
      </w:r>
      <w:r>
        <w:rPr>
          <w:rFonts w:ascii="Arial" w:cs="Arial" w:eastAsia="Arial" w:hAnsi="Arial"/>
          <w:sz w:val="18"/>
          <w:szCs w:val="18"/>
          <w:color w:val="auto"/>
        </w:rPr>
        <w:t xml:space="preserve"> V</w:t>
      </w:r>
      <w:r>
        <w:rPr>
          <w:rFonts w:ascii="Arial" w:cs="Arial" w:eastAsia="Arial" w:hAnsi="Arial"/>
          <w:sz w:val="14"/>
          <w:szCs w:val="14"/>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Michel Vounatsos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R.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R. McDonnell</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OBIN</w:t>
      </w:r>
      <w:r>
        <w:rPr>
          <w:rFonts w:ascii="Arial" w:cs="Arial" w:eastAsia="Arial" w:hAnsi="Arial"/>
          <w:sz w:val="18"/>
          <w:szCs w:val="18"/>
          <w:color w:val="auto"/>
        </w:rPr>
        <w:t xml:space="preserve"> C.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Robin C. Kramer</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TELIOS</w:t>
      </w:r>
      <w:r>
        <w:rPr>
          <w:rFonts w:ascii="Arial" w:cs="Arial" w:eastAsia="Arial" w:hAnsi="Arial"/>
          <w:sz w:val="18"/>
          <w:szCs w:val="18"/>
          <w:color w:val="auto"/>
        </w:rPr>
        <w:t xml:space="preserve"> P</w:t>
      </w:r>
      <w:r>
        <w:rPr>
          <w:rFonts w:ascii="Arial" w:cs="Arial" w:eastAsia="Arial" w:hAnsi="Arial"/>
          <w:sz w:val="14"/>
          <w:szCs w:val="14"/>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Stelios Papadopoulos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Alexander J. Denner</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AROLINE</w:t>
      </w:r>
      <w:r>
        <w:rPr>
          <w:rFonts w:ascii="Arial" w:cs="Arial" w:eastAsia="Arial" w:hAnsi="Arial"/>
          <w:sz w:val="18"/>
          <w:szCs w:val="18"/>
          <w:color w:val="auto"/>
        </w:rPr>
        <w:t xml:space="preserve"> D. D</w:t>
      </w:r>
      <w:r>
        <w:rPr>
          <w:rFonts w:ascii="Arial" w:cs="Arial" w:eastAsia="Arial" w:hAnsi="Arial"/>
          <w:sz w:val="14"/>
          <w:szCs w:val="14"/>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Caroline D. Dorsa</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ARIA</w:t>
      </w:r>
      <w:r>
        <w:rPr>
          <w:rFonts w:ascii="Arial" w:cs="Arial" w:eastAsia="Arial" w:hAnsi="Arial"/>
          <w:sz w:val="18"/>
          <w:szCs w:val="18"/>
          <w:color w:val="auto"/>
        </w:rPr>
        <w:t xml:space="preserve"> C. F</w:t>
      </w:r>
      <w:r>
        <w:rPr>
          <w:rFonts w:ascii="Arial" w:cs="Arial" w:eastAsia="Arial" w:hAnsi="Arial"/>
          <w:sz w:val="14"/>
          <w:szCs w:val="14"/>
          <w:color w:val="auto"/>
        </w:rPr>
        <w:t>REIRE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Maria C. Freire</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A.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A. Hawkins</w:t>
      </w:r>
    </w:p>
    <w:p>
      <w:pPr>
        <w:spacing w:after="0" w:line="306"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/S/</w:t>
        <w:tab/>
        <w:t>W</w:t>
      </w:r>
      <w:r>
        <w:rPr>
          <w:rFonts w:ascii="Arial" w:cs="Arial" w:eastAsia="Arial" w:hAnsi="Arial"/>
          <w:sz w:val="14"/>
          <w:szCs w:val="14"/>
          <w:color w:val="auto"/>
        </w:rPr>
        <w:t>ILLIAM</w:t>
      </w:r>
      <w:r>
        <w:rPr>
          <w:rFonts w:ascii="Arial" w:cs="Arial" w:eastAsia="Arial" w:hAnsi="Arial"/>
          <w:sz w:val="18"/>
          <w:szCs w:val="18"/>
          <w:color w:val="auto"/>
        </w:rPr>
        <w:t xml:space="preserve"> D. J</w:t>
      </w:r>
      <w:r>
        <w:rPr>
          <w:rFonts w:ascii="Arial" w:cs="Arial" w:eastAsia="Arial" w:hAnsi="Arial"/>
          <w:sz w:val="14"/>
          <w:szCs w:val="14"/>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D. Jones</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w:t>
      </w:r>
      <w:r>
        <w:rPr>
          <w:rFonts w:ascii="Arial" w:cs="Arial" w:eastAsia="Arial" w:hAnsi="Arial"/>
          <w:sz w:val="14"/>
          <w:szCs w:val="14"/>
          <w:color w:val="auto"/>
        </w:rPr>
        <w:t>ANCY</w:t>
      </w:r>
      <w:r>
        <w:rPr>
          <w:rFonts w:ascii="Arial" w:cs="Arial" w:eastAsia="Arial" w:hAnsi="Arial"/>
          <w:sz w:val="18"/>
          <w:szCs w:val="18"/>
          <w:color w:val="auto"/>
        </w:rPr>
        <w:t xml:space="preserve"> L. L</w:t>
      </w:r>
      <w:r>
        <w:rPr>
          <w:rFonts w:ascii="Arial" w:cs="Arial" w:eastAsia="Arial" w:hAnsi="Arial"/>
          <w:sz w:val="14"/>
          <w:szCs w:val="14"/>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Nancy L. Leaming</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ESUS</w:t>
      </w:r>
      <w:r>
        <w:rPr>
          <w:rFonts w:ascii="Arial" w:cs="Arial" w:eastAsia="Arial" w:hAnsi="Arial"/>
          <w:sz w:val="18"/>
          <w:szCs w:val="18"/>
          <w:color w:val="auto"/>
        </w:rPr>
        <w:t xml:space="preserve"> B. M</w:t>
      </w:r>
      <w:r>
        <w:rPr>
          <w:rFonts w:ascii="Arial" w:cs="Arial" w:eastAsia="Arial" w:hAnsi="Arial"/>
          <w:sz w:val="14"/>
          <w:szCs w:val="14"/>
          <w:color w:val="auto"/>
        </w:rPr>
        <w:t>ANTAS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Jesus B. Mantas</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C</w:t>
      </w:r>
      <w:r>
        <w:rPr>
          <w:rFonts w:ascii="Arial" w:cs="Arial" w:eastAsia="Arial" w:hAnsi="Arial"/>
          <w:sz w:val="14"/>
          <w:szCs w:val="14"/>
          <w:color w:val="auto"/>
        </w:rPr>
        <w:t>.</w:t>
      </w:r>
      <w:r>
        <w:rPr>
          <w:rFonts w:ascii="Arial" w:cs="Arial" w:eastAsia="Arial" w:hAnsi="Arial"/>
          <w:sz w:val="18"/>
          <w:szCs w:val="18"/>
          <w:color w:val="auto"/>
        </w:rPr>
        <w:t xml:space="preserve"> M</w:t>
      </w:r>
      <w:r>
        <w:rPr>
          <w:rFonts w:ascii="Arial" w:cs="Arial" w:eastAsia="Arial" w:hAnsi="Arial"/>
          <w:sz w:val="14"/>
          <w:szCs w:val="14"/>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C. Mulligan</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B</w:t>
      </w:r>
      <w:r>
        <w:rPr>
          <w:rFonts w:ascii="Arial" w:cs="Arial" w:eastAsia="Arial" w:hAnsi="Arial"/>
          <w:sz w:val="14"/>
          <w:szCs w:val="14"/>
          <w:color w:val="auto"/>
        </w:rPr>
        <w:t>RIAN</w:t>
      </w:r>
      <w:r>
        <w:rPr>
          <w:rFonts w:ascii="Arial" w:cs="Arial" w:eastAsia="Arial" w:hAnsi="Arial"/>
          <w:sz w:val="18"/>
          <w:szCs w:val="18"/>
          <w:color w:val="auto"/>
        </w:rPr>
        <w:t xml:space="preserve"> S. P</w:t>
      </w:r>
      <w:r>
        <w:rPr>
          <w:rFonts w:ascii="Arial" w:cs="Arial" w:eastAsia="Arial" w:hAnsi="Arial"/>
          <w:sz w:val="14"/>
          <w:szCs w:val="14"/>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S. Posner</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RIC</w:t>
      </w:r>
      <w:r>
        <w:rPr>
          <w:rFonts w:ascii="Arial" w:cs="Arial" w:eastAsia="Arial" w:hAnsi="Arial"/>
          <w:sz w:val="18"/>
          <w:szCs w:val="18"/>
          <w:color w:val="auto"/>
        </w:rPr>
        <w:t xml:space="preserve"> K. R</w:t>
      </w:r>
      <w:r>
        <w:rPr>
          <w:rFonts w:ascii="Arial" w:cs="Arial" w:eastAsia="Arial" w:hAnsi="Arial"/>
          <w:sz w:val="14"/>
          <w:szCs w:val="14"/>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K. Rowinsky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Capacity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and Chief Executive Officer</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Executive Vice President and Chief Financial Officer</w:t>
      </w:r>
    </w:p>
    <w:p>
      <w:pPr>
        <w:jc w:val="center"/>
        <w:spacing w:after="0"/>
        <w:rPr>
          <w:sz w:val="20"/>
          <w:szCs w:val="20"/>
          <w:color w:val="auto"/>
        </w:rPr>
      </w:pPr>
      <w:r>
        <w:rPr>
          <w:rFonts w:ascii="Arial" w:cs="Arial" w:eastAsia="Arial" w:hAnsi="Arial"/>
          <w:sz w:val="18"/>
          <w:szCs w:val="18"/>
          <w:color w:val="auto"/>
        </w:rPr>
        <w:t>(principal financial officer)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Vice President, Chief Accounting Officer</w:t>
      </w:r>
    </w:p>
    <w:p>
      <w:pPr>
        <w:jc w:val="cente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Director and Chairman of the Board of Directors</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February 3, 2022</w:t>
      </w:r>
    </w:p>
    <w:p>
      <w:pPr>
        <w:spacing w:after="0" w:line="427" w:lineRule="exact"/>
        <w:rPr>
          <w:sz w:val="20"/>
          <w:szCs w:val="20"/>
          <w:color w:val="auto"/>
        </w:rPr>
      </w:pPr>
    </w:p>
    <w:p>
      <w:pPr>
        <w:sectPr>
          <w:pgSz w:w="11900" w:h="16838" w:orient="portrait"/>
          <w:cols w:equalWidth="0" w:num="3">
            <w:col w:w="4120" w:space="720"/>
            <w:col w:w="4160" w:space="540"/>
            <w:col w:w="1400"/>
          </w:cols>
          <w:pgMar w:left="320" w:top="144" w:right="639" w:bottom="1440" w:gutter="0" w:footer="0" w:header="0"/>
          <w:type w:val="continuous"/>
        </w:sectPr>
      </w:pPr>
    </w:p>
    <w:p>
      <w:pPr>
        <w:spacing w:after="0" w:line="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TEPHEN</w:t>
      </w:r>
      <w:r>
        <w:rPr>
          <w:rFonts w:ascii="Arial" w:cs="Arial" w:eastAsia="Arial" w:hAnsi="Arial"/>
          <w:sz w:val="18"/>
          <w:szCs w:val="18"/>
          <w:color w:val="auto"/>
        </w:rPr>
        <w:t xml:space="preserve"> A. S</w:t>
      </w:r>
      <w:r>
        <w:rPr>
          <w:rFonts w:ascii="Arial" w:cs="Arial" w:eastAsia="Arial" w:hAnsi="Arial"/>
          <w:sz w:val="14"/>
          <w:szCs w:val="14"/>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9400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A. Sherwin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tabs>
          <w:tab w:leader="none" w:pos="292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February 3, 2022</w:t>
      </w:r>
    </w:p>
    <w:p>
      <w:pPr>
        <w:spacing w:after="0" w:line="427" w:lineRule="exact"/>
        <w:rPr>
          <w:sz w:val="20"/>
          <w:szCs w:val="20"/>
          <w:color w:val="auto"/>
        </w:rPr>
      </w:pPr>
    </w:p>
    <w:p>
      <w:pPr>
        <w:sectPr>
          <w:pgSz w:w="11900" w:h="16838" w:orient="portrait"/>
          <w:cols w:equalWidth="0" w:num="2">
            <w:col w:w="5880" w:space="720"/>
            <w:col w:w="4340"/>
          </w:cols>
          <w:pgMar w:left="320" w:top="144" w:right="6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 w:right="6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CONSOLIDATED FINANCIAL STATEMENTS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780" w:type="dxa"/>
            <w:vAlign w:val="bottom"/>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Cash Flow</w:t>
            </w: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Equity</w:t>
            </w:r>
          </w:p>
        </w:tc>
        <w:tc>
          <w:tcPr>
            <w:tcW w:w="14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420" w:type="dxa"/>
            <w:vAlign w:val="bottom"/>
          </w:tcPr>
          <w:p>
            <w:pPr>
              <w:jc w:val="right"/>
              <w:spacing w:after="0"/>
              <w:rPr>
                <w:sz w:val="20"/>
                <w:szCs w:val="20"/>
                <w:color w:val="auto"/>
              </w:rPr>
            </w:pPr>
            <w:r>
              <w:rPr>
                <w:rFonts w:ascii="Arial" w:cs="Arial" w:eastAsia="Arial" w:hAnsi="Arial"/>
                <w:sz w:val="18"/>
                <w:szCs w:val="18"/>
                <w:color w:val="auto"/>
              </w:rPr>
              <w:t>F-77</w:t>
            </w:r>
          </w:p>
        </w:tc>
      </w:tr>
    </w:tbl>
    <w:p>
      <w:pPr>
        <w:spacing w:after="0" w:line="200" w:lineRule="exact"/>
        <w:rPr>
          <w:sz w:val="20"/>
          <w:szCs w:val="20"/>
          <w:color w:val="auto"/>
        </w:rPr>
      </w:pP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CONSOLIDATED STATEMENTS OF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 except per share amounts)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For the Years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140" w:type="dxa"/>
            <w:vAlign w:val="bottom"/>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1500" w:type="dxa"/>
            <w:vAlign w:val="bottom"/>
            <w:tcBorders>
              <w:bottom w:val="single" w:sz="8" w:color="auto"/>
            </w:tcBorders>
            <w:shd w:val="clear" w:color="auto" w:fill="DDDDDD"/>
          </w:tcPr>
          <w:p>
            <w:pPr>
              <w:jc w:val="right"/>
              <w:ind w:right="539"/>
              <w:spacing w:after="0"/>
              <w:rPr>
                <w:sz w:val="20"/>
                <w:szCs w:val="20"/>
                <w:color w:val="auto"/>
              </w:rPr>
            </w:pPr>
            <w:r>
              <w:rPr>
                <w:rFonts w:ascii="Arial" w:cs="Arial" w:eastAsia="Arial" w:hAnsi="Arial"/>
                <w:sz w:val="16"/>
                <w:szCs w:val="16"/>
                <w:b w:val="1"/>
                <w:bCs w:val="1"/>
                <w:color w:val="2573BA"/>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191"/>
        </w:trPr>
        <w:tc>
          <w:tcPr>
            <w:tcW w:w="6140" w:type="dxa"/>
            <w:vAlign w:val="bottom"/>
          </w:tcPr>
          <w:p>
            <w:pPr>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DDDDDD"/>
          </w:tcPr>
          <w:p>
            <w:pPr>
              <w:spacing w:after="0"/>
              <w:rPr>
                <w:sz w:val="16"/>
                <w:szCs w:val="16"/>
                <w:color w:val="auto"/>
              </w:rPr>
            </w:pPr>
          </w:p>
        </w:tc>
        <w:tc>
          <w:tcPr>
            <w:tcW w:w="150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Product, net</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8,846.9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10,692.2</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11,379.8</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1,658.5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1,977.8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2,290.4</w:t>
            </w:r>
          </w:p>
        </w:tc>
      </w:tr>
      <w:tr>
        <w:trPr>
          <w:trHeight w:val="219"/>
        </w:trPr>
        <w:tc>
          <w:tcPr>
            <w:tcW w:w="614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476.3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707.7</w:t>
            </w:r>
          </w:p>
        </w:tc>
      </w:tr>
      <w:tr>
        <w:trPr>
          <w:trHeight w:val="207"/>
        </w:trPr>
        <w:tc>
          <w:tcPr>
            <w:tcW w:w="614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10,981.7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13,444.6</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14,377.9</w:t>
            </w:r>
          </w:p>
        </w:tc>
      </w:tr>
      <w:tr>
        <w:trPr>
          <w:trHeight w:val="196"/>
        </w:trPr>
        <w:tc>
          <w:tcPr>
            <w:tcW w:w="614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2,109.7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1,805.2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1,955.4</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2,501.2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3,990.9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2,280.6</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2,674.3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2,374.7</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881.3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464.8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489.9</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Collaboration profit (loss) sharing</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241.6</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(Gain) loss on divestiture of Hillerød, Denmark manufacturing operations</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14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614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8,141.0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8,894.5</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7,335.3</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2,840.7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4,550.1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7,042.6</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(1,095.5)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r>
      <w:tr>
        <w:trPr>
          <w:trHeight w:val="206"/>
        </w:trPr>
        <w:tc>
          <w:tcPr>
            <w:tcW w:w="6140" w:type="dxa"/>
            <w:vAlign w:val="bottom"/>
          </w:tcPr>
          <w:p>
            <w:pPr>
              <w:spacing w:after="0"/>
              <w:rPr>
                <w:sz w:val="20"/>
                <w:szCs w:val="20"/>
                <w:color w:val="auto"/>
              </w:rPr>
            </w:pPr>
            <w:r>
              <w:rPr>
                <w:rFonts w:ascii="Arial" w:cs="Arial" w:eastAsia="Arial" w:hAnsi="Arial"/>
                <w:sz w:val="16"/>
                <w:szCs w:val="16"/>
                <w:color w:val="auto"/>
              </w:rPr>
              <w:t>Income before income tax expense and equity in loss of investee, net of tax</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1,745.2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5,047.5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7,125.9</w:t>
            </w:r>
          </w:p>
        </w:tc>
      </w:tr>
      <w:tr>
        <w:trPr>
          <w:trHeight w:val="216"/>
        </w:trPr>
        <w:tc>
          <w:tcPr>
            <w:tcW w:w="614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1,158.0</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Equity in (income) loss of investee, net of tax</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(34.9)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07"/>
        </w:trPr>
        <w:tc>
          <w:tcPr>
            <w:tcW w:w="614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DDDDD"/>
          </w:tcPr>
          <w:p>
            <w:pPr>
              <w:spacing w:after="0"/>
              <w:rPr>
                <w:sz w:val="17"/>
                <w:szCs w:val="17"/>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1,727.6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4,060.5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5,888.5</w:t>
            </w:r>
          </w:p>
        </w:tc>
      </w:tr>
      <w:tr>
        <w:trPr>
          <w:trHeight w:val="219"/>
        </w:trPr>
        <w:tc>
          <w:tcPr>
            <w:tcW w:w="61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120" w:type="dxa"/>
            <w:vAlign w:val="bottom"/>
            <w:tcBorders>
              <w:bottom w:val="single" w:sz="8" w:color="auto"/>
            </w:tcBorders>
            <w:shd w:val="clear" w:color="auto" w:fill="DDDDDD"/>
          </w:tcPr>
          <w:p>
            <w:pPr>
              <w:spacing w:after="0"/>
              <w:rPr>
                <w:sz w:val="19"/>
                <w:szCs w:val="19"/>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171.5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1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1,556.1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4,000.6</w:t>
            </w:r>
          </w:p>
        </w:tc>
        <w:tc>
          <w:tcPr>
            <w:tcW w:w="100" w:type="dxa"/>
            <w:vAlign w:val="bottom"/>
          </w:tcPr>
          <w:p>
            <w:pPr>
              <w:spacing w:after="0"/>
              <w:rPr>
                <w:sz w:val="22"/>
                <w:szCs w:val="22"/>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5,888.5</w:t>
            </w:r>
          </w:p>
        </w:tc>
      </w:tr>
      <w:tr>
        <w:trPr>
          <w:trHeight w:val="433"/>
        </w:trPr>
        <w:tc>
          <w:tcPr>
            <w:tcW w:w="614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tcBorders>
              <w:top w:val="single" w:sz="8" w:color="auto"/>
            </w:tcBorders>
            <w:shd w:val="clear" w:color="auto" w:fill="DDDDDD"/>
          </w:tcPr>
          <w:p>
            <w:pPr>
              <w:spacing w:after="0"/>
              <w:rPr>
                <w:sz w:val="24"/>
                <w:szCs w:val="24"/>
                <w:color w:val="auto"/>
              </w:rPr>
            </w:pPr>
          </w:p>
        </w:tc>
        <w:tc>
          <w:tcPr>
            <w:tcW w:w="1500" w:type="dxa"/>
            <w:vAlign w:val="bottom"/>
            <w:tcBorders>
              <w:top w:val="single" w:sz="8" w:color="auto"/>
            </w:tcBorders>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10.44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24.86</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31.47</w:t>
            </w: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10.40</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31.42</w:t>
            </w:r>
          </w:p>
        </w:tc>
      </w:tr>
      <w:tr>
        <w:trPr>
          <w:trHeight w:val="473"/>
        </w:trPr>
        <w:tc>
          <w:tcPr>
            <w:tcW w:w="614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DDDDD"/>
          </w:tcPr>
          <w:p>
            <w:pPr>
              <w:spacing w:after="0"/>
              <w:rPr>
                <w:sz w:val="24"/>
                <w:szCs w:val="24"/>
                <w:color w:val="auto"/>
              </w:rPr>
            </w:pPr>
          </w:p>
        </w:tc>
        <w:tc>
          <w:tcPr>
            <w:tcW w:w="150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DDDDD"/>
          </w:tcPr>
          <w:p>
            <w:pPr>
              <w:spacing w:after="0"/>
              <w:rPr>
                <w:sz w:val="18"/>
                <w:szCs w:val="18"/>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149.1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187.1</w:t>
            </w:r>
          </w:p>
        </w:tc>
      </w:tr>
      <w:tr>
        <w:trPr>
          <w:trHeight w:val="222"/>
        </w:trPr>
        <w:tc>
          <w:tcPr>
            <w:tcW w:w="614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DDDDD"/>
          </w:tcPr>
          <w:p>
            <w:pPr>
              <w:spacing w:after="0"/>
              <w:rPr>
                <w:sz w:val="19"/>
                <w:szCs w:val="19"/>
                <w:color w:val="auto"/>
              </w:rPr>
            </w:pPr>
          </w:p>
        </w:tc>
        <w:tc>
          <w:tcPr>
            <w:tcW w:w="15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149.6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ind w:left="340" w:right="2380"/>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COMPREHENSIVE INCOME (In millions)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For the Years Ended December 31,</w:t>
            </w:r>
          </w:p>
        </w:tc>
      </w:tr>
      <w:tr>
        <w:trPr>
          <w:trHeight w:val="212"/>
        </w:trPr>
        <w:tc>
          <w:tcPr>
            <w:tcW w:w="7040" w:type="dxa"/>
            <w:vAlign w:val="bottom"/>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b w:val="1"/>
                <w:bCs w:val="1"/>
                <w:color w:val="2573BA"/>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04"/>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300" w:type="dxa"/>
            <w:vAlign w:val="bottom"/>
            <w:shd w:val="clear" w:color="auto" w:fill="DDDDDD"/>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1,556.1</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4,000.6</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5,888.5</w:t>
            </w:r>
          </w:p>
        </w:tc>
      </w:tr>
      <w:tr>
        <w:trPr>
          <w:trHeight w:val="196"/>
        </w:trPr>
        <w:tc>
          <w:tcPr>
            <w:tcW w:w="70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top w:val="single" w:sz="8" w:color="auto"/>
            </w:tcBorders>
            <w:shd w:val="clear" w:color="auto" w:fill="DDDDDD"/>
          </w:tcPr>
          <w:p>
            <w:pPr>
              <w:spacing w:after="0"/>
              <w:rPr>
                <w:sz w:val="17"/>
                <w:szCs w:val="17"/>
                <w:color w:val="auto"/>
              </w:rPr>
            </w:pPr>
          </w:p>
        </w:tc>
        <w:tc>
          <w:tcPr>
            <w:tcW w:w="1020" w:type="dxa"/>
            <w:vAlign w:val="bottom"/>
            <w:tcBorders>
              <w:top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cash flow hedges,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232.8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Gains (losses) on net investment hedges,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Unrealized gains (losses) on pension benefit obligation, net of tax</w:t>
            </w:r>
          </w:p>
        </w:tc>
        <w:tc>
          <w:tcPr>
            <w:tcW w:w="300" w:type="dxa"/>
            <w:vAlign w:val="bottom"/>
            <w:shd w:val="clear" w:color="auto" w:fill="DDDDDD"/>
          </w:tcPr>
          <w:p>
            <w:pPr>
              <w:spacing w:after="0"/>
              <w:rPr>
                <w:sz w:val="18"/>
                <w:szCs w:val="18"/>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70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30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(92.4)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r>
        <w:trPr>
          <w:trHeight w:val="209"/>
        </w:trPr>
        <w:tc>
          <w:tcPr>
            <w:tcW w:w="704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192.3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r>
      <w:tr>
        <w:trPr>
          <w:trHeight w:val="207"/>
        </w:trPr>
        <w:tc>
          <w:tcPr>
            <w:tcW w:w="7040" w:type="dxa"/>
            <w:vAlign w:val="bottom"/>
          </w:tcPr>
          <w:p>
            <w:pPr>
              <w:spacing w:after="0"/>
              <w:rPr>
                <w:sz w:val="20"/>
                <w:szCs w:val="20"/>
                <w:color w:val="auto"/>
              </w:rPr>
            </w:pPr>
            <w:r>
              <w:rPr>
                <w:rFonts w:ascii="Arial" w:cs="Arial" w:eastAsia="Arial" w:hAnsi="Arial"/>
                <w:sz w:val="16"/>
                <w:szCs w:val="16"/>
                <w:color w:val="auto"/>
              </w:rPr>
              <w:t>Comprehensive income attributable to Biogen Inc.</w:t>
            </w:r>
          </w:p>
        </w:tc>
        <w:tc>
          <w:tcPr>
            <w:tcW w:w="300" w:type="dxa"/>
            <w:vAlign w:val="bottom"/>
            <w:shd w:val="clear" w:color="auto" w:fill="DDDDDD"/>
          </w:tcPr>
          <w:p>
            <w:pPr>
              <w:spacing w:after="0"/>
              <w:rPr>
                <w:sz w:val="17"/>
                <w:szCs w:val="17"/>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1,748.4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5,993.7</w:t>
            </w:r>
          </w:p>
        </w:tc>
      </w:tr>
      <w:tr>
        <w:trPr>
          <w:trHeight w:val="219"/>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300" w:type="dxa"/>
            <w:vAlign w:val="bottom"/>
            <w:tcBorders>
              <w:bottom w:val="single" w:sz="8" w:color="auto"/>
            </w:tcBorders>
            <w:shd w:val="clear" w:color="auto" w:fill="DDDDDD"/>
          </w:tcPr>
          <w:p>
            <w:pPr>
              <w:spacing w:after="0"/>
              <w:rPr>
                <w:sz w:val="19"/>
                <w:szCs w:val="19"/>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172.1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3"/>
        </w:trPr>
        <w:tc>
          <w:tcPr>
            <w:tcW w:w="7040" w:type="dxa"/>
            <w:vAlign w:val="bottom"/>
          </w:tcPr>
          <w:p>
            <w:pPr>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DDDDDD"/>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1,920.5</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3,897.7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5,993.3</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(In millions, except per share amounts)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5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40" w:type="dxa"/>
            <w:vAlign w:val="bottom"/>
          </w:tcPr>
          <w:p>
            <w:pPr>
              <w:spacing w:after="0"/>
              <w:rPr>
                <w:sz w:val="18"/>
                <w:szCs w:val="18"/>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b w:val="1"/>
                <w:bCs w:val="1"/>
                <w:color w:val="2573BA"/>
              </w:rPr>
              <w:t>2021</w:t>
            </w:r>
          </w:p>
        </w:tc>
        <w:tc>
          <w:tcPr>
            <w:tcW w:w="700" w:type="dxa"/>
            <w:vAlign w:val="bottom"/>
            <w:tcBorders>
              <w:bottom w:val="single" w:sz="8" w:color="auto"/>
            </w:tcBorders>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195"/>
        </w:trPr>
        <w:tc>
          <w:tcPr>
            <w:tcW w:w="7540" w:type="dxa"/>
            <w:vAlign w:val="bottom"/>
          </w:tcPr>
          <w:p>
            <w:pPr>
              <w:ind w:left="5260"/>
              <w:spacing w:after="0"/>
              <w:rPr>
                <w:sz w:val="20"/>
                <w:szCs w:val="20"/>
                <w:color w:val="auto"/>
              </w:rPr>
            </w:pPr>
            <w:r>
              <w:rPr>
                <w:rFonts w:ascii="Arial" w:cs="Arial" w:eastAsia="Arial" w:hAnsi="Arial"/>
                <w:sz w:val="16"/>
                <w:szCs w:val="16"/>
                <w:b w:val="1"/>
                <w:bCs w:val="1"/>
                <w:color w:val="auto"/>
              </w:rPr>
              <w:t>ASSETS</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40" w:type="dxa"/>
            <w:vAlign w:val="bottom"/>
          </w:tcPr>
          <w:p>
            <w:pPr>
              <w:spacing w:after="0"/>
              <w:rPr>
                <w:sz w:val="20"/>
                <w:szCs w:val="20"/>
                <w:color w:val="auto"/>
              </w:rPr>
            </w:pPr>
            <w:r>
              <w:rPr>
                <w:rFonts w:ascii="Arial" w:cs="Arial" w:eastAsia="Arial" w:hAnsi="Arial"/>
                <w:sz w:val="16"/>
                <w:szCs w:val="16"/>
                <w:color w:val="auto"/>
              </w:rPr>
              <w:t>Current assets: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w w:val="8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2,261.4</w:t>
            </w:r>
          </w:p>
        </w:tc>
        <w:tc>
          <w:tcPr>
            <w:tcW w:w="8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1,331.2</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1,541.1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1,549.4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1,913.8</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412.3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1,351.5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740.8</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10"/>
        </w:trPr>
        <w:tc>
          <w:tcPr>
            <w:tcW w:w="754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7,856.5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6,887.1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Marketable securities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892.0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3,416.4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3,411.5</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375.4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2,221.3</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3,084.3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Goodwill</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5,761.1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5,762.1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1,415.1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1,369.5</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1,939.5</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2,899.0</w:t>
            </w:r>
          </w:p>
        </w:tc>
        <w:tc>
          <w:tcPr>
            <w:tcW w:w="0" w:type="dxa"/>
            <w:vAlign w:val="bottom"/>
          </w:tcPr>
          <w:p>
            <w:pPr>
              <w:spacing w:after="0"/>
              <w:rPr>
                <w:sz w:val="1"/>
                <w:szCs w:val="1"/>
                <w:color w:val="auto"/>
              </w:rPr>
            </w:pPr>
          </w:p>
        </w:tc>
      </w:tr>
      <w:tr>
        <w:trPr>
          <w:trHeight w:val="229"/>
        </w:trPr>
        <w:tc>
          <w:tcPr>
            <w:tcW w:w="754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106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w w:val="8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9"/>
              </w:rPr>
              <w:t>23,877.3</w:t>
            </w:r>
          </w:p>
        </w:tc>
        <w:tc>
          <w:tcPr>
            <w:tcW w:w="8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600"/>
              <w:spacing w:after="0"/>
              <w:rPr>
                <w:sz w:val="20"/>
                <w:szCs w:val="20"/>
                <w:color w:val="auto"/>
              </w:rPr>
            </w:pPr>
            <w:r>
              <w:rPr>
                <w:rFonts w:ascii="Arial" w:cs="Arial" w:eastAsia="Arial" w:hAnsi="Arial"/>
                <w:sz w:val="16"/>
                <w:szCs w:val="16"/>
                <w:b w:val="1"/>
                <w:bCs w:val="1"/>
                <w:color w:val="auto"/>
              </w:rPr>
              <w:t>LIABILITIES AND EQUITY</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Current liabilities: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Current portion of notes payable</w:t>
            </w:r>
          </w:p>
        </w:tc>
        <w:tc>
          <w:tcPr>
            <w:tcW w:w="106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w w:val="8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999.1</w:t>
            </w:r>
          </w:p>
        </w:tc>
        <w:tc>
          <w:tcPr>
            <w:tcW w:w="8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174.7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589.2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2,535.2</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3,145.3</w:t>
            </w:r>
          </w:p>
        </w:tc>
        <w:tc>
          <w:tcPr>
            <w:tcW w:w="0" w:type="dxa"/>
            <w:vAlign w:val="bottom"/>
          </w:tcPr>
          <w:p>
            <w:pPr>
              <w:spacing w:after="0"/>
              <w:rPr>
                <w:sz w:val="1"/>
                <w:szCs w:val="1"/>
                <w:color w:val="auto"/>
              </w:rPr>
            </w:pPr>
          </w:p>
        </w:tc>
      </w:tr>
      <w:tr>
        <w:trPr>
          <w:trHeight w:val="210"/>
        </w:trPr>
        <w:tc>
          <w:tcPr>
            <w:tcW w:w="754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4,298.2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3,742.2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Notes payable</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6,274.0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7,426.2</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694.5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1,032.8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330.4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1,320.5</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1,329.6</w:t>
            </w:r>
          </w:p>
        </w:tc>
        <w:tc>
          <w:tcPr>
            <w:tcW w:w="0" w:type="dxa"/>
            <w:vAlign w:val="bottom"/>
          </w:tcPr>
          <w:p>
            <w:pPr>
              <w:spacing w:after="0"/>
              <w:rPr>
                <w:sz w:val="1"/>
                <w:szCs w:val="1"/>
                <w:color w:val="auto"/>
              </w:rPr>
            </w:pPr>
          </w:p>
        </w:tc>
      </w:tr>
      <w:tr>
        <w:trPr>
          <w:trHeight w:val="209"/>
        </w:trPr>
        <w:tc>
          <w:tcPr>
            <w:tcW w:w="754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w w:val="99"/>
              </w:rPr>
              <w:t>12,917.6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13,932.8</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20"/>
                <w:szCs w:val="20"/>
                <w:color w:val="auto"/>
              </w:rPr>
            </w:pPr>
            <w:r>
              <w:rPr>
                <w:rFonts w:ascii="Arial" w:cs="Arial" w:eastAsia="Arial" w:hAnsi="Arial"/>
                <w:sz w:val="16"/>
                <w:szCs w:val="16"/>
                <w:color w:val="auto"/>
              </w:rPr>
              <w:t>Commitments, contingencies and guarantees (Notes 21 and 22)</w:t>
            </w:r>
          </w:p>
        </w:tc>
        <w:tc>
          <w:tcPr>
            <w:tcW w:w="1060" w:type="dxa"/>
            <w:vAlign w:val="bottom"/>
            <w:shd w:val="clear" w:color="auto" w:fill="DDDDDD"/>
          </w:tcPr>
          <w:p>
            <w:pPr>
              <w:spacing w:after="0"/>
              <w:rPr>
                <w:sz w:val="17"/>
                <w:szCs w:val="17"/>
                <w:color w:val="auto"/>
              </w:rPr>
            </w:pPr>
          </w:p>
        </w:tc>
        <w:tc>
          <w:tcPr>
            <w:tcW w:w="70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Equity:</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0.1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68.2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rPr>
              <w:t>(106.7)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9"/>
              </w:rPr>
              <w:t>13,911.7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13,976.3</w:t>
            </w:r>
          </w:p>
        </w:tc>
        <w:tc>
          <w:tcPr>
            <w:tcW w:w="0" w:type="dxa"/>
            <w:vAlign w:val="bottom"/>
          </w:tcPr>
          <w:p>
            <w:pPr>
              <w:spacing w:after="0"/>
              <w:rPr>
                <w:sz w:val="1"/>
                <w:szCs w:val="1"/>
                <w:color w:val="auto"/>
              </w:rPr>
            </w:pPr>
          </w:p>
        </w:tc>
      </w:tr>
      <w:tr>
        <w:trPr>
          <w:trHeight w:val="216"/>
        </w:trPr>
        <w:tc>
          <w:tcPr>
            <w:tcW w:w="7540" w:type="dxa"/>
            <w:vAlign w:val="bottom"/>
          </w:tcPr>
          <w:p>
            <w:pPr>
              <w:ind w:left="120"/>
              <w:spacing w:after="0"/>
              <w:rPr>
                <w:sz w:val="20"/>
                <w:szCs w:val="20"/>
                <w:color w:val="auto"/>
              </w:rPr>
            </w:pPr>
            <w:r>
              <w:rPr>
                <w:rFonts w:ascii="Arial" w:cs="Arial" w:eastAsia="Arial" w:hAnsi="Arial"/>
                <w:sz w:val="16"/>
                <w:szCs w:val="16"/>
                <w:color w:val="auto"/>
              </w:rPr>
              <w:t>Treasury stock, at cost; 23.8 million and 23.8 million shares, respectively</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(2,977.1)</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9"/>
        </w:trPr>
        <w:tc>
          <w:tcPr>
            <w:tcW w:w="7540" w:type="dxa"/>
            <w:vAlign w:val="bottom"/>
          </w:tcPr>
          <w:p>
            <w:pPr>
              <w:ind w:left="320"/>
              <w:spacing w:after="0"/>
              <w:rPr>
                <w:sz w:val="20"/>
                <w:szCs w:val="20"/>
                <w:color w:val="auto"/>
              </w:rPr>
            </w:pPr>
            <w:r>
              <w:rPr>
                <w:rFonts w:ascii="Arial" w:cs="Arial" w:eastAsia="Arial" w:hAnsi="Arial"/>
                <w:sz w:val="16"/>
                <w:szCs w:val="16"/>
                <w:color w:val="auto"/>
              </w:rPr>
              <w:t>Total Biogen Inc. shareholders’ equity</w:t>
            </w:r>
          </w:p>
        </w:tc>
        <w:tc>
          <w:tcPr>
            <w:tcW w:w="1060" w:type="dxa"/>
            <w:vAlign w:val="bottom"/>
            <w:shd w:val="clear" w:color="auto" w:fill="DDDDDD"/>
          </w:tcPr>
          <w:p>
            <w:pPr>
              <w:spacing w:after="0"/>
              <w:rPr>
                <w:sz w:val="18"/>
                <w:szCs w:val="18"/>
                <w:color w:val="auto"/>
              </w:rPr>
            </w:pP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9"/>
              </w:rPr>
              <w:t>10,896.2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10,700.3</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rPr>
              <w:t>63.5</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9"/>
        </w:trPr>
        <w:tc>
          <w:tcPr>
            <w:tcW w:w="7540" w:type="dxa"/>
            <w:vAlign w:val="bottom"/>
          </w:tcPr>
          <w:p>
            <w:pPr>
              <w:ind w:left="320"/>
              <w:spacing w:after="0"/>
              <w:rPr>
                <w:sz w:val="20"/>
                <w:szCs w:val="20"/>
                <w:color w:val="auto"/>
              </w:rPr>
            </w:pPr>
            <w:r>
              <w:rPr>
                <w:rFonts w:ascii="Arial" w:cs="Arial" w:eastAsia="Arial" w:hAnsi="Arial"/>
                <w:sz w:val="16"/>
                <w:szCs w:val="16"/>
                <w:color w:val="auto"/>
              </w:rPr>
              <w:t>Total equity</w:t>
            </w:r>
          </w:p>
        </w:tc>
        <w:tc>
          <w:tcPr>
            <w:tcW w:w="1060" w:type="dxa"/>
            <w:vAlign w:val="bottom"/>
            <w:tcBorders>
              <w:bottom w:val="single" w:sz="8" w:color="auto"/>
            </w:tcBorders>
            <w:shd w:val="clear" w:color="auto" w:fill="DDDDDD"/>
          </w:tcPr>
          <w:p>
            <w:pPr>
              <w:spacing w:after="0"/>
              <w:rPr>
                <w:sz w:val="18"/>
                <w:szCs w:val="18"/>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2573BA"/>
                <w:w w:val="99"/>
              </w:rPr>
              <w:t>10,959.7</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10,686.1</w:t>
            </w:r>
          </w:p>
        </w:tc>
        <w:tc>
          <w:tcPr>
            <w:tcW w:w="0" w:type="dxa"/>
            <w:vAlign w:val="bottom"/>
          </w:tcPr>
          <w:p>
            <w:pPr>
              <w:spacing w:after="0"/>
              <w:rPr>
                <w:sz w:val="1"/>
                <w:szCs w:val="1"/>
                <w:color w:val="auto"/>
              </w:rPr>
            </w:pPr>
          </w:p>
        </w:tc>
      </w:tr>
      <w:tr>
        <w:trPr>
          <w:trHeight w:val="233"/>
        </w:trPr>
        <w:tc>
          <w:tcPr>
            <w:tcW w:w="7540" w:type="dxa"/>
            <w:vAlign w:val="bottom"/>
          </w:tcPr>
          <w:p>
            <w:pPr>
              <w:ind w:left="320"/>
              <w:spacing w:after="0"/>
              <w:rPr>
                <w:sz w:val="20"/>
                <w:szCs w:val="20"/>
                <w:color w:val="auto"/>
              </w:rPr>
            </w:pPr>
            <w:r>
              <w:rPr>
                <w:rFonts w:ascii="Arial" w:cs="Arial" w:eastAsia="Arial" w:hAnsi="Arial"/>
                <w:sz w:val="16"/>
                <w:szCs w:val="16"/>
                <w:color w:val="auto"/>
              </w:rPr>
              <w:t>Total liabilities and equity</w:t>
            </w:r>
          </w:p>
        </w:tc>
        <w:tc>
          <w:tcPr>
            <w:tcW w:w="1060" w:type="dxa"/>
            <w:vAlign w:val="bottom"/>
            <w:shd w:val="clear" w:color="auto" w:fill="DDDDDD"/>
          </w:tcPr>
          <w:p>
            <w:pPr>
              <w:jc w:val="right"/>
              <w:ind w:right="879"/>
              <w:spacing w:after="0"/>
              <w:rPr>
                <w:sz w:val="20"/>
                <w:szCs w:val="20"/>
                <w:color w:val="auto"/>
              </w:rPr>
            </w:pPr>
            <w:r>
              <w:rPr>
                <w:rFonts w:ascii="Arial" w:cs="Arial" w:eastAsia="Arial" w:hAnsi="Arial"/>
                <w:sz w:val="16"/>
                <w:szCs w:val="16"/>
                <w:color w:val="2573BA"/>
                <w:w w:val="89"/>
              </w:rPr>
              <w:t>$</w:t>
            </w:r>
          </w:p>
        </w:tc>
        <w:tc>
          <w:tcPr>
            <w:tcW w:w="700" w:type="dxa"/>
            <w:vAlign w:val="bottom"/>
            <w:shd w:val="clear" w:color="auto" w:fill="DDDDDD"/>
          </w:tcPr>
          <w:p>
            <w:pPr>
              <w:jc w:val="right"/>
              <w:spacing w:after="0"/>
              <w:rPr>
                <w:sz w:val="20"/>
                <w:szCs w:val="20"/>
                <w:color w:val="auto"/>
              </w:rPr>
            </w:pPr>
            <w:r>
              <w:rPr>
                <w:rFonts w:ascii="Arial" w:cs="Arial" w:eastAsia="Arial" w:hAnsi="Arial"/>
                <w:sz w:val="16"/>
                <w:szCs w:val="16"/>
                <w:color w:val="2573BA"/>
                <w:w w:val="99"/>
              </w:rPr>
              <w:t>23,877.3</w:t>
            </w:r>
          </w:p>
        </w:tc>
        <w:tc>
          <w:tcPr>
            <w:tcW w:w="8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CONSOLIDATED STATEMENTS OF CASH FLOW</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Cash flow from operating activities:</w:t>
            </w:r>
          </w:p>
        </w:tc>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28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1,727.6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4,060.5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5,888.5</w:t>
            </w:r>
          </w:p>
        </w:tc>
        <w:tc>
          <w:tcPr>
            <w:tcW w:w="0" w:type="dxa"/>
            <w:vAlign w:val="bottom"/>
          </w:tcPr>
          <w:p>
            <w:pPr>
              <w:spacing w:after="0"/>
              <w:rPr>
                <w:sz w:val="1"/>
                <w:szCs w:val="1"/>
                <w:color w:val="auto"/>
              </w:rPr>
            </w:pPr>
          </w:p>
        </w:tc>
      </w:tr>
      <w:tr>
        <w:trPr>
          <w:trHeight w:val="188"/>
        </w:trPr>
        <w:tc>
          <w:tcPr>
            <w:tcW w:w="7120" w:type="dxa"/>
            <w:vAlign w:val="bottom"/>
          </w:tcPr>
          <w:p>
            <w:pPr>
              <w:ind w:left="120"/>
              <w:spacing w:after="0"/>
              <w:rPr>
                <w:sz w:val="20"/>
                <w:szCs w:val="20"/>
                <w:color w:val="auto"/>
              </w:rPr>
            </w:pPr>
            <w:r>
              <w:rPr>
                <w:rFonts w:ascii="Arial" w:cs="Arial" w:eastAsia="Arial" w:hAnsi="Arial"/>
                <w:sz w:val="14"/>
                <w:szCs w:val="14"/>
                <w:color w:val="auto"/>
              </w:rPr>
              <w:t>Adjustments to reconcile net income to net cash flow from operating activities: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487.7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457.2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464.7</w:t>
            </w:r>
          </w:p>
        </w:tc>
        <w:tc>
          <w:tcPr>
            <w:tcW w:w="0" w:type="dxa"/>
            <w:vAlign w:val="bottom"/>
          </w:tcPr>
          <w:p>
            <w:pPr>
              <w:spacing w:after="0"/>
              <w:rPr>
                <w:sz w:val="1"/>
                <w:szCs w:val="1"/>
                <w:color w:val="auto"/>
              </w:rPr>
            </w:pPr>
          </w:p>
        </w:tc>
      </w:tr>
      <w:tr>
        <w:trPr>
          <w:trHeight w:val="190"/>
        </w:trPr>
        <w:tc>
          <w:tcPr>
            <w:tcW w:w="7120" w:type="dxa"/>
            <w:vAlign w:val="bottom"/>
          </w:tcPr>
          <w:p>
            <w:pPr>
              <w:ind w:left="340"/>
              <w:spacing w:after="0"/>
              <w:rPr>
                <w:sz w:val="20"/>
                <w:szCs w:val="20"/>
                <w:color w:val="auto"/>
              </w:rPr>
            </w:pPr>
            <w:r>
              <w:rPr>
                <w:rFonts w:ascii="Arial" w:cs="Arial" w:eastAsia="Arial" w:hAnsi="Arial"/>
                <w:sz w:val="14"/>
                <w:szCs w:val="14"/>
                <w:color w:val="auto"/>
              </w:rPr>
              <w:t>Impairment of intangible assets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629.3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Excess and obsolescence charges related to inventory</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167.6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Acquired in-process research and development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Share-based compensation</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238.6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Contingent consideration</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(50.7)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(Gain)/loss on divestiture of Hillerød, Denmark manufacturing operations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(426.8)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(Gain) loss on strategic investments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826.8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(Gain) loss on equity method investment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88"/>
        </w:trPr>
        <w:tc>
          <w:tcPr>
            <w:tcW w:w="7120" w:type="dxa"/>
            <w:vAlign w:val="bottom"/>
          </w:tcPr>
          <w:p>
            <w:pPr>
              <w:ind w:left="34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89"/>
        </w:trPr>
        <w:tc>
          <w:tcPr>
            <w:tcW w:w="712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 net: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54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90"/>
        </w:trPr>
        <w:tc>
          <w:tcPr>
            <w:tcW w:w="7120" w:type="dxa"/>
            <w:vAlign w:val="bottom"/>
          </w:tcPr>
          <w:p>
            <w:pPr>
              <w:ind w:left="540"/>
              <w:spacing w:after="0"/>
              <w:rPr>
                <w:sz w:val="20"/>
                <w:szCs w:val="20"/>
                <w:color w:val="auto"/>
              </w:rPr>
            </w:pPr>
            <w:r>
              <w:rPr>
                <w:rFonts w:ascii="Arial" w:cs="Arial" w:eastAsia="Arial" w:hAnsi="Arial"/>
                <w:sz w:val="14"/>
                <w:szCs w:val="14"/>
                <w:color w:val="auto"/>
              </w:rPr>
              <w:t>Due from anti-CD20 therapeutic programs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89"/>
        </w:trPr>
        <w:tc>
          <w:tcPr>
            <w:tcW w:w="7120" w:type="dxa"/>
            <w:vAlign w:val="bottom"/>
          </w:tcPr>
          <w:p>
            <w:pPr>
              <w:ind w:left="54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(462.4)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9"/>
        </w:trPr>
        <w:tc>
          <w:tcPr>
            <w:tcW w:w="7120" w:type="dxa"/>
            <w:vAlign w:val="bottom"/>
          </w:tcPr>
          <w:p>
            <w:pPr>
              <w:ind w:left="540"/>
              <w:spacing w:after="0"/>
              <w:rPr>
                <w:sz w:val="20"/>
                <w:szCs w:val="20"/>
                <w:color w:val="auto"/>
              </w:rPr>
            </w:pPr>
            <w:r>
              <w:rPr>
                <w:rFonts w:ascii="Arial" w:cs="Arial" w:eastAsia="Arial" w:hAnsi="Arial"/>
                <w:sz w:val="14"/>
                <w:szCs w:val="14"/>
                <w:color w:val="auto"/>
              </w:rPr>
              <w:t>Accrued expense and other current liabilities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240.2</w:t>
            </w:r>
          </w:p>
        </w:tc>
        <w:tc>
          <w:tcPr>
            <w:tcW w:w="0" w:type="dxa"/>
            <w:vAlign w:val="bottom"/>
          </w:tcPr>
          <w:p>
            <w:pPr>
              <w:spacing w:after="0"/>
              <w:rPr>
                <w:sz w:val="1"/>
                <w:szCs w:val="1"/>
                <w:color w:val="auto"/>
              </w:rPr>
            </w:pPr>
          </w:p>
        </w:tc>
      </w:tr>
      <w:tr>
        <w:trPr>
          <w:trHeight w:val="189"/>
        </w:trPr>
        <w:tc>
          <w:tcPr>
            <w:tcW w:w="7120" w:type="dxa"/>
            <w:vAlign w:val="bottom"/>
          </w:tcPr>
          <w:p>
            <w:pPr>
              <w:ind w:left="540"/>
              <w:spacing w:after="0"/>
              <w:rPr>
                <w:sz w:val="20"/>
                <w:szCs w:val="20"/>
                <w:color w:val="auto"/>
              </w:rPr>
            </w:pPr>
            <w:r>
              <w:rPr>
                <w:rFonts w:ascii="Arial" w:cs="Arial" w:eastAsia="Arial" w:hAnsi="Arial"/>
                <w:sz w:val="14"/>
                <w:szCs w:val="14"/>
                <w:color w:val="auto"/>
              </w:rPr>
              <w:t>Income tax assets and liabilities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230.8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8"/>
        </w:trPr>
        <w:tc>
          <w:tcPr>
            <w:tcW w:w="7120" w:type="dxa"/>
            <w:vAlign w:val="bottom"/>
          </w:tcPr>
          <w:p>
            <w:pPr>
              <w:ind w:left="540"/>
              <w:spacing w:after="0"/>
              <w:rPr>
                <w:sz w:val="20"/>
                <w:szCs w:val="20"/>
                <w:color w:val="auto"/>
              </w:rPr>
            </w:pPr>
            <w:r>
              <w:rPr>
                <w:rFonts w:ascii="Arial" w:cs="Arial" w:eastAsia="Arial" w:hAnsi="Arial"/>
                <w:sz w:val="14"/>
                <w:szCs w:val="14"/>
                <w:color w:val="auto"/>
              </w:rPr>
              <w:t>Other changes in operating assets and liabilities, net</w:t>
            </w:r>
          </w:p>
        </w:tc>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(144.5)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83"/>
        </w:trPr>
        <w:tc>
          <w:tcPr>
            <w:tcW w:w="7120" w:type="dxa"/>
            <w:vAlign w:val="bottom"/>
          </w:tcPr>
          <w:p>
            <w:pPr>
              <w:ind w:left="660"/>
              <w:spacing w:after="0"/>
              <w:rPr>
                <w:sz w:val="20"/>
                <w:szCs w:val="20"/>
                <w:color w:val="auto"/>
              </w:rPr>
            </w:pPr>
            <w:r>
              <w:rPr>
                <w:rFonts w:ascii="Arial" w:cs="Arial" w:eastAsia="Arial" w:hAnsi="Arial"/>
                <w:sz w:val="14"/>
                <w:szCs w:val="14"/>
                <w:color w:val="auto"/>
              </w:rPr>
              <w:t>Net cash flow provided by operating activities</w:t>
            </w:r>
          </w:p>
        </w:tc>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3,639.9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4,229.8</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7,078.6</w:t>
            </w:r>
          </w:p>
        </w:tc>
        <w:tc>
          <w:tcPr>
            <w:tcW w:w="0" w:type="dxa"/>
            <w:vAlign w:val="bottom"/>
          </w:tcPr>
          <w:p>
            <w:pPr>
              <w:spacing w:after="0"/>
              <w:rPr>
                <w:sz w:val="1"/>
                <w:szCs w:val="1"/>
                <w:color w:val="auto"/>
              </w:rPr>
            </w:pPr>
          </w:p>
        </w:tc>
      </w:tr>
      <w:tr>
        <w:trPr>
          <w:trHeight w:val="169"/>
        </w:trPr>
        <w:tc>
          <w:tcPr>
            <w:tcW w:w="7120" w:type="dxa"/>
            <w:vAlign w:val="bottom"/>
          </w:tcPr>
          <w:p>
            <w:pPr>
              <w:spacing w:after="0"/>
              <w:rPr>
                <w:sz w:val="20"/>
                <w:szCs w:val="20"/>
                <w:color w:val="auto"/>
              </w:rPr>
            </w:pPr>
            <w:r>
              <w:rPr>
                <w:rFonts w:ascii="Arial" w:cs="Arial" w:eastAsia="Arial" w:hAnsi="Arial"/>
                <w:sz w:val="14"/>
                <w:szCs w:val="14"/>
                <w:b w:val="1"/>
                <w:bCs w:val="1"/>
                <w:color w:val="auto"/>
              </w:rPr>
              <w:t>Cash flow from investing activities:</w:t>
            </w:r>
          </w:p>
        </w:tc>
        <w:tc>
          <w:tcPr>
            <w:tcW w:w="28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(258.1)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(514.5)</w:t>
            </w:r>
          </w:p>
        </w:tc>
        <w:tc>
          <w:tcPr>
            <w:tcW w:w="0" w:type="dxa"/>
            <w:vAlign w:val="bottom"/>
          </w:tcPr>
          <w:p>
            <w:pPr>
              <w:spacing w:after="0"/>
              <w:rPr>
                <w:sz w:val="1"/>
                <w:szCs w:val="1"/>
                <w:color w:val="auto"/>
              </w:rPr>
            </w:pPr>
          </w:p>
        </w:tc>
      </w:tr>
      <w:tr>
        <w:trPr>
          <w:trHeight w:val="190"/>
        </w:trPr>
        <w:tc>
          <w:tcPr>
            <w:tcW w:w="7120" w:type="dxa"/>
            <w:vAlign w:val="bottom"/>
          </w:tcPr>
          <w:p>
            <w:pPr>
              <w:ind w:left="120"/>
              <w:spacing w:after="0"/>
              <w:rPr>
                <w:sz w:val="20"/>
                <w:szCs w:val="20"/>
                <w:color w:val="auto"/>
              </w:rPr>
            </w:pPr>
            <w:r>
              <w:rPr>
                <w:rFonts w:ascii="Arial" w:cs="Arial" w:eastAsia="Arial" w:hAnsi="Arial"/>
                <w:sz w:val="14"/>
                <w:szCs w:val="14"/>
                <w:color w:val="auto"/>
              </w:rPr>
              <w:t>Proceeds from sales and maturities of marketable securities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3,405.4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7,299.4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6,007.0</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Purchases of marketable securities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(3,808.7)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(6,397.7)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(5,252.6)</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Contingent consideration paid related to Fumapharm AG acquisition</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Acquisition of Nightstar Therapeutics plc, net of cash acquired</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(744.4)</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 of Sangamo Therapeutics, Inc. stock</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 of Denali Therapeutics Inc. stock</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 of Sage Therapeutics, Inc. stock</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Proceeds from divestiture of Hillerød, Denmark manufacturing operations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28.1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923.7</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Acquired in-process research and development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Acquisitions of intangible assets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Proceeds from sales of strategic investments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188"/>
        </w:trPr>
        <w:tc>
          <w:tcPr>
            <w:tcW w:w="7120" w:type="dxa"/>
            <w:vAlign w:val="bottom"/>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12.9</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2"/>
        </w:trPr>
        <w:tc>
          <w:tcPr>
            <w:tcW w:w="7120" w:type="dxa"/>
            <w:vAlign w:val="bottom"/>
          </w:tcPr>
          <w:p>
            <w:pPr>
              <w:ind w:left="660"/>
              <w:spacing w:after="0"/>
              <w:rPr>
                <w:sz w:val="20"/>
                <w:szCs w:val="20"/>
                <w:color w:val="auto"/>
              </w:rPr>
            </w:pPr>
            <w:r>
              <w:rPr>
                <w:rFonts w:ascii="Arial" w:cs="Arial" w:eastAsia="Arial" w:hAnsi="Arial"/>
                <w:sz w:val="14"/>
                <w:szCs w:val="14"/>
                <w:color w:val="auto"/>
              </w:rPr>
              <w:t>Net cash flow (used in) provided by investing activities</w:t>
            </w:r>
          </w:p>
        </w:tc>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(563.7)</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470.5</w:t>
            </w:r>
          </w:p>
        </w:tc>
        <w:tc>
          <w:tcPr>
            <w:tcW w:w="0" w:type="dxa"/>
            <w:vAlign w:val="bottom"/>
          </w:tcPr>
          <w:p>
            <w:pPr>
              <w:spacing w:after="0"/>
              <w:rPr>
                <w:sz w:val="1"/>
                <w:szCs w:val="1"/>
                <w:color w:val="auto"/>
              </w:rPr>
            </w:pPr>
          </w:p>
        </w:tc>
      </w:tr>
      <w:tr>
        <w:trPr>
          <w:trHeight w:val="169"/>
        </w:trPr>
        <w:tc>
          <w:tcPr>
            <w:tcW w:w="7120" w:type="dxa"/>
            <w:vAlign w:val="bottom"/>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280" w:type="dxa"/>
            <w:vAlign w:val="bottom"/>
            <w:shd w:val="clear" w:color="auto" w:fill="DDDDDD"/>
          </w:tcPr>
          <w:p>
            <w:pPr>
              <w:spacing w:after="0"/>
              <w:rPr>
                <w:sz w:val="14"/>
                <w:szCs w:val="14"/>
                <w:color w:val="auto"/>
              </w:rPr>
            </w:pPr>
          </w:p>
        </w:tc>
        <w:tc>
          <w:tcPr>
            <w:tcW w:w="1020" w:type="dxa"/>
            <w:vAlign w:val="bottom"/>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(1,800.0)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(6,679.1)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(5,868.3)</w:t>
            </w:r>
          </w:p>
        </w:tc>
        <w:tc>
          <w:tcPr>
            <w:tcW w:w="0" w:type="dxa"/>
            <w:vAlign w:val="bottom"/>
          </w:tcPr>
          <w:p>
            <w:pPr>
              <w:spacing w:after="0"/>
              <w:rPr>
                <w:sz w:val="1"/>
                <w:szCs w:val="1"/>
                <w:color w:val="auto"/>
              </w:rPr>
            </w:pPr>
          </w:p>
        </w:tc>
      </w:tr>
      <w:tr>
        <w:trPr>
          <w:trHeight w:val="190"/>
        </w:trPr>
        <w:tc>
          <w:tcPr>
            <w:tcW w:w="7120" w:type="dxa"/>
            <w:vAlign w:val="bottom"/>
          </w:tcPr>
          <w:p>
            <w:pPr>
              <w:ind w:left="120"/>
              <w:spacing w:after="0"/>
              <w:rPr>
                <w:sz w:val="20"/>
                <w:szCs w:val="20"/>
                <w:color w:val="auto"/>
              </w:rPr>
            </w:pPr>
            <w:r>
              <w:rPr>
                <w:rFonts w:ascii="Arial" w:cs="Arial" w:eastAsia="Arial" w:hAnsi="Arial"/>
                <w:sz w:val="14"/>
                <w:szCs w:val="14"/>
                <w:color w:val="auto"/>
              </w:rPr>
              <w:t>Payments related to issuance of stock for share-based compensation arrangements, net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Repayments of borrowings and premiums paid on debt exchange</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Proceeds from borrowings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Repayments of borrowings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120" w:type="dxa"/>
            <w:vAlign w:val="bottom"/>
          </w:tcPr>
          <w:p>
            <w:pPr>
              <w:ind w:left="120"/>
              <w:spacing w:after="0"/>
              <w:rPr>
                <w:sz w:val="20"/>
                <w:szCs w:val="20"/>
                <w:color w:val="auto"/>
              </w:rPr>
            </w:pPr>
            <w:r>
              <w:rPr>
                <w:rFonts w:ascii="Arial" w:cs="Arial" w:eastAsia="Arial" w:hAnsi="Arial"/>
                <w:sz w:val="14"/>
                <w:szCs w:val="14"/>
                <w:color w:val="auto"/>
              </w:rPr>
              <w:t>Net (distribution) contribution to noncontrolling interest</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(94.4)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8"/>
        </w:trPr>
        <w:tc>
          <w:tcPr>
            <w:tcW w:w="7120" w:type="dxa"/>
            <w:vAlign w:val="bottom"/>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(21.1)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3"/>
        </w:trPr>
        <w:tc>
          <w:tcPr>
            <w:tcW w:w="7120" w:type="dxa"/>
            <w:vAlign w:val="bottom"/>
          </w:tcPr>
          <w:p>
            <w:pPr>
              <w:ind w:left="660"/>
              <w:spacing w:after="0"/>
              <w:rPr>
                <w:sz w:val="20"/>
                <w:szCs w:val="20"/>
                <w:color w:val="auto"/>
              </w:rPr>
            </w:pPr>
            <w:r>
              <w:rPr>
                <w:rFonts w:ascii="Arial" w:cs="Arial" w:eastAsia="Arial" w:hAnsi="Arial"/>
                <w:sz w:val="14"/>
                <w:szCs w:val="14"/>
                <w:color w:val="auto"/>
              </w:rPr>
              <w:t>Net cash flow used in financing activities</w:t>
            </w:r>
          </w:p>
        </w:tc>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(2,086.2)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(5,272.7)</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(5,860.4)</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shd w:val="clear" w:color="auto" w:fill="DDDDDD"/>
          </w:tcPr>
          <w:p>
            <w:pPr>
              <w:spacing w:after="0"/>
              <w:rPr>
                <w:sz w:val="16"/>
                <w:szCs w:val="16"/>
                <w:color w:val="auto"/>
              </w:rPr>
            </w:pP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990.0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1,688.7</w:t>
            </w:r>
          </w:p>
        </w:tc>
        <w:tc>
          <w:tcPr>
            <w:tcW w:w="0" w:type="dxa"/>
            <w:vAlign w:val="bottom"/>
          </w:tcPr>
          <w:p>
            <w:pPr>
              <w:spacing w:after="0"/>
              <w:rPr>
                <w:sz w:val="1"/>
                <w:szCs w:val="1"/>
                <w:color w:val="auto"/>
              </w:rPr>
            </w:pPr>
          </w:p>
        </w:tc>
      </w:tr>
      <w:tr>
        <w:trPr>
          <w:trHeight w:val="187"/>
        </w:trPr>
        <w:tc>
          <w:tcPr>
            <w:tcW w:w="71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shd w:val="clear" w:color="auto" w:fill="DDDDDD"/>
          </w:tcPr>
          <w:p>
            <w:pPr>
              <w:spacing w:after="0"/>
              <w:rPr>
                <w:sz w:val="16"/>
                <w:szCs w:val="16"/>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(59.8)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7120" w:type="dxa"/>
            <w:vAlign w:val="bottom"/>
          </w:tcPr>
          <w:p>
            <w:pPr>
              <w:spacing w:after="0"/>
              <w:rPr>
                <w:sz w:val="20"/>
                <w:szCs w:val="20"/>
                <w:color w:val="auto"/>
              </w:rPr>
            </w:pPr>
            <w:r>
              <w:rPr>
                <w:rFonts w:ascii="Arial" w:cs="Arial" w:eastAsia="Arial" w:hAnsi="Arial"/>
                <w:sz w:val="14"/>
                <w:szCs w:val="14"/>
                <w:color w:val="auto"/>
              </w:rPr>
              <w:t>Cash and cash equivalents, beginning of the year</w:t>
            </w:r>
          </w:p>
        </w:tc>
        <w:tc>
          <w:tcPr>
            <w:tcW w:w="28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1,331.2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2,913.7</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1,224.6</w:t>
            </w:r>
          </w:p>
        </w:tc>
        <w:tc>
          <w:tcPr>
            <w:tcW w:w="0" w:type="dxa"/>
            <w:vAlign w:val="bottom"/>
          </w:tcPr>
          <w:p>
            <w:pPr>
              <w:spacing w:after="0"/>
              <w:rPr>
                <w:sz w:val="1"/>
                <w:szCs w:val="1"/>
                <w:color w:val="auto"/>
              </w:rPr>
            </w:pPr>
          </w:p>
        </w:tc>
      </w:tr>
      <w:tr>
        <w:trPr>
          <w:trHeight w:val="203"/>
        </w:trPr>
        <w:tc>
          <w:tcPr>
            <w:tcW w:w="7120" w:type="dxa"/>
            <w:vAlign w:val="bottom"/>
          </w:tcPr>
          <w:p>
            <w:pPr>
              <w:spacing w:after="0"/>
              <w:rPr>
                <w:sz w:val="20"/>
                <w:szCs w:val="20"/>
                <w:color w:val="auto"/>
              </w:rPr>
            </w:pPr>
            <w:r>
              <w:rPr>
                <w:rFonts w:ascii="Arial" w:cs="Arial" w:eastAsia="Arial" w:hAnsi="Arial"/>
                <w:sz w:val="14"/>
                <w:szCs w:val="14"/>
                <w:color w:val="auto"/>
              </w:rPr>
              <w:t>Cash and cash equivalents, end of the year</w:t>
            </w:r>
          </w:p>
        </w:tc>
        <w:tc>
          <w:tcPr>
            <w:tcW w:w="28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2,261.4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1,331.2</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2,913.7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1820" w:type="dxa"/>
            <w:vAlign w:val="bottom"/>
          </w:tcPr>
          <w:p>
            <w:pPr>
              <w:spacing w:after="0"/>
              <w:rPr>
                <w:sz w:val="15"/>
                <w:szCs w:val="15"/>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5"/>
                <w:szCs w:val="15"/>
                <w:color w:val="auto"/>
              </w:rPr>
            </w:pPr>
          </w:p>
        </w:tc>
        <w:tc>
          <w:tcPr>
            <w:tcW w:w="1140" w:type="dxa"/>
            <w:vAlign w:val="bottom"/>
            <w:gridSpan w:val="5"/>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52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DDDDD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loss</w:t>
            </w:r>
          </w:p>
        </w:tc>
        <w:tc>
          <w:tcPr>
            <w:tcW w:w="100" w:type="dxa"/>
            <w:vAlign w:val="bottom"/>
            <w:tcBorders>
              <w:bottom w:val="single" w:sz="8" w:color="DDDDDD"/>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DDDDDD"/>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DDDDD"/>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DDDDD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Borders>
              <w:bottom w:val="single" w:sz="8" w:color="DDDDDD"/>
            </w:tcBorders>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320" w:type="dxa"/>
            <w:vAlign w:val="bottom"/>
            <w:gridSpan w:val="3"/>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560" w:type="dxa"/>
            <w:vAlign w:val="bottom"/>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176.2</w:t>
            </w:r>
          </w:p>
        </w:tc>
        <w:tc>
          <w:tcPr>
            <w:tcW w:w="40" w:type="dxa"/>
            <w:vAlign w:val="bottom"/>
            <w:shd w:val="clear" w:color="auto" w:fill="DDDDDD"/>
          </w:tcPr>
          <w:p>
            <w:pPr>
              <w:spacing w:after="0"/>
              <w:rPr>
                <w:sz w:val="11"/>
                <w:szCs w:val="11"/>
                <w:color w:val="auto"/>
              </w:rPr>
            </w:pPr>
          </w:p>
        </w:tc>
        <w:tc>
          <w:tcPr>
            <w:tcW w:w="260" w:type="dxa"/>
            <w:vAlign w:val="bottom"/>
            <w:gridSpan w:val="2"/>
            <w:vMerge w:val="restart"/>
            <w:shd w:val="clear" w:color="auto" w:fill="DDDDDD"/>
          </w:tcPr>
          <w:p>
            <w:pPr>
              <w:ind w:left="100"/>
              <w:spacing w:after="0"/>
              <w:rPr>
                <w:sz w:val="20"/>
                <w:szCs w:val="20"/>
                <w:color w:val="auto"/>
              </w:rPr>
            </w:pPr>
            <w:r>
              <w:rPr>
                <w:rFonts w:ascii="Arial" w:cs="Arial" w:eastAsia="Arial" w:hAnsi="Arial"/>
                <w:sz w:val="14"/>
                <w:szCs w:val="14"/>
                <w:color w:val="2573BA"/>
              </w:rPr>
              <w:t>$</w:t>
            </w: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200" w:type="dxa"/>
            <w:vAlign w:val="bottom"/>
            <w:gridSpan w:val="2"/>
            <w:vMerge w:val="restart"/>
            <w:shd w:val="clear" w:color="auto" w:fill="DDDDDD"/>
          </w:tcPr>
          <w:p>
            <w:pPr>
              <w:ind w:left="100"/>
              <w:spacing w:after="0"/>
              <w:rPr>
                <w:sz w:val="20"/>
                <w:szCs w:val="20"/>
                <w:color w:val="auto"/>
              </w:rPr>
            </w:pPr>
            <w:r>
              <w:rPr>
                <w:rFonts w:ascii="Arial" w:cs="Arial" w:eastAsia="Arial" w:hAnsi="Arial"/>
                <w:sz w:val="14"/>
                <w:szCs w:val="14"/>
                <w:color w:val="2573BA"/>
              </w:rPr>
              <w:t>$</w:t>
            </w:r>
          </w:p>
        </w:tc>
        <w:tc>
          <w:tcPr>
            <w:tcW w:w="6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2573BA"/>
              </w:rPr>
              <w:t>—</w:t>
            </w: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(299.0)</w:t>
            </w:r>
          </w:p>
        </w:tc>
        <w:tc>
          <w:tcPr>
            <w:tcW w:w="10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ind w:right="9"/>
              <w:spacing w:after="0"/>
              <w:rPr>
                <w:sz w:val="20"/>
                <w:szCs w:val="20"/>
                <w:color w:val="auto"/>
              </w:rPr>
            </w:pPr>
            <w:r>
              <w:rPr>
                <w:rFonts w:ascii="Arial" w:cs="Arial" w:eastAsia="Arial" w:hAnsi="Arial"/>
                <w:sz w:val="14"/>
                <w:szCs w:val="14"/>
                <w:color w:val="2573BA"/>
                <w:w w:val="96"/>
              </w:rPr>
              <w:t>$ 13,976.3</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(23.8)</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DDDDD"/>
          </w:tcPr>
          <w:p>
            <w:pPr>
              <w:spacing w:after="0"/>
              <w:rPr>
                <w:sz w:val="11"/>
                <w:szCs w:val="11"/>
                <w:color w:val="auto"/>
              </w:rPr>
            </w:pP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2573BA"/>
              </w:rPr>
              <w:t>10,700.3</w:t>
            </w:r>
          </w:p>
        </w:tc>
        <w:tc>
          <w:tcPr>
            <w:tcW w:w="80" w:type="dxa"/>
            <w:vAlign w:val="bottom"/>
            <w:shd w:val="clear" w:color="auto" w:fill="DDDDDD"/>
          </w:tcPr>
          <w:p>
            <w:pPr>
              <w:spacing w:after="0"/>
              <w:rPr>
                <w:sz w:val="11"/>
                <w:szCs w:val="11"/>
                <w:color w:val="auto"/>
              </w:rPr>
            </w:pPr>
          </w:p>
        </w:tc>
        <w:tc>
          <w:tcPr>
            <w:tcW w:w="16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(14.2)</w:t>
            </w:r>
          </w:p>
        </w:tc>
        <w:tc>
          <w:tcPr>
            <w:tcW w:w="8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99"/>
              </w:rPr>
              <w:t>$ 10,686.1</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480" w:type="dxa"/>
            <w:vAlign w:val="bottom"/>
            <w:vMerge w:val="continue"/>
            <w:shd w:val="clear" w:color="auto" w:fill="DDDDDD"/>
          </w:tcPr>
          <w:p>
            <w:pPr>
              <w:spacing w:after="0"/>
              <w:rPr>
                <w:sz w:val="15"/>
                <w:szCs w:val="15"/>
                <w:color w:val="auto"/>
              </w:rPr>
            </w:pPr>
          </w:p>
        </w:tc>
        <w:tc>
          <w:tcPr>
            <w:tcW w:w="320" w:type="dxa"/>
            <w:vAlign w:val="bottom"/>
            <w:gridSpan w:val="3"/>
            <w:vMerge w:val="continue"/>
            <w:shd w:val="clear" w:color="auto" w:fill="DDDDDD"/>
          </w:tcPr>
          <w:p>
            <w:pPr>
              <w:spacing w:after="0"/>
              <w:rPr>
                <w:sz w:val="15"/>
                <w:szCs w:val="15"/>
                <w:color w:val="auto"/>
              </w:rPr>
            </w:pPr>
          </w:p>
        </w:tc>
        <w:tc>
          <w:tcPr>
            <w:tcW w:w="340" w:type="dxa"/>
            <w:vAlign w:val="bottom"/>
            <w:vMerge w:val="continue"/>
            <w:shd w:val="clear" w:color="auto" w:fill="DDDDDD"/>
          </w:tcPr>
          <w:p>
            <w:pPr>
              <w:spacing w:after="0"/>
              <w:rPr>
                <w:sz w:val="15"/>
                <w:szCs w:val="15"/>
                <w:color w:val="auto"/>
              </w:rPr>
            </w:pPr>
          </w:p>
        </w:tc>
        <w:tc>
          <w:tcPr>
            <w:tcW w:w="560" w:type="dxa"/>
            <w:vAlign w:val="bottom"/>
            <w:gridSpan w:val="2"/>
            <w:vMerge w:val="continue"/>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60" w:type="dxa"/>
            <w:vAlign w:val="bottom"/>
            <w:gridSpan w:val="2"/>
            <w:vMerge w:val="continue"/>
            <w:shd w:val="clear" w:color="auto" w:fill="DDDDDD"/>
          </w:tcPr>
          <w:p>
            <w:pPr>
              <w:spacing w:after="0"/>
              <w:rPr>
                <w:sz w:val="15"/>
                <w:szCs w:val="15"/>
                <w:color w:val="auto"/>
              </w:rPr>
            </w:pPr>
          </w:p>
        </w:tc>
        <w:tc>
          <w:tcPr>
            <w:tcW w:w="360" w:type="dxa"/>
            <w:vAlign w:val="bottom"/>
            <w:vMerge w:val="continue"/>
            <w:shd w:val="clear" w:color="auto" w:fill="DDDDDD"/>
          </w:tcPr>
          <w:p>
            <w:pPr>
              <w:spacing w:after="0"/>
              <w:rPr>
                <w:sz w:val="15"/>
                <w:szCs w:val="15"/>
                <w:color w:val="auto"/>
              </w:rPr>
            </w:pPr>
          </w:p>
        </w:tc>
        <w:tc>
          <w:tcPr>
            <w:tcW w:w="200" w:type="dxa"/>
            <w:vAlign w:val="bottom"/>
            <w:gridSpan w:val="2"/>
            <w:vMerge w:val="continue"/>
            <w:shd w:val="clear" w:color="auto" w:fill="DDDDDD"/>
          </w:tcPr>
          <w:p>
            <w:pPr>
              <w:spacing w:after="0"/>
              <w:rPr>
                <w:sz w:val="15"/>
                <w:szCs w:val="15"/>
                <w:color w:val="auto"/>
              </w:rPr>
            </w:pPr>
          </w:p>
        </w:tc>
        <w:tc>
          <w:tcPr>
            <w:tcW w:w="680" w:type="dxa"/>
            <w:vAlign w:val="bottom"/>
            <w:gridSpan w:val="2"/>
            <w:vMerge w:val="continue"/>
            <w:shd w:val="clear" w:color="auto" w:fill="DDDDDD"/>
          </w:tcPr>
          <w:p>
            <w:pPr>
              <w:spacing w:after="0"/>
              <w:rPr>
                <w:sz w:val="15"/>
                <w:szCs w:val="15"/>
                <w:color w:val="auto"/>
              </w:rPr>
            </w:pPr>
          </w:p>
        </w:tc>
        <w:tc>
          <w:tcPr>
            <w:tcW w:w="80" w:type="dxa"/>
            <w:vAlign w:val="bottom"/>
            <w:vMerge w:val="continue"/>
            <w:shd w:val="clear" w:color="auto" w:fill="DDDDDD"/>
          </w:tcPr>
          <w:p>
            <w:pPr>
              <w:spacing w:after="0"/>
              <w:rPr>
                <w:sz w:val="15"/>
                <w:szCs w:val="15"/>
                <w:color w:val="auto"/>
              </w:rPr>
            </w:pPr>
          </w:p>
        </w:tc>
        <w:tc>
          <w:tcPr>
            <w:tcW w:w="940" w:type="dxa"/>
            <w:vAlign w:val="bottom"/>
            <w:vMerge w:val="continue"/>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7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50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72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00" w:type="dxa"/>
            <w:vAlign w:val="bottom"/>
            <w:vMerge w:val="continue"/>
            <w:shd w:val="clear" w:color="auto" w:fill="DDDDDD"/>
          </w:tcPr>
          <w:p>
            <w:pPr>
              <w:spacing w:after="0"/>
              <w:rPr>
                <w:sz w:val="15"/>
                <w:szCs w:val="15"/>
                <w:color w:val="auto"/>
              </w:rPr>
            </w:pPr>
          </w:p>
        </w:tc>
        <w:tc>
          <w:tcPr>
            <w:tcW w:w="8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160" w:type="dxa"/>
            <w:vAlign w:val="bottom"/>
            <w:vMerge w:val="continue"/>
            <w:shd w:val="clear" w:color="auto" w:fill="DDDDDD"/>
          </w:tcPr>
          <w:p>
            <w:pPr>
              <w:spacing w:after="0"/>
              <w:rPr>
                <w:sz w:val="15"/>
                <w:szCs w:val="15"/>
                <w:color w:val="auto"/>
              </w:rPr>
            </w:pPr>
          </w:p>
        </w:tc>
        <w:tc>
          <w:tcPr>
            <w:tcW w:w="840" w:type="dxa"/>
            <w:vAlign w:val="bottom"/>
            <w:vMerge w:val="continue"/>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740" w:type="dxa"/>
            <w:vAlign w:val="bottom"/>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40" w:type="dxa"/>
            <w:vAlign w:val="bottom"/>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520" w:type="dxa"/>
            <w:vAlign w:val="bottom"/>
            <w:gridSpan w:val="2"/>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8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6"/>
                <w:szCs w:val="16"/>
                <w:color w:val="auto"/>
              </w:rPr>
            </w:pPr>
          </w:p>
        </w:tc>
        <w:tc>
          <w:tcPr>
            <w:tcW w:w="104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DDDDD"/>
          </w:tcPr>
          <w:p>
            <w:pPr>
              <w:jc w:val="right"/>
              <w:ind w:right="9"/>
              <w:spacing w:after="0"/>
              <w:rPr>
                <w:sz w:val="20"/>
                <w:szCs w:val="20"/>
                <w:color w:val="auto"/>
              </w:rPr>
            </w:pPr>
            <w:r>
              <w:rPr>
                <w:rFonts w:ascii="Arial" w:cs="Arial" w:eastAsia="Arial" w:hAnsi="Arial"/>
                <w:sz w:val="14"/>
                <w:szCs w:val="14"/>
                <w:color w:val="026DCE"/>
              </w:rPr>
              <w:t>1,556.1</w:t>
            </w:r>
          </w:p>
        </w:tc>
        <w:tc>
          <w:tcPr>
            <w:tcW w:w="80" w:type="dxa"/>
            <w:vAlign w:val="bottom"/>
            <w:shd w:val="clear" w:color="auto" w:fill="DDDDDD"/>
          </w:tcPr>
          <w:p>
            <w:pPr>
              <w:spacing w:after="0"/>
              <w:rPr>
                <w:sz w:val="16"/>
                <w:szCs w:val="16"/>
                <w:color w:val="auto"/>
              </w:rPr>
            </w:pPr>
          </w:p>
        </w:tc>
        <w:tc>
          <w:tcPr>
            <w:tcW w:w="5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6"/>
                <w:szCs w:val="16"/>
                <w:color w:val="auto"/>
              </w:rPr>
            </w:pPr>
          </w:p>
        </w:tc>
        <w:tc>
          <w:tcPr>
            <w:tcW w:w="840" w:type="dxa"/>
            <w:vAlign w:val="bottom"/>
            <w:shd w:val="clear" w:color="auto" w:fill="DDDDDD"/>
          </w:tcPr>
          <w:p>
            <w:pPr>
              <w:jc w:val="right"/>
              <w:ind w:right="10"/>
              <w:spacing w:after="0"/>
              <w:rPr>
                <w:sz w:val="20"/>
                <w:szCs w:val="20"/>
                <w:color w:val="auto"/>
              </w:rPr>
            </w:pPr>
            <w:r>
              <w:rPr>
                <w:rFonts w:ascii="Arial" w:cs="Arial" w:eastAsia="Arial" w:hAnsi="Arial"/>
                <w:sz w:val="14"/>
                <w:szCs w:val="14"/>
                <w:color w:val="026DCE"/>
              </w:rPr>
              <w:t>1,556.1</w:t>
            </w:r>
          </w:p>
        </w:tc>
        <w:tc>
          <w:tcPr>
            <w:tcW w:w="8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84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026DCE"/>
              </w:rPr>
              <w:t>171.5</w:t>
            </w:r>
          </w:p>
        </w:tc>
        <w:tc>
          <w:tcPr>
            <w:tcW w:w="80" w:type="dxa"/>
            <w:vAlign w:val="bottom"/>
            <w:shd w:val="clear" w:color="auto" w:fill="DDDDDD"/>
          </w:tcPr>
          <w:p>
            <w:pPr>
              <w:spacing w:after="0"/>
              <w:rPr>
                <w:sz w:val="16"/>
                <w:szCs w:val="16"/>
                <w:color w:val="auto"/>
              </w:rPr>
            </w:pPr>
          </w:p>
        </w:tc>
        <w:tc>
          <w:tcPr>
            <w:tcW w:w="740" w:type="dxa"/>
            <w:vAlign w:val="bottom"/>
            <w:shd w:val="clear" w:color="auto" w:fill="DDDDDD"/>
          </w:tcPr>
          <w:p>
            <w:pPr>
              <w:jc w:val="right"/>
              <w:spacing w:after="0"/>
              <w:rPr>
                <w:sz w:val="20"/>
                <w:szCs w:val="20"/>
                <w:color w:val="auto"/>
              </w:rPr>
            </w:pPr>
            <w:r>
              <w:rPr>
                <w:rFonts w:ascii="Arial" w:cs="Arial" w:eastAsia="Arial" w:hAnsi="Arial"/>
                <w:sz w:val="14"/>
                <w:szCs w:val="14"/>
                <w:color w:val="026DCE"/>
              </w:rPr>
              <w:t>1,727.6</w:t>
            </w: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6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192.3</w:t>
            </w:r>
          </w:p>
        </w:tc>
        <w:tc>
          <w:tcPr>
            <w:tcW w:w="100" w:type="dxa"/>
            <w:vAlign w:val="bottom"/>
            <w:shd w:val="clear" w:color="auto" w:fill="DDDDDD"/>
          </w:tcPr>
          <w:p>
            <w:pPr>
              <w:spacing w:after="0"/>
              <w:rPr>
                <w:sz w:val="13"/>
                <w:szCs w:val="13"/>
                <w:color w:val="auto"/>
              </w:rPr>
            </w:pP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026DCE"/>
              </w:rPr>
              <w:t>192.3</w:t>
            </w: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026DCE"/>
              </w:rPr>
              <w:t>0.6</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192.9</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income (loss), net of tax</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6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94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Distribution to</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6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(100.0)</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(100.0)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6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Capital contribution from</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6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026DCE"/>
              </w:rPr>
              <w:t>5.6</w:t>
            </w:r>
          </w:p>
        </w:tc>
        <w:tc>
          <w:tcPr>
            <w:tcW w:w="80" w:type="dxa"/>
            <w:vAlign w:val="bottom"/>
            <w:shd w:val="clear" w:color="auto" w:fill="DDDDDD"/>
          </w:tcPr>
          <w:p>
            <w:pPr>
              <w:spacing w:after="0"/>
              <w:rPr>
                <w:sz w:val="13"/>
                <w:szCs w:val="13"/>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5.6</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6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Repurchase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520" w:type="dxa"/>
            <w:vAlign w:val="bottom"/>
            <w:gridSpan w:val="2"/>
            <w:vMerge w:val="restart"/>
            <w:shd w:val="clear" w:color="auto" w:fill="DDDDDD"/>
          </w:tcPr>
          <w:p>
            <w:pPr>
              <w:jc w:val="right"/>
              <w:ind w:right="8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68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(6.0)</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(1,800.0)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(1,800.0)</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(1,800.0)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2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680" w:type="dxa"/>
            <w:vAlign w:val="bottom"/>
            <w:gridSpan w:val="2"/>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480" w:type="dxa"/>
            <w:vAlign w:val="bottom"/>
            <w:shd w:val="clear" w:color="auto" w:fill="DDDDDD"/>
          </w:tcPr>
          <w:p>
            <w:pPr>
              <w:spacing w:after="0"/>
              <w:rPr>
                <w:sz w:val="11"/>
                <w:szCs w:val="11"/>
                <w:color w:val="auto"/>
              </w:rPr>
            </w:pP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480" w:type="dxa"/>
            <w:vAlign w:val="bottom"/>
            <w:shd w:val="clear" w:color="auto" w:fill="DDDDDD"/>
          </w:tcPr>
          <w:p>
            <w:pPr>
              <w:spacing w:after="0"/>
              <w:rPr>
                <w:sz w:val="11"/>
                <w:szCs w:val="11"/>
                <w:color w:val="auto"/>
              </w:rPr>
            </w:pP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94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5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8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740" w:type="dxa"/>
            <w:vAlign w:val="bottom"/>
            <w:shd w:val="clear" w:color="auto" w:fill="DDDDD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(6.0)</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(231.9)</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(1,568.1)</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6.0</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1,800.0</w:t>
            </w:r>
          </w:p>
        </w:tc>
        <w:tc>
          <w:tcPr>
            <w:tcW w:w="80" w:type="dxa"/>
            <w:vAlign w:val="bottom"/>
            <w:shd w:val="clear" w:color="auto" w:fill="DDDDDD"/>
          </w:tcPr>
          <w:p>
            <w:pPr>
              <w:spacing w:after="0"/>
              <w:rPr>
                <w:sz w:val="11"/>
                <w:szCs w:val="11"/>
                <w:color w:val="auto"/>
              </w:rPr>
            </w:pPr>
          </w:p>
        </w:tc>
        <w:tc>
          <w:tcPr>
            <w:tcW w:w="10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Program, at cost</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Issuance of common stock</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0.2</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54.4</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026DCE"/>
              </w:rPr>
              <w:t>54.4</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54.4</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stock purchase plans</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Issuance of common stock</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0.4</w:t>
            </w: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(2.4)</w:t>
            </w: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(52.6)</w:t>
            </w:r>
          </w:p>
        </w:tc>
        <w:tc>
          <w:tcPr>
            <w:tcW w:w="80" w:type="dxa"/>
            <w:vAlign w:val="bottom"/>
            <w:shd w:val="clear" w:color="auto" w:fill="DDDDDD"/>
          </w:tcPr>
          <w:p>
            <w:pPr>
              <w:spacing w:after="0"/>
              <w:rPr>
                <w:sz w:val="13"/>
                <w:szCs w:val="13"/>
                <w:color w:val="auto"/>
              </w:rPr>
            </w:pP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(55.0)</w:t>
            </w: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(55.0)</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under stock award plan</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line="153" w:lineRule="exact"/>
              <w:rPr>
                <w:sz w:val="20"/>
                <w:szCs w:val="20"/>
                <w:color w:val="auto"/>
              </w:rPr>
            </w:pPr>
            <w:r>
              <w:rPr>
                <w:rFonts w:ascii="Arial" w:cs="Arial" w:eastAsia="Arial" w:hAnsi="Arial"/>
                <w:sz w:val="14"/>
                <w:szCs w:val="14"/>
                <w:color w:val="auto"/>
              </w:rPr>
              <w:t>Compensation expense</w:t>
            </w:r>
          </w:p>
        </w:tc>
        <w:tc>
          <w:tcPr>
            <w:tcW w:w="480" w:type="dxa"/>
            <w:vAlign w:val="bottom"/>
            <w:shd w:val="clear" w:color="auto" w:fill="DDDDDD"/>
          </w:tcPr>
          <w:p>
            <w:pPr>
              <w:spacing w:after="0"/>
              <w:rPr>
                <w:sz w:val="13"/>
                <w:szCs w:val="13"/>
                <w:color w:val="auto"/>
              </w:rPr>
            </w:pPr>
          </w:p>
        </w:tc>
        <w:tc>
          <w:tcPr>
            <w:tcW w:w="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22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480" w:type="dxa"/>
            <w:vAlign w:val="bottom"/>
            <w:shd w:val="clear" w:color="auto" w:fill="DDDDDD"/>
          </w:tcPr>
          <w:p>
            <w:pPr>
              <w:spacing w:after="0"/>
              <w:rPr>
                <w:sz w:val="13"/>
                <w:szCs w:val="13"/>
                <w:color w:val="auto"/>
              </w:rPr>
            </w:pPr>
          </w:p>
        </w:tc>
        <w:tc>
          <w:tcPr>
            <w:tcW w:w="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spacing w:after="0"/>
              <w:rPr>
                <w:sz w:val="13"/>
                <w:szCs w:val="13"/>
                <w:color w:val="auto"/>
              </w:rPr>
            </w:pPr>
          </w:p>
        </w:tc>
        <w:tc>
          <w:tcPr>
            <w:tcW w:w="36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5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9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50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60" w:type="dxa"/>
            <w:vAlign w:val="bottom"/>
            <w:shd w:val="clear" w:color="auto" w:fill="DDDDDD"/>
          </w:tcPr>
          <w:p>
            <w:pPr>
              <w:spacing w:after="0"/>
              <w:rPr>
                <w:sz w:val="13"/>
                <w:szCs w:val="13"/>
                <w:color w:val="auto"/>
              </w:rPr>
            </w:pPr>
          </w:p>
        </w:tc>
        <w:tc>
          <w:tcPr>
            <w:tcW w:w="84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74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4"/>
                <w:szCs w:val="14"/>
                <w:color w:val="auto"/>
              </w:rPr>
              <w:t>related to share-based</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shd w:val="clear" w:color="auto" w:fill="DDDDDD"/>
          </w:tcPr>
          <w:p>
            <w:pPr>
              <w:spacing w:after="0"/>
              <w:rPr>
                <w:sz w:val="11"/>
                <w:szCs w:val="11"/>
                <w:color w:val="auto"/>
              </w:rPr>
            </w:pP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shd w:val="clear" w:color="auto" w:fill="DDDDDD"/>
          </w:tcPr>
          <w:p>
            <w:pPr>
              <w:spacing w:after="0"/>
              <w:rPr>
                <w:sz w:val="11"/>
                <w:szCs w:val="11"/>
                <w:color w:val="auto"/>
              </w:rPr>
            </w:pP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DDDDD"/>
          </w:tcPr>
          <w:p>
            <w:pPr>
              <w:spacing w:after="0"/>
              <w:rPr>
                <w:sz w:val="11"/>
                <w:szCs w:val="11"/>
                <w:color w:val="auto"/>
              </w:rPr>
            </w:pPr>
          </w:p>
        </w:tc>
        <w:tc>
          <w:tcPr>
            <w:tcW w:w="120" w:type="dxa"/>
            <w:vAlign w:val="bottom"/>
            <w:shd w:val="clear" w:color="auto" w:fill="DDDDDD"/>
          </w:tcPr>
          <w:p>
            <w:pPr>
              <w:spacing w:after="0"/>
              <w:rPr>
                <w:sz w:val="11"/>
                <w:szCs w:val="11"/>
                <w:color w:val="auto"/>
              </w:rPr>
            </w:pP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246.6</w:t>
            </w:r>
          </w:p>
        </w:tc>
        <w:tc>
          <w:tcPr>
            <w:tcW w:w="10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0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800" w:type="dxa"/>
            <w:vAlign w:val="bottom"/>
            <w:gridSpan w:val="2"/>
            <w:vMerge w:val="restart"/>
            <w:shd w:val="clear" w:color="auto" w:fill="DDDDDD"/>
          </w:tcPr>
          <w:p>
            <w:pPr>
              <w:jc w:val="right"/>
              <w:ind w:right="14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DDDDD"/>
          </w:tcPr>
          <w:p>
            <w:pPr>
              <w:spacing w:after="0"/>
              <w:rPr>
                <w:sz w:val="11"/>
                <w:szCs w:val="11"/>
                <w:color w:val="auto"/>
              </w:rPr>
            </w:pP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026DCE"/>
              </w:rPr>
              <w:t>246.6</w:t>
            </w:r>
          </w:p>
        </w:tc>
        <w:tc>
          <w:tcPr>
            <w:tcW w:w="80" w:type="dxa"/>
            <w:vAlign w:val="bottom"/>
            <w:shd w:val="clear" w:color="auto" w:fill="DDDDDD"/>
          </w:tcPr>
          <w:p>
            <w:pPr>
              <w:spacing w:after="0"/>
              <w:rPr>
                <w:sz w:val="11"/>
                <w:szCs w:val="11"/>
                <w:color w:val="auto"/>
              </w:rPr>
            </w:pPr>
          </w:p>
        </w:tc>
        <w:tc>
          <w:tcPr>
            <w:tcW w:w="160" w:type="dxa"/>
            <w:vAlign w:val="bottom"/>
            <w:shd w:val="clear" w:color="auto" w:fill="DDDDDD"/>
          </w:tcPr>
          <w:p>
            <w:pPr>
              <w:spacing w:after="0"/>
              <w:rPr>
                <w:sz w:val="11"/>
                <w:szCs w:val="11"/>
                <w:color w:val="auto"/>
              </w:rPr>
            </w:pPr>
          </w:p>
        </w:tc>
        <w:tc>
          <w:tcPr>
            <w:tcW w:w="92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026DCE"/>
              </w:rPr>
              <w:t>246.6</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color w:val="auto"/>
              </w:rPr>
              <w:t>payments</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40" w:type="dxa"/>
            <w:vAlign w:val="bottom"/>
            <w:gridSpan w:val="2"/>
            <w:vMerge w:val="continue"/>
            <w:shd w:val="clear" w:color="auto" w:fill="DDDDDD"/>
          </w:tcPr>
          <w:p>
            <w:pPr>
              <w:spacing w:after="0"/>
              <w:rPr>
                <w:sz w:val="14"/>
                <w:szCs w:val="14"/>
                <w:color w:val="auto"/>
              </w:rPr>
            </w:pPr>
          </w:p>
        </w:tc>
        <w:tc>
          <w:tcPr>
            <w:tcW w:w="820" w:type="dxa"/>
            <w:vAlign w:val="bottom"/>
            <w:gridSpan w:val="2"/>
            <w:vMerge w:val="continue"/>
            <w:shd w:val="clear" w:color="auto" w:fill="DDDDDD"/>
          </w:tcPr>
          <w:p>
            <w:pPr>
              <w:spacing w:after="0"/>
              <w:rPr>
                <w:sz w:val="14"/>
                <w:szCs w:val="14"/>
                <w:color w:val="auto"/>
              </w:rPr>
            </w:pPr>
          </w:p>
        </w:tc>
        <w:tc>
          <w:tcPr>
            <w:tcW w:w="580" w:type="dxa"/>
            <w:vAlign w:val="bottom"/>
            <w:gridSpan w:val="2"/>
            <w:vMerge w:val="continue"/>
            <w:shd w:val="clear" w:color="auto" w:fill="DDDDDD"/>
          </w:tcPr>
          <w:p>
            <w:pPr>
              <w:spacing w:after="0"/>
              <w:rPr>
                <w:sz w:val="14"/>
                <w:szCs w:val="14"/>
                <w:color w:val="auto"/>
              </w:rPr>
            </w:pPr>
          </w:p>
        </w:tc>
        <w:tc>
          <w:tcPr>
            <w:tcW w:w="800" w:type="dxa"/>
            <w:vAlign w:val="bottom"/>
            <w:gridSpan w:val="2"/>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920" w:type="dxa"/>
            <w:vAlign w:val="bottom"/>
            <w:gridSpan w:val="2"/>
            <w:vMerge w:val="continue"/>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180" w:type="dxa"/>
            <w:vAlign w:val="bottom"/>
            <w:tcBorders>
              <w:bottom w:val="single" w:sz="8" w:color="auto"/>
            </w:tcBorders>
            <w:shd w:val="clear" w:color="auto" w:fill="DDDDDD"/>
          </w:tcPr>
          <w:p>
            <w:pPr>
              <w:spacing w:after="0"/>
              <w:rPr>
                <w:sz w:val="16"/>
                <w:szCs w:val="16"/>
                <w:color w:val="auto"/>
              </w:rPr>
            </w:pPr>
          </w:p>
        </w:tc>
        <w:tc>
          <w:tcPr>
            <w:tcW w:w="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1.5</w:t>
            </w:r>
          </w:p>
        </w:tc>
        <w:tc>
          <w:tcPr>
            <w:tcW w:w="1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auto"/>
            </w:tcBorders>
            <w:shd w:val="clear" w:color="auto" w:fill="DDDDDD"/>
          </w:tcPr>
          <w:p>
            <w:pPr>
              <w:jc w:val="right"/>
              <w:ind w:right="9"/>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5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840" w:type="dxa"/>
            <w:vAlign w:val="bottom"/>
            <w:tcBorders>
              <w:bottom w:val="single" w:sz="8" w:color="auto"/>
            </w:tcBorders>
            <w:shd w:val="clear" w:color="auto" w:fill="DDDDDD"/>
          </w:tcPr>
          <w:p>
            <w:pPr>
              <w:jc w:val="right"/>
              <w:ind w:right="10"/>
              <w:spacing w:after="0"/>
              <w:rPr>
                <w:sz w:val="20"/>
                <w:szCs w:val="20"/>
                <w:color w:val="auto"/>
              </w:rPr>
            </w:pPr>
            <w:r>
              <w:rPr>
                <w:rFonts w:ascii="Arial" w:cs="Arial" w:eastAsia="Arial" w:hAnsi="Arial"/>
                <w:sz w:val="14"/>
                <w:szCs w:val="14"/>
                <w:color w:val="2573BA"/>
              </w:rPr>
              <w:t>1.5</w:t>
            </w:r>
          </w:p>
        </w:tc>
        <w:tc>
          <w:tcPr>
            <w:tcW w:w="80" w:type="dxa"/>
            <w:vAlign w:val="bottom"/>
            <w:tcBorders>
              <w:bottom w:val="single" w:sz="8" w:color="DDDDDD"/>
            </w:tcBorders>
            <w:shd w:val="clear" w:color="auto" w:fill="DDDDDD"/>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84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DDDDD"/>
            </w:tcBorders>
            <w:shd w:val="clear" w:color="auto" w:fill="DDDDDD"/>
          </w:tcPr>
          <w:p>
            <w:pPr>
              <w:spacing w:after="0"/>
              <w:rPr>
                <w:sz w:val="16"/>
                <w:szCs w:val="16"/>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1.5</w:t>
            </w:r>
          </w:p>
        </w:tc>
        <w:tc>
          <w:tcPr>
            <w:tcW w:w="0" w:type="dxa"/>
            <w:vAlign w:val="bottom"/>
          </w:tcPr>
          <w:p>
            <w:pPr>
              <w:spacing w:after="0"/>
              <w:rPr>
                <w:sz w:val="1"/>
                <w:szCs w:val="1"/>
                <w:color w:val="auto"/>
              </w:rPr>
            </w:pPr>
          </w:p>
        </w:tc>
      </w:tr>
      <w:tr>
        <w:trPr>
          <w:trHeight w:val="129"/>
        </w:trPr>
        <w:tc>
          <w:tcPr>
            <w:tcW w:w="182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2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22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80" w:type="dxa"/>
            <w:vAlign w:val="bottom"/>
            <w:shd w:val="clear" w:color="auto" w:fill="DDDDDD"/>
          </w:tcPr>
          <w:p>
            <w:pPr>
              <w:spacing w:after="0"/>
              <w:rPr>
                <w:sz w:val="11"/>
                <w:szCs w:val="11"/>
                <w:color w:val="auto"/>
              </w:rPr>
            </w:pPr>
          </w:p>
        </w:tc>
        <w:tc>
          <w:tcPr>
            <w:tcW w:w="4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170.8</w:t>
            </w:r>
          </w:p>
        </w:tc>
        <w:tc>
          <w:tcPr>
            <w:tcW w:w="40" w:type="dxa"/>
            <w:vAlign w:val="bottom"/>
            <w:shd w:val="clear" w:color="auto" w:fill="DDDDDD"/>
          </w:tcPr>
          <w:p>
            <w:pPr>
              <w:spacing w:after="0"/>
              <w:rPr>
                <w:sz w:val="11"/>
                <w:szCs w:val="11"/>
                <w:color w:val="auto"/>
              </w:rPr>
            </w:pPr>
          </w:p>
        </w:tc>
        <w:tc>
          <w:tcPr>
            <w:tcW w:w="80" w:type="dxa"/>
            <w:vAlign w:val="bottom"/>
            <w:shd w:val="clear" w:color="auto" w:fill="DDDDDD"/>
          </w:tcPr>
          <w:p>
            <w:pPr>
              <w:spacing w:after="0"/>
              <w:rPr>
                <w:sz w:val="11"/>
                <w:szCs w:val="11"/>
                <w:color w:val="auto"/>
              </w:rPr>
            </w:pPr>
          </w:p>
        </w:tc>
        <w:tc>
          <w:tcPr>
            <w:tcW w:w="18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200" w:type="dxa"/>
            <w:vAlign w:val="bottom"/>
            <w:gridSpan w:val="2"/>
            <w:vMerge w:val="restart"/>
            <w:shd w:val="clear" w:color="auto" w:fill="DDDDDD"/>
          </w:tcPr>
          <w:p>
            <w:pPr>
              <w:ind w:left="100"/>
              <w:spacing w:after="0"/>
              <w:rPr>
                <w:sz w:val="20"/>
                <w:szCs w:val="20"/>
                <w:color w:val="auto"/>
              </w:rPr>
            </w:pPr>
            <w:r>
              <w:rPr>
                <w:rFonts w:ascii="Arial" w:cs="Arial" w:eastAsia="Arial" w:hAnsi="Arial"/>
                <w:sz w:val="14"/>
                <w:szCs w:val="14"/>
                <w:color w:val="2573BA"/>
              </w:rPr>
              <w:t>$</w:t>
            </w: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68.2</w:t>
            </w:r>
          </w:p>
        </w:tc>
        <w:tc>
          <w:tcPr>
            <w:tcW w:w="100" w:type="dxa"/>
            <w:vAlign w:val="bottom"/>
            <w:shd w:val="clear" w:color="auto" w:fill="DDDDDD"/>
          </w:tcPr>
          <w:p>
            <w:pPr>
              <w:spacing w:after="0"/>
              <w:rPr>
                <w:sz w:val="11"/>
                <w:szCs w:val="11"/>
                <w:color w:val="auto"/>
              </w:rPr>
            </w:pP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(106.7)</w:t>
            </w:r>
          </w:p>
        </w:tc>
        <w:tc>
          <w:tcPr>
            <w:tcW w:w="10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ind w:right="9"/>
              <w:spacing w:after="0"/>
              <w:rPr>
                <w:sz w:val="20"/>
                <w:szCs w:val="20"/>
                <w:color w:val="auto"/>
              </w:rPr>
            </w:pPr>
            <w:r>
              <w:rPr>
                <w:rFonts w:ascii="Arial" w:cs="Arial" w:eastAsia="Arial" w:hAnsi="Arial"/>
                <w:sz w:val="14"/>
                <w:szCs w:val="14"/>
                <w:color w:val="2573BA"/>
                <w:w w:val="96"/>
              </w:rPr>
              <w:t>$ 13,911.7</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(23.8)</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DDDDD"/>
          </w:tcPr>
          <w:p>
            <w:pPr>
              <w:spacing w:after="0"/>
              <w:rPr>
                <w:sz w:val="11"/>
                <w:szCs w:val="11"/>
                <w:color w:val="auto"/>
              </w:rPr>
            </w:pP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2573BA"/>
              </w:rPr>
              <w:t>10,896.2</w:t>
            </w:r>
          </w:p>
        </w:tc>
        <w:tc>
          <w:tcPr>
            <w:tcW w:w="80" w:type="dxa"/>
            <w:vAlign w:val="bottom"/>
            <w:shd w:val="clear" w:color="auto" w:fill="DDDDDD"/>
          </w:tcPr>
          <w:p>
            <w:pPr>
              <w:spacing w:after="0"/>
              <w:rPr>
                <w:sz w:val="11"/>
                <w:szCs w:val="11"/>
                <w:color w:val="auto"/>
              </w:rPr>
            </w:pPr>
          </w:p>
        </w:tc>
        <w:tc>
          <w:tcPr>
            <w:tcW w:w="16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ind w:right="8"/>
              <w:spacing w:after="0"/>
              <w:rPr>
                <w:sz w:val="20"/>
                <w:szCs w:val="20"/>
                <w:color w:val="auto"/>
              </w:rPr>
            </w:pPr>
            <w:r>
              <w:rPr>
                <w:rFonts w:ascii="Arial" w:cs="Arial" w:eastAsia="Arial" w:hAnsi="Arial"/>
                <w:sz w:val="14"/>
                <w:szCs w:val="14"/>
                <w:color w:val="2573BA"/>
              </w:rPr>
              <w:t>63.5</w:t>
            </w:r>
          </w:p>
        </w:tc>
        <w:tc>
          <w:tcPr>
            <w:tcW w:w="8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99"/>
              </w:rPr>
              <w:t>$ 10,959.7</w:t>
            </w:r>
          </w:p>
        </w:tc>
        <w:tc>
          <w:tcPr>
            <w:tcW w:w="0" w:type="dxa"/>
            <w:vAlign w:val="bottom"/>
          </w:tcPr>
          <w:p>
            <w:pPr>
              <w:spacing w:after="0"/>
              <w:rPr>
                <w:sz w:val="1"/>
                <w:szCs w:val="1"/>
                <w:color w:val="auto"/>
              </w:rPr>
            </w:pPr>
          </w:p>
        </w:tc>
      </w:tr>
      <w:tr>
        <w:trPr>
          <w:trHeight w:val="168"/>
        </w:trPr>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2021</w:t>
            </w:r>
          </w:p>
        </w:tc>
        <w:tc>
          <w:tcPr>
            <w:tcW w:w="480" w:type="dxa"/>
            <w:vAlign w:val="bottom"/>
            <w:vMerge w:val="continue"/>
            <w:shd w:val="clear" w:color="auto" w:fill="DDDDDD"/>
          </w:tcPr>
          <w:p>
            <w:pPr>
              <w:spacing w:after="0"/>
              <w:rPr>
                <w:sz w:val="14"/>
                <w:szCs w:val="14"/>
                <w:color w:val="auto"/>
              </w:rPr>
            </w:pPr>
          </w:p>
        </w:tc>
        <w:tc>
          <w:tcPr>
            <w:tcW w:w="2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20" w:type="dxa"/>
            <w:vAlign w:val="bottom"/>
            <w:vMerge w:val="continue"/>
            <w:shd w:val="clear" w:color="auto" w:fill="DDDDDD"/>
          </w:tcPr>
          <w:p>
            <w:pPr>
              <w:spacing w:after="0"/>
              <w:rPr>
                <w:sz w:val="14"/>
                <w:szCs w:val="14"/>
                <w:color w:val="auto"/>
              </w:rPr>
            </w:pPr>
          </w:p>
        </w:tc>
        <w:tc>
          <w:tcPr>
            <w:tcW w:w="3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480" w:type="dxa"/>
            <w:vAlign w:val="bottom"/>
            <w:vMerge w:val="continue"/>
            <w:shd w:val="clear" w:color="auto" w:fill="DDDDDD"/>
          </w:tcPr>
          <w:p>
            <w:pPr>
              <w:spacing w:after="0"/>
              <w:rPr>
                <w:sz w:val="14"/>
                <w:szCs w:val="14"/>
                <w:color w:val="auto"/>
              </w:rPr>
            </w:pPr>
          </w:p>
        </w:tc>
        <w:tc>
          <w:tcPr>
            <w:tcW w:w="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80" w:type="dxa"/>
            <w:vAlign w:val="bottom"/>
            <w:vMerge w:val="continue"/>
            <w:shd w:val="clear" w:color="auto" w:fill="DDDDDD"/>
          </w:tcPr>
          <w:p>
            <w:pPr>
              <w:spacing w:after="0"/>
              <w:rPr>
                <w:sz w:val="14"/>
                <w:szCs w:val="14"/>
                <w:color w:val="auto"/>
              </w:rPr>
            </w:pPr>
          </w:p>
        </w:tc>
        <w:tc>
          <w:tcPr>
            <w:tcW w:w="360" w:type="dxa"/>
            <w:vAlign w:val="bottom"/>
            <w:vMerge w:val="continue"/>
            <w:shd w:val="clear" w:color="auto" w:fill="DDDDDD"/>
          </w:tcPr>
          <w:p>
            <w:pPr>
              <w:spacing w:after="0"/>
              <w:rPr>
                <w:sz w:val="14"/>
                <w:szCs w:val="14"/>
                <w:color w:val="auto"/>
              </w:rPr>
            </w:pPr>
          </w:p>
        </w:tc>
        <w:tc>
          <w:tcPr>
            <w:tcW w:w="200" w:type="dxa"/>
            <w:vAlign w:val="bottom"/>
            <w:gridSpan w:val="2"/>
            <w:vMerge w:val="continue"/>
            <w:shd w:val="clear" w:color="auto" w:fill="DDDDDD"/>
          </w:tcPr>
          <w:p>
            <w:pPr>
              <w:spacing w:after="0"/>
              <w:rPr>
                <w:sz w:val="14"/>
                <w:szCs w:val="14"/>
                <w:color w:val="auto"/>
              </w:rPr>
            </w:pPr>
          </w:p>
        </w:tc>
        <w:tc>
          <w:tcPr>
            <w:tcW w:w="58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0" w:type="dxa"/>
            <w:vAlign w:val="bottom"/>
            <w:vMerge w:val="continue"/>
            <w:shd w:val="clear" w:color="auto" w:fill="DDDDDD"/>
          </w:tcPr>
          <w:p>
            <w:pPr>
              <w:spacing w:after="0"/>
              <w:rPr>
                <w:sz w:val="14"/>
                <w:szCs w:val="14"/>
                <w:color w:val="auto"/>
              </w:rPr>
            </w:pPr>
          </w:p>
        </w:tc>
        <w:tc>
          <w:tcPr>
            <w:tcW w:w="940" w:type="dxa"/>
            <w:vAlign w:val="bottom"/>
            <w:vMerge w:val="continue"/>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50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2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0" w:type="dxa"/>
            <w:vAlign w:val="bottom"/>
            <w:vMerge w:val="continue"/>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60" w:type="dxa"/>
            <w:vAlign w:val="bottom"/>
            <w:vMerge w:val="continue"/>
            <w:shd w:val="clear" w:color="auto" w:fill="DDDDDD"/>
          </w:tcPr>
          <w:p>
            <w:pPr>
              <w:spacing w:after="0"/>
              <w:rPr>
                <w:sz w:val="14"/>
                <w:szCs w:val="14"/>
                <w:color w:val="auto"/>
              </w:rPr>
            </w:pPr>
          </w:p>
        </w:tc>
        <w:tc>
          <w:tcPr>
            <w:tcW w:w="840" w:type="dxa"/>
            <w:vAlign w:val="bottom"/>
            <w:vMerge w:val="continue"/>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740" w:type="dxa"/>
            <w:vAlign w:val="bottom"/>
            <w:vMerge w:val="continue"/>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EQUITY - (Continued) (In millions)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6"/>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(135.2)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$ 16,455.4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13,343.2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$ 13,339.1</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6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4,000.6</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4,000.6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4,060.5</w:t>
            </w: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(163.8)</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(163.8)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Distribution to</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(339.2)</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(4,878.7)</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(1,279.1)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(1,279.1)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(1,279.1)</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(1,208.1)</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1,279.1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(53.7)</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related to share-based</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204.5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204.5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70"/>
        </w:trPr>
        <w:tc>
          <w:tcPr>
            <w:tcW w:w="180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28"/>
        </w:trPr>
        <w:tc>
          <w:tcPr>
            <w:tcW w:w="18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6"/>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(299.0)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13,976.3</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10,700.3</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$ 10,686.1</w:t>
            </w: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2020</w:t>
            </w:r>
          </w:p>
        </w:tc>
        <w:tc>
          <w:tcPr>
            <w:tcW w:w="60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line="265" w:lineRule="auto"/>
        <w:rPr>
          <w:sz w:val="20"/>
          <w:szCs w:val="20"/>
          <w:color w:val="auto"/>
        </w:rPr>
      </w:pPr>
      <w:r>
        <w:rPr>
          <w:rFonts w:ascii="Arial" w:cs="Arial" w:eastAsia="Arial" w:hAnsi="Arial"/>
          <w:sz w:val="22"/>
          <w:szCs w:val="22"/>
          <w:b w:val="1"/>
          <w:bCs w:val="1"/>
          <w:color w:val="1C5A7D"/>
        </w:rPr>
        <w:t>BIOGEN INC. AND SUBSIDIARIES CONSOLIDATED STATEMENTS OF EQUITY - (Continued) (In millions)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loss</w:t>
            </w:r>
          </w:p>
        </w:tc>
        <w:tc>
          <w:tcPr>
            <w:tcW w:w="80" w:type="dxa"/>
            <w:vAlign w:val="bottom"/>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(240.4)</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$ 16,257.0</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13,039.6</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$ 13,031.6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5,888.5</w:t>
            </w:r>
          </w:p>
        </w:tc>
        <w:tc>
          <w:tcPr>
            <w:tcW w:w="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5,888.5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5,888.5</w:t>
            </w: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(3,599.4)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3,720.9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stock pursuant to the 2018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(2,036.9)</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2,147.4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72"/>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00" w:type="dxa"/>
            <w:vAlign w:val="bottom"/>
          </w:tcPr>
          <w:p>
            <w:pPr>
              <w:spacing w:after="0" w:line="152"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line="135" w:lineRule="exact"/>
              <w:rPr>
                <w:sz w:val="20"/>
                <w:szCs w:val="20"/>
                <w:color w:val="auto"/>
              </w:rPr>
            </w:pPr>
            <w:r>
              <w:rPr>
                <w:rFonts w:ascii="Arial" w:cs="Arial" w:eastAsia="Arial" w:hAnsi="Arial"/>
                <w:sz w:val="14"/>
                <w:szCs w:val="14"/>
                <w:color w:val="auto"/>
              </w:rPr>
              <w:t>related to share-based</w:t>
            </w:r>
          </w:p>
        </w:tc>
        <w:tc>
          <w:tcPr>
            <w:tcW w:w="50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191.2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191.2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198.0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(135.2)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xml:space="preserve"> 16,455.4</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13,343.2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$ 13,339.1</w:t>
            </w: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b w:val="1"/>
                <w:bCs w:val="1"/>
                <w:color w:val="auto"/>
              </w:rPr>
              <w:t>2019</w:t>
            </w:r>
          </w:p>
        </w:tc>
        <w:tc>
          <w:tcPr>
            <w:tcW w:w="60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hanging="472"/>
        <w:spacing w:after="0"/>
        <w:tabs>
          <w:tab w:leader="none" w:pos="480" w:val="left"/>
        </w:tabs>
        <w:numPr>
          <w:ilvl w:val="0"/>
          <w:numId w:val="89"/>
        </w:numPr>
        <w:rPr>
          <w:rFonts w:ascii="Arial" w:cs="Arial" w:eastAsia="Arial" w:hAnsi="Arial"/>
          <w:sz w:val="22"/>
          <w:szCs w:val="22"/>
          <w:b w:val="1"/>
          <w:bCs w:val="1"/>
          <w:color w:val="578196"/>
        </w:rPr>
      </w:pPr>
      <w:r>
        <w:rPr>
          <w:rFonts w:ascii="Arial" w:cs="Arial" w:eastAsia="Arial" w:hAnsi="Arial"/>
          <w:sz w:val="22"/>
          <w:szCs w:val="22"/>
          <w:b w:val="1"/>
          <w:bCs w:val="1"/>
          <w:color w:val="578196"/>
        </w:rPr>
        <w:t>SUMMARY OF SIGNIFICANT ACCOUNTING POLICIES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Business Overview</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We have a leading portfolio of medicines to treat multiple sclerosis (MS), have introduced the first approved treatment for spinal muscular atrophy (SMA) and are providing the first and only approved treatment to address a defining pathology of Alzheimer’s disease. We also commercialize biosimilars of advanced biologics and focus on advancing our pipeline in neuroscience and specialized immunology. Lastly, we are focused on accelerating our efforts in digital health to support our commercial and pipeline programs while also creating opportunities for potential digital therapeutics. We support our drug discovery and development efforts through the commitment of significant resources to discovery, research and development programs and business development opportunities.</w:t>
      </w:r>
    </w:p>
    <w:p>
      <w:pPr>
        <w:spacing w:after="0" w:line="9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(PPMS) and relapsing MS (RMS); and other potential anti-CD20 therapies, including mosunetuzumab,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9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We have also secured the exclusive rights to commercialize BYOOVIZ, a ranibizumab biosimilar referencing LUCENTIS, which was approved in the U.S., the E.U. and the U.K. during the third quarter of 2021. For additional information on our collaboration arrangements with Samsung Bioepis,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Consolidation</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100.0% of the economics, we record net income (loss) attributable to noncontrolling interests, net of tax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97"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Use of Estimates</w:t>
      </w:r>
    </w:p>
    <w:p>
      <w:pPr>
        <w:spacing w:after="0" w:line="139"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 and expense and related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We have made estimates of the impact of the COVID-19 pandemic within our consolidated financial statements and there may be changes to those estimates in future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Revenue Recognition</w:t>
      </w:r>
    </w:p>
    <w:p>
      <w:pPr>
        <w:spacing w:after="0" w:line="13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the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Revenue</w:t>
      </w:r>
    </w:p>
    <w:p>
      <w:pPr>
        <w:spacing w:after="0" w:line="135"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the U.S., we sell our products primarily to wholesale distributors and specialty pharmacy providers.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96"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Reserves for Discounts and Allowances</w:t>
      </w:r>
    </w:p>
    <w:p>
      <w:pPr>
        <w:spacing w:after="0" w:line="135"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w:t>
      </w:r>
    </w:p>
    <w:p>
      <w:pPr>
        <w:spacing w:after="0" w:line="94" w:lineRule="exact"/>
        <w:rPr>
          <w:sz w:val="20"/>
          <w:szCs w:val="20"/>
          <w:color w:val="auto"/>
        </w:rPr>
      </w:pPr>
    </w:p>
    <w:p>
      <w:pPr>
        <w:ind w:right="840" w:firstLine="445"/>
        <w:spacing w:after="0" w:line="261" w:lineRule="auto"/>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 discounts, contractual adjustments and returns.</w:t>
      </w:r>
    </w:p>
    <w:p>
      <w:pPr>
        <w:spacing w:after="0" w:line="90"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10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Veterans Administration (VA) and Public Health Service (PHS) discounts, specialty pharmacy program fees and other governmental rebates or applicable allowances.</w:t>
      </w:r>
    </w:p>
    <w:p>
      <w:pPr>
        <w:spacing w:after="0" w:line="94" w:lineRule="exact"/>
        <w:rPr>
          <w:sz w:val="20"/>
          <w:szCs w:val="20"/>
          <w:color w:val="auto"/>
        </w:rPr>
      </w:pPr>
    </w:p>
    <w:p>
      <w:pPr>
        <w:ind w:left="740" w:right="60" w:hanging="327"/>
        <w:spacing w:after="0" w:line="252"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accrued expense and other current liabilities in our consolidated balance sheets.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00" w:lineRule="exact"/>
        <w:rPr>
          <w:rFonts w:ascii="Arial" w:cs="Arial" w:eastAsia="Arial" w:hAnsi="Arial"/>
          <w:sz w:val="18"/>
          <w:szCs w:val="18"/>
          <w:color w:val="auto"/>
        </w:rPr>
      </w:pPr>
    </w:p>
    <w:p>
      <w:pPr>
        <w:ind w:left="740" w:right="40" w:hanging="327"/>
        <w:spacing w:after="0" w:line="251"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of product revenue and a reduction in the net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 of amounts that we expect to issue for inventory that exists at the wholesalers that we expect will be sold to qualified healthcare providers and chargebacks that wholesalers have claimed for which we have not issued a credit.</w:t>
      </w:r>
    </w:p>
    <w:p>
      <w:pPr>
        <w:spacing w:after="0" w:line="103" w:lineRule="exact"/>
        <w:rPr>
          <w:rFonts w:ascii="Arial" w:cs="Arial" w:eastAsia="Arial" w:hAnsi="Arial"/>
          <w:sz w:val="18"/>
          <w:szCs w:val="18"/>
          <w:color w:val="auto"/>
        </w:rPr>
      </w:pPr>
    </w:p>
    <w:p>
      <w:pPr>
        <w:ind w:left="740" w:hanging="327"/>
        <w:spacing w:after="0" w:line="252"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Managed care rebates represent our estimated obligations to third-parties, primarily pharmacy benefit managers. Rebate accruals are recorded in the same period the related revenue is recognized, resulting in a reduction of product revenue and the establishment of a liability which is included in accrued expense and other current liabilities in our consolidated balance sheets.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w:t>
      </w:r>
    </w:p>
    <w:p>
      <w:pPr>
        <w:spacing w:after="0" w:line="99" w:lineRule="exact"/>
        <w:rPr>
          <w:rFonts w:ascii="Arial" w:cs="Arial" w:eastAsia="Arial" w:hAnsi="Arial"/>
          <w:sz w:val="18"/>
          <w:szCs w:val="18"/>
          <w:color w:val="auto"/>
        </w:rPr>
      </w:pPr>
    </w:p>
    <w:p>
      <w:pPr>
        <w:ind w:left="740" w:right="200" w:hanging="327"/>
        <w:spacing w:after="0" w:line="256"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Copay assistance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93" w:lineRule="exact"/>
        <w:rPr>
          <w:rFonts w:ascii="Arial" w:cs="Arial" w:eastAsia="Arial" w:hAnsi="Arial"/>
          <w:sz w:val="18"/>
          <w:szCs w:val="18"/>
          <w:color w:val="auto"/>
        </w:rPr>
      </w:pPr>
    </w:p>
    <w:p>
      <w:pPr>
        <w:ind w:left="740" w:right="80" w:hanging="327"/>
        <w:spacing w:after="0" w:line="252"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Pharmacy rebates represent our estimated obligations resulting from contractual commitments to sell products to specific pharmacies. Rebate accruals are recorded in the same period the related revenue is recognized, resulting in a reduction of product revenue and the establishment of a liability which is included in accrued expense and other current liabilities in our consolidated balance sheets. These rebates result from contracted discounts on product purchased or product dispensed. The calculation of the accrual for these rebates is based on an estimate of the pharmacy’s buying or dispensing patterns and the resulting applicable contractual rebate rate(s) to be earned over the contractual period.</w:t>
      </w:r>
    </w:p>
    <w:p>
      <w:pPr>
        <w:spacing w:after="0" w:line="99" w:lineRule="exact"/>
        <w:rPr>
          <w:rFonts w:ascii="Arial" w:cs="Arial" w:eastAsia="Arial" w:hAnsi="Arial"/>
          <w:sz w:val="18"/>
          <w:szCs w:val="18"/>
          <w:color w:val="auto"/>
        </w:rPr>
      </w:pPr>
    </w:p>
    <w:p>
      <w:pPr>
        <w:ind w:left="740" w:right="380" w:hanging="327"/>
        <w:spacing w:after="0" w:line="261"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Other governmental rebates, non-U.S. pharmaceutical taxes or applicable allowances primarily relate to mandatory rebates and discounts in international markets where government-sponsored healthcare systems are the primary payors for healthcare.</w:t>
      </w:r>
    </w:p>
    <w:p>
      <w:pPr>
        <w:spacing w:after="0" w:line="90"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Product return reserves are established for returns made by wholesalers and are recorded in the period the related revenue is recognized, resulting in a reduction to product revenue.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97"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Revenue from Anti-CD20 Therapeutic Programs</w:t>
      </w:r>
    </w:p>
    <w:p>
      <w:pPr>
        <w:spacing w:after="0" w:line="117" w:lineRule="exact"/>
        <w:rPr>
          <w:sz w:val="20"/>
          <w:szCs w:val="20"/>
          <w:color w:val="auto"/>
        </w:rPr>
      </w:pPr>
    </w:p>
    <w:p>
      <w:pPr>
        <w:ind w:right="440" w:firstLine="445"/>
        <w:spacing w:after="0" w:line="266" w:lineRule="auto"/>
        <w:rPr>
          <w:sz w:val="20"/>
          <w:szCs w:val="20"/>
          <w:color w:val="auto"/>
        </w:rPr>
      </w:pPr>
      <w:r>
        <w:rPr>
          <w:rFonts w:ascii="Arial" w:cs="Arial" w:eastAsia="Arial" w:hAnsi="Arial"/>
          <w:sz w:val="18"/>
          <w:szCs w:val="18"/>
          <w:color w:val="auto"/>
        </w:rPr>
        <w:t xml:space="preserve">Our collaboration with Genentech is within the scope of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For purposes of this footnote, we refer to RITUXAN and RITUXAN HYCELA collectively as RITUXAN.</w:t>
      </w:r>
    </w:p>
    <w:p>
      <w:pPr>
        <w:spacing w:after="0" w:line="86"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Our share of the pre-tax co-promotion profits on RITUXAN and GAZYVA and royalty revenue on the sale of OCREVUS resulted from an exchange of a license. As we do not have future performance obligations under the license or collaboration agreement, revenue is recognized as the underlying sales occur.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anti-CD20 therapeutic programs consist of:</w:t>
      </w:r>
    </w:p>
    <w:p>
      <w:pPr>
        <w:spacing w:after="0" w:line="117" w:lineRule="exact"/>
        <w:rPr>
          <w:sz w:val="20"/>
          <w:szCs w:val="20"/>
          <w:color w:val="auto"/>
        </w:rPr>
      </w:pPr>
    </w:p>
    <w:p>
      <w:pPr>
        <w:ind w:left="820" w:hanging="407"/>
        <w:spacing w:after="0"/>
        <w:tabs>
          <w:tab w:leader="none" w:pos="8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share of pre-tax profits and losses in the U.S. for RITUXAN and GAZYVA; and</w:t>
      </w:r>
    </w:p>
    <w:p>
      <w:pPr>
        <w:spacing w:after="0" w:line="117" w:lineRule="exact"/>
        <w:rPr>
          <w:rFonts w:ascii="Arial" w:cs="Arial" w:eastAsia="Arial" w:hAnsi="Arial"/>
          <w:sz w:val="18"/>
          <w:szCs w:val="18"/>
          <w:color w:val="auto"/>
        </w:rPr>
      </w:pPr>
    </w:p>
    <w:p>
      <w:pPr>
        <w:ind w:left="740" w:right="600" w:hanging="327"/>
        <w:spacing w:after="0" w:line="261" w:lineRule="auto"/>
        <w:tabs>
          <w:tab w:leader="none" w:pos="8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revenue from anti-CD20 therapeutic programs, which primarily consist of our share of pre-tax co-promotion profits on RITUXAN in Canada and royalty revenue on sales of OCREVUS.</w:t>
      </w:r>
    </w:p>
    <w:p>
      <w:pPr>
        <w:spacing w:after="0" w:line="9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Pre-tax co-promotion profits on RITUXAN and GAZYVA are calculated and paid to us by Genentech and the Roche Group. Pre-tax co-promotion profits consist of net sales to third-party customers less applicable costs to manufacture, third-party royalty expense, distribution, selling and marketing expense and joint development expense incurred by Genentech and the Roche Group. Our share of the pre-tax profits on RITUXAN and GAZYVA include estimates that are based on information received from Genentech and the Roche Group. These estimates are subject to change and actual results may differ.</w:t>
      </w:r>
    </w:p>
    <w:p>
      <w:pPr>
        <w:spacing w:after="0" w:line="97"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We recognize royalty revenue on sales of OCREVUS based on our estimates from third-party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76" w:lineRule="exact"/>
        <w:rPr>
          <w:sz w:val="20"/>
          <w:szCs w:val="20"/>
          <w:color w:val="auto"/>
        </w:rPr>
      </w:pPr>
    </w:p>
    <w:p>
      <w:pPr>
        <w:ind w:right="300" w:firstLine="445"/>
        <w:spacing w:after="0" w:line="282" w:lineRule="auto"/>
        <w:rPr>
          <w:sz w:val="20"/>
          <w:szCs w:val="20"/>
          <w:color w:val="auto"/>
        </w:rPr>
      </w:pPr>
      <w:r>
        <w:rPr>
          <w:rFonts w:ascii="Arial" w:cs="Arial" w:eastAsia="Arial" w:hAnsi="Arial"/>
          <w:sz w:val="18"/>
          <w:szCs w:val="18"/>
          <w:color w:val="auto"/>
        </w:rPr>
        <w:t xml:space="preserve">For additional information on our relationship with Genentech,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Other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royalty revenue related to sales by our licensees of products covered under patents that we own.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Relationships</w:t>
      </w:r>
    </w:p>
    <w:p>
      <w:pPr>
        <w:spacing w:after="0" w:line="135" w:lineRule="exact"/>
        <w:rPr>
          <w:sz w:val="20"/>
          <w:szCs w:val="20"/>
          <w:color w:val="auto"/>
        </w:rPr>
      </w:pPr>
    </w:p>
    <w:p>
      <w:pPr>
        <w:ind w:right="280" w:firstLine="405"/>
        <w:spacing w:after="0" w:line="252" w:lineRule="auto"/>
        <w:rPr>
          <w:sz w:val="20"/>
          <w:szCs w:val="20"/>
          <w:color w:val="auto"/>
        </w:rPr>
      </w:pPr>
      <w:r>
        <w:rPr>
          <w:rFonts w:ascii="Arial" w:cs="Arial" w:eastAsia="Arial" w:hAnsi="Arial"/>
          <w:sz w:val="18"/>
          <w:szCs w:val="18"/>
          <w:color w:val="auto"/>
        </w:rPr>
        <w:t>We have a number of significant collaborative and other third-party relationships for revenue and for the development, regulatory approval, commercialization and marketing of certain of our products and product candidates. Where we are the principal on sales transactions with third-parties, we recognize revenue, cost of sales and operating expense on a gross basis in their respective lines in our consolidated statements of income. Where we are not the principal on sales transactions with third-parties, we record our share of the revenue, cost of sales and operating expense on a net basis in collaborative and other relationships included in other revenue in our consolidated statements of income.</w:t>
      </w:r>
    </w:p>
    <w:p>
      <w:pPr>
        <w:spacing w:after="0" w:line="10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development and commercialization arrangements with Genentech and Samsung Bioepis represent collaborative arrangements as each party is an active participant in one or more joint operating activities and is exposed to significant risks and rewards of these arrangements. These arrangements resulted from an exchange of a license and utilize the sales and usage based royalty exception. Therefore, revenue relating to royalties or profit-sharing amounts received is recognized as the underlying sales occur.</w:t>
      </w:r>
    </w:p>
    <w:p>
      <w:pPr>
        <w:spacing w:after="0" w:line="78"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and Samsung Bioepis, please read </w:t>
      </w:r>
      <w:r>
        <w:rPr>
          <w:rFonts w:ascii="Arial" w:cs="Arial" w:eastAsia="Arial" w:hAnsi="Arial"/>
          <w:sz w:val="18"/>
          <w:szCs w:val="18"/>
          <w:i w:val="1"/>
          <w:iCs w:val="1"/>
          <w:color w:val="auto"/>
        </w:rPr>
        <w:t>Note 18, 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Corporate Revenue</w:t>
      </w:r>
    </w:p>
    <w:p>
      <w:pPr>
        <w:spacing w:after="0" w:line="13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record other corporate revenue primarily from amounts earned under contract manufacturing agreements. Revenue under contract manufacturing agreements is recognized when the customer obtains control of the product, which may occur at a point in time or over time depending on the terms and conditions of the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Fair Value Measurements</w:t>
      </w:r>
    </w:p>
    <w:p>
      <w:pPr>
        <w:spacing w:after="0" w:line="139"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72" w:lineRule="exact"/>
        <w:rPr>
          <w:sz w:val="20"/>
          <w:szCs w:val="20"/>
          <w:color w:val="auto"/>
        </w:rPr>
      </w:pPr>
    </w:p>
    <w:p>
      <w:pPr>
        <w:ind w:left="740" w:right="140" w:hanging="327"/>
        <w:spacing w:after="0" w:line="282"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values are determined utilizing quoted prices (unadjusted) in active markets for identical assets or liabilities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the ability to access;</w:t>
      </w:r>
    </w:p>
    <w:p>
      <w:pPr>
        <w:spacing w:after="0" w:line="53" w:lineRule="exact"/>
        <w:rPr>
          <w:rFonts w:ascii="Arial" w:cs="Arial" w:eastAsia="Arial" w:hAnsi="Arial"/>
          <w:sz w:val="18"/>
          <w:szCs w:val="18"/>
          <w:color w:val="auto"/>
        </w:rPr>
      </w:pPr>
    </w:p>
    <w:p>
      <w:pPr>
        <w:ind w:left="740" w:hanging="327"/>
        <w:spacing w:after="0" w:line="313" w:lineRule="auto"/>
        <w:tabs>
          <w:tab w:leader="none" w:pos="695" w:val="left"/>
        </w:tabs>
        <w:numPr>
          <w:ilvl w:val="0"/>
          <w:numId w:val="92"/>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Fair values are determined by utilizing quoted prices for identical or similar assets and liabilities in active markets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market observable inputs such as interest rates, yield curves, foreign currency spot rates and option pricing valuation models; and</w:t>
      </w:r>
    </w:p>
    <w:p>
      <w:pPr>
        <w:spacing w:after="0" w:line="30" w:lineRule="exact"/>
        <w:rPr>
          <w:rFonts w:ascii="Arial" w:cs="Arial" w:eastAsia="Arial" w:hAnsi="Arial"/>
          <w:sz w:val="17"/>
          <w:szCs w:val="17"/>
          <w:color w:val="auto"/>
        </w:rPr>
      </w:pPr>
    </w:p>
    <w:p>
      <w:pPr>
        <w:ind w:left="700" w:hanging="287"/>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135" w:lineRule="exact"/>
        <w:rPr>
          <w:sz w:val="20"/>
          <w:szCs w:val="20"/>
          <w:color w:val="auto"/>
        </w:rPr>
      </w:pPr>
    </w:p>
    <w:p>
      <w:pPr>
        <w:ind w:right="180" w:firstLine="445"/>
        <w:spacing w:after="0" w:line="270" w:lineRule="auto"/>
        <w:rPr>
          <w:sz w:val="20"/>
          <w:szCs w:val="20"/>
          <w:color w:val="auto"/>
        </w:rPr>
      </w:pPr>
      <w:r>
        <w:rPr>
          <w:rFonts w:ascii="Arial" w:cs="Arial" w:eastAsia="Arial" w:hAnsi="Arial"/>
          <w:sz w:val="17"/>
          <w:szCs w:val="17"/>
          <w:color w:val="auto"/>
        </w:rPr>
        <w:t>The majority of our financial assets have been classified as Level 2. Our financial assets (which include our cash equivalents, marketable debt securities and certain of our marketable equity securities, derivative contracts and plan assets for deferred compensation)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8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validate the prices provided by our third-party pricing services by understanding the models used, obtaining market values from other pricing sources and analyzing pricing data in certain instances. The option pricing valuation models use assumptions within the model, including the term, stock price volatility, constant maturity risk-free interest rate and dividend yield. After completing our validation procedures, we did not adjust or override any fair value measurements provided by our pricing services as of December 31, 2021 and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Other Assets and Liabilities</w:t>
      </w:r>
    </w:p>
    <w:p>
      <w:pPr>
        <w:spacing w:after="0" w:line="135" w:lineRule="exact"/>
        <w:rPr>
          <w:sz w:val="20"/>
          <w:szCs w:val="20"/>
          <w:color w:val="auto"/>
        </w:rPr>
      </w:pPr>
    </w:p>
    <w:p>
      <w:pPr>
        <w:ind w:right="80" w:firstLine="445"/>
        <w:spacing w:after="0" w:line="291"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 and other, approximate fair value due to their short-term maturities.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Cash and Cash Equivalents</w:t>
      </w:r>
    </w:p>
    <w:p>
      <w:pPr>
        <w:spacing w:after="0" w:line="139" w:lineRule="exact"/>
        <w:rPr>
          <w:sz w:val="20"/>
          <w:szCs w:val="20"/>
          <w:color w:val="auto"/>
        </w:rPr>
      </w:pPr>
    </w:p>
    <w:p>
      <w:pPr>
        <w:jc w:val="both"/>
        <w:ind w:firstLine="445"/>
        <w:spacing w:after="0" w:line="278" w:lineRule="auto"/>
        <w:rPr>
          <w:sz w:val="20"/>
          <w:szCs w:val="20"/>
          <w:color w:val="auto"/>
        </w:rPr>
      </w:pPr>
      <w:r>
        <w:rPr>
          <w:rFonts w:ascii="Arial" w:cs="Arial" w:eastAsia="Arial" w:hAnsi="Arial"/>
          <w:sz w:val="17"/>
          <w:szCs w:val="17"/>
          <w:color w:val="auto"/>
        </w:rPr>
        <w:t>We consider only those investments that are highly liquid, readily convertible to cash and that mature within three months from date of purchase to be cash equivalents. As of December 31, 2021 and 2020, cash equivalents were comprised of money market funds, commercial paper, overnight reverse repurchase agreements and other debt securities with maturities less than 90 days from the date of purchase.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Accounts Receivable</w:t>
      </w:r>
    </w:p>
    <w:p>
      <w:pPr>
        <w:spacing w:after="0" w:line="139"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The majority of our accounts receivable arise from product sales and primarily represent amounts due from our wholesale and other third-party distributors, public hospitals, pharmacies and other government entities and have standard payment terms that generally require payment within 30 to 90 days.</w:t>
      </w:r>
    </w:p>
    <w:p>
      <w:pPr>
        <w:spacing w:after="0" w:line="94"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We do not adjust our receivables for the effects of a significant financing component at contract inception if we expect to collect the receivables in one year or less from the time of sale.</w:t>
      </w:r>
    </w:p>
    <w:p>
      <w:pPr>
        <w:spacing w:after="0" w:line="9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countries where we have experienced a pattern of payments extending beyond our contractual payment term and we expect to collect receivables greater than one year from the time of sale, we have assessed whether the customer has a significant financing component and discounted our receivables and reduced related revenue over the period of time that we estimate those amounts will be paid using the country’s market-based borrowing rate for such period. The related receivables are classified at the time of sale as non-current assets. We accrete interest</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income on these receivables, which is recorded as a component of other income (expense), net in our consolidated statements of income.</w:t>
      </w:r>
    </w:p>
    <w:p>
      <w:pPr>
        <w:spacing w:after="0" w:line="117"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We provide reserves against accounts receivable for estimated losses that may result from a customer's inability to pay. Amounts determined to be uncollectible are charged or written-off against the reserve.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Concentration of Credit Risk</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0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Concentrations of credit risk with respect to receivables, which are typically unsecured, are somewhat mitigated due to the wide variety of customers and markets using our products, as well as their dispersion across many different geographic areas.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Marketable Securities and Other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Marketable Debt Securities</w:t>
      </w:r>
    </w:p>
    <w:p>
      <w:pPr>
        <w:spacing w:after="0" w:line="135" w:lineRule="exact"/>
        <w:rPr>
          <w:sz w:val="20"/>
          <w:szCs w:val="20"/>
          <w:color w:val="auto"/>
        </w:rPr>
      </w:pPr>
    </w:p>
    <w:p>
      <w:pPr>
        <w:ind w:right="180" w:firstLine="445"/>
        <w:spacing w:after="0" w:line="253" w:lineRule="auto"/>
        <w:rPr>
          <w:sz w:val="20"/>
          <w:szCs w:val="20"/>
          <w:color w:val="auto"/>
        </w:rPr>
      </w:pPr>
      <w:r>
        <w:rPr>
          <w:rFonts w:ascii="Arial" w:cs="Arial" w:eastAsia="Arial" w:hAnsi="Arial"/>
          <w:sz w:val="18"/>
          <w:szCs w:val="18"/>
          <w:color w:val="auto"/>
        </w:rPr>
        <w:t>Available-for-sale marketable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Marketable Equity Securities and Venture Capital Funds</w:t>
      </w:r>
    </w:p>
    <w:p>
      <w:pPr>
        <w:spacing w:after="0" w:line="135"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Our marketable equity securities are recorded at fair market value and unrealized gains and losses are included in other income (expense), net in our consolidated statements of income. Our marketable equity securities represent investments in publicly traded equity securities and are included in investments and other assets in our consolidated balance sheets.</w:t>
      </w:r>
    </w:p>
    <w:p>
      <w:pPr>
        <w:spacing w:after="0" w:line="94"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investments in venture capital funds are recorded at net asset value, which approximates fair value, and unrealized gains and losses are included in other income (expense), net in our consolidated statements of income. The underlying investments of the venture capital funds in which we invest are in equity securities of certain biotechnology companies and are included in investments and other assets in our consolidated balance sheets.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Non-Marketable Equity Securities</w:t>
      </w:r>
    </w:p>
    <w:p>
      <w:pPr>
        <w:spacing w:after="0" w:line="135"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We also invest in equity securities of companies whose securities are not publicly traded and where fair value is not readily available. These investments are recorded using either the equity method of accounting or the cost minus impairment adjusted for changes in observable prices,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Evaluating Marketable Debt Securities for Other-than-Temporary Impairments</w:t>
      </w:r>
    </w:p>
    <w:p>
      <w:pPr>
        <w:spacing w:after="0" w:line="13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conduct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 (loss).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96" w:lineRule="exact"/>
        <w:rPr>
          <w:sz w:val="20"/>
          <w:szCs w:val="20"/>
          <w:color w:val="auto"/>
        </w:rPr>
      </w:pPr>
    </w:p>
    <w:p>
      <w:pPr>
        <w:jc w:val="both"/>
        <w:ind w:right="340" w:firstLine="445"/>
        <w:spacing w:after="0" w:line="256"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Equity Method of Accounting</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consolidated statements of income our share of income or loss of the other company. If our share of losses exceeds the carrying value of our investment, we will suspend recognizing additional losses and will continue to do so unless we commit to providing additional funding.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Inventory</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Inventories are stated at the lower of cost or net realizable value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Capitalization of Inventory Costs</w:t>
      </w:r>
    </w:p>
    <w:p>
      <w:pPr>
        <w:spacing w:after="0" w:line="1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Obsolescence and Unmarketable Inventory</w:t>
      </w:r>
    </w:p>
    <w:p>
      <w:pPr>
        <w:spacing w:after="0" w:line="135"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 in our consolidated statements of income.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Property, Plant and Equipment</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Property, plant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0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94"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Asset Category</w:t>
            </w:r>
          </w:p>
        </w:tc>
        <w:tc>
          <w:tcPr>
            <w:tcW w:w="440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Land</w:t>
            </w:r>
          </w:p>
        </w:tc>
        <w:tc>
          <w:tcPr>
            <w:tcW w:w="440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Not depreciated</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Buildings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15 to 40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Leasehold Improvements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Lesser of the useful life or the term of the respective lease</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Furniture and Fixtures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7 years</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Machinery and Equipment</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20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Computer Software and Hardware</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3 to 5 years</w:t>
            </w:r>
          </w:p>
        </w:tc>
      </w:tr>
    </w:tbl>
    <w:p>
      <w:pPr>
        <w:spacing w:after="0" w:line="188"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Leases</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w:t>
      </w:r>
    </w:p>
    <w:p>
      <w:pPr>
        <w:spacing w:after="0" w:line="97"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94"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 Our lease agreements may include both lease and non-lease components, which we account for as a single lease component when the payments are fixed. Variable payments included in the lease agreement are expensed as incurred. For certain equipment leases, such as vehicles, we apply a portfolio approach to effectively account for the operating lease assets and liabilities.</w:t>
      </w:r>
    </w:p>
    <w:p>
      <w:pPr>
        <w:spacing w:after="0" w:line="97"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Our operating leases are reflected in operating lease assets, accrued expense and other and in long-term operating lease liabilities in our consolidated balance sheets. Lease expense for minimum lease payments is recognized on a straight-line basis over the lease term.</w:t>
      </w:r>
    </w:p>
    <w:p>
      <w:pPr>
        <w:spacing w:after="0" w:line="66"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We also have real estate lease agreements which are subleased to third-parties. Operating leases for which we are the sublessor are included in accrued expense and other and other long-term liabilities in our consolidated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We recognize sublease income on a straight-line basis over the lease term in our consolidated statements of income.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11, Leases</w:t>
      </w:r>
      <w:r>
        <w:rPr>
          <w:rFonts w:ascii="Arial" w:cs="Arial" w:eastAsia="Arial" w:hAnsi="Arial"/>
          <w:sz w:val="18"/>
          <w:szCs w:val="18"/>
          <w:color w:val="auto"/>
        </w:rPr>
        <w:t>, to these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3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Our intangible assets consist of completed technology (comprised of acquired and in-licensed rights and patents, developed technology, out-licensed patents), in-process research and development (IPR&amp;D) acquired after January 1, 2009, trademarks and trade names. Our intangible assets are recorded at fair value at the time of their acquisition and are stated in our consolidated balance sheets net of accumulated amortization and impairments, if applicable.</w:t>
      </w:r>
    </w:p>
    <w:p>
      <w:pPr>
        <w:spacing w:after="0" w:line="9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Intangible assets related to acquired and in-licensed rights and patents, developed technology and out-licensed patents are amortized over their estimated useful lives using the economic consumption method if anticipated future revenue can be reasonably estimated. The straight-line method is used when revenue cannot be reasonably estimated. Amortization is recorded within amortization and impairment of acquired intangible assets in our consolidated statements of income.</w:t>
      </w:r>
    </w:p>
    <w:p>
      <w:pPr>
        <w:spacing w:after="0" w:line="96"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Acquired and in-licensed rights and patents primarily relate to our acquisition of all remaining rights to TYSABRI from Elan Pharma International Ltd. (Elan), an affiliate of Elan Corporation, plc. Acquired and in-licensed rights and patents also include other amounts related to our other marketed products and programs acquired through business combinations. Developed technology primarily relates to our AVONEX product, which was recorded in connection with the merger of Biogen, Inc. and IDEC Pharmaceuticals Corporation in 2003. We amortize the intangible assets related to our TYSABRI, AVONEX, SPINRAZA, VUMERITY and TECFIDERA (rest of world) products using the economic consumption method based on revenue generated from the products underlying the related intangible assets. An analysis of the anticipated lifetime revenue of our TYSABRI, AVONEX, SPINRAZA, VUMERITY and TECFIDERA (rest of world) products is performed annually during our long-range planning cycle and whenever events or changes in circumstances would significantly affect the anticipated lifetime revenue of our TYSABRI, AVONEX, SPINRAZA, VUMERITY and TECFIDERA (rest of world) products.</w:t>
      </w:r>
    </w:p>
    <w:p>
      <w:pPr>
        <w:spacing w:after="0" w:line="104" w:lineRule="exact"/>
        <w:rPr>
          <w:sz w:val="20"/>
          <w:szCs w:val="20"/>
          <w:color w:val="auto"/>
        </w:rPr>
      </w:pPr>
    </w:p>
    <w:p>
      <w:pPr>
        <w:ind w:right="480" w:firstLine="445"/>
        <w:spacing w:after="0" w:line="254" w:lineRule="auto"/>
        <w:rPr>
          <w:sz w:val="20"/>
          <w:szCs w:val="20"/>
          <w:color w:val="auto"/>
        </w:rPr>
      </w:pPr>
      <w:r>
        <w:rPr>
          <w:rFonts w:ascii="Arial" w:cs="Arial" w:eastAsia="Arial" w:hAnsi="Arial"/>
          <w:sz w:val="18"/>
          <w:szCs w:val="18"/>
          <w:color w:val="auto"/>
        </w:rPr>
        <w:t>Intangible assets related to trademarks, trade names and IPR&amp;D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Acquired In-process Research and Development (IPR&amp;D)</w:t>
      </w:r>
    </w:p>
    <w:p>
      <w:pPr>
        <w:spacing w:after="0" w:line="1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 to present value. The revenue and cost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 the development process and stage of completion, quantitative significance and our rationale for entering into the transaction.</w:t>
      </w:r>
    </w:p>
    <w:p>
      <w:pPr>
        <w:spacing w:after="0" w:line="10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If we acquire a business as defined under applicable accounting standards, then the acquired IPR&amp;D is capitalized as an intangible asset. If we acquire an asset or group of assets that do not meet the definition of a business under applicable accounting standards, then the acquired IPR&amp;D is expensed on its acquisition date. Future costs to develop these assets are recorded to research and development expense in our consolidated statements of income as they are incurred.</w:t>
      </w:r>
    </w:p>
    <w:p>
      <w:pPr>
        <w:spacing w:after="0" w:line="96"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When performing our impairment assessment, we calculate the fair value using the same methodology as described above. If the carrying value of our acquired IPR&amp;D exceeds its fair value, then the intangible asset is written down to its fair value. Changes in estimates and assumptions used in determining the fair value of our</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acquired IPR&amp;D could result in an impairment. Impairments are recorded within amortization and impairment of acquired intangible assets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Goodwill</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Goodwill is reviewed for impairment annually, as of October 31, and whenever events or changes in circumstances indicate that the carrying value of the goodwill may not be recoverable.</w:t>
      </w:r>
    </w:p>
    <w:p>
      <w:pPr>
        <w:spacing w:after="0" w:line="9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w:t>
      </w:r>
      <w:r>
        <w:rPr>
          <w:rFonts w:ascii="Arial" w:cs="Arial" w:eastAsia="Arial" w:hAnsi="Arial"/>
          <w:sz w:val="18"/>
          <w:szCs w:val="18"/>
          <w:i w:val="1"/>
          <w:iCs w:val="1"/>
          <w:color w:val="auto"/>
        </w:rPr>
        <w:t>Note 24,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these consolidated financial statements, we operate in one operating segment, which is our only reporting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Impairment of Long-Lived Assets</w:t>
      </w:r>
    </w:p>
    <w:p>
      <w:pPr>
        <w:spacing w:after="0" w:line="139"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9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Determination of recoverability is based on an estimate of undiscounted future cash flow resulting from the use of the asset and its eventual disposition. In the event that such cash flow is not expected to be sufficient to recover the carrying amount of the assets, the assets are written-down to their fair values. Long-lived assets to be disposed of are carried at fair value less costs to sell.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w:t>
      </w:r>
    </w:p>
    <w:p>
      <w:pPr>
        <w:spacing w:after="0" w:line="139" w:lineRule="exact"/>
        <w:rPr>
          <w:sz w:val="20"/>
          <w:szCs w:val="20"/>
          <w:color w:val="auto"/>
        </w:rPr>
      </w:pPr>
    </w:p>
    <w:p>
      <w:pPr>
        <w:ind w:right="180" w:firstLine="445"/>
        <w:spacing w:after="0" w:line="251"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or events.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103"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Instruments and Hedging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Cash Flow and Fair Value Derivative Instruments</w:t>
      </w:r>
    </w:p>
    <w:p>
      <w:pPr>
        <w:spacing w:after="0" w:line="135"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We recognize all derivative instruments as either assets or liabilities at fair value in our consolidated balance sheets. Changes in the fair value of our derivative instruments are recognized each period in current earnings or accumulated other comprehensive income (loss), depending on whether the derivative instrument is designated as part of a hedge transaction and, if so, the type of hedge transaction. We classify the cash flow from these instruments in the same category as the cash flow from the hedged items. We do not hold or issue derivative instruments for trading or speculative purposes.</w:t>
      </w:r>
    </w:p>
    <w:p>
      <w:pPr>
        <w:spacing w:after="0" w:line="97"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We assess at inception and on an ongoing basis, whether the derivative instruments that are used in hedging transactions are highly effective in offsetting the changes in cash flow or fair values of the hedged items. We exclude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forward points portion of the derivative instruments used in a hedging transaction from the effectiveness test and record the fair value gain or loss related to this portion each period in our consolidated statements of income in the same line as the underlying hedged item.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Net Investment Derivative Instruments</w:t>
      </w:r>
    </w:p>
    <w:p>
      <w:pPr>
        <w:spacing w:after="0" w:line="135"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We are exposed to the impact of foreign exchange fluctuations on our investment in the equity of Samsung Bioepis, which is denominated in a currency other than the U.S. dollar, and could adversely impact the U.S. dollar value of this investment. Using derivative instruments, we have hedged our net investment position to mitigate the effects of foreign exchange fluctuations. We recognize these designated net investment hedges as either assets or liabilities, at fair value, in our consolidated balance sheets. We hedge the changes in the spot exchange rate in accumulated other comprehensive income (loss) and exclude changes to the forward rate and amortize the forward points in other income (expense), net in our consolidated statements of income over the term of the contract. We classify the cash flow from these instruments in the same category as the cash flow from the hedged items.</w:t>
      </w:r>
    </w:p>
    <w:p>
      <w:pPr>
        <w:spacing w:after="0" w:line="81" w:lineRule="exact"/>
        <w:rPr>
          <w:sz w:val="20"/>
          <w:szCs w:val="20"/>
          <w:color w:val="auto"/>
        </w:rPr>
      </w:pPr>
    </w:p>
    <w:p>
      <w:pPr>
        <w:ind w:right="340" w:firstLine="445"/>
        <w:spacing w:after="0" w:line="282" w:lineRule="auto"/>
        <w:rPr>
          <w:sz w:val="20"/>
          <w:szCs w:val="20"/>
          <w:color w:val="auto"/>
        </w:rPr>
      </w:pPr>
      <w:r>
        <w:rPr>
          <w:rFonts w:ascii="Arial" w:cs="Arial" w:eastAsia="Arial" w:hAnsi="Arial"/>
          <w:sz w:val="18"/>
          <w:szCs w:val="18"/>
          <w:color w:val="auto"/>
        </w:rPr>
        <w:t xml:space="preserve">For additional information on our derivative instruments and hedging activities, please read </w:t>
      </w:r>
      <w:r>
        <w:rPr>
          <w:rFonts w:ascii="Arial" w:cs="Arial" w:eastAsia="Arial" w:hAnsi="Arial"/>
          <w:sz w:val="18"/>
          <w:szCs w:val="18"/>
          <w:i w:val="1"/>
          <w:iCs w:val="1"/>
          <w:color w:val="auto"/>
        </w:rPr>
        <w:t>Note 9, Derivative Instruments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Translation of Foreign Currencies</w:t>
      </w:r>
    </w:p>
    <w:p>
      <w:pPr>
        <w:spacing w:after="0" w:line="139"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accumulated other comprehensive income (loss), as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Royalty Cost of Sales</w:t>
      </w:r>
    </w:p>
    <w:p>
      <w:pPr>
        <w:spacing w:after="0" w:line="139"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make royalty payments to a number of third-parties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Accounting for Share-Based Compensation</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share-based compensation programs grant awards that have included stock options, restricted stock units that vest based on stock performance known as market stock units (MSUs), performance-vested restricted stock units that settle in cash (CSPUs), time-vested restricted stock units (RSUs), performance-vested restricted stock units that can be settled in cash or shares of our common stock (PUs) at the sole discretion of the Compensation and Management Development Committee of our Board of Directors, performance-vested stock units that settle in stock or cash (PSUs) and shares issued under our employee stock purchase plan (ESPP). Compensation expense is recognized based on the estimated fair value of the awards at grant date. We recognize compensation expense for the number of awards expected to vest after taking into consideration an estimate of award forfeitures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103"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The fair values of our MSUs are estimated using a lattice model with a Monte Carlo simulation. We apply an accelerated attribution method to recognize share-based compensation expense over the applicable service period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our MSUs. The probability of actual shares expected to be earned is considered in the grant date valuation, therefore the expense is not adjusted to reflect the actual units earned.</w:t>
      </w:r>
    </w:p>
    <w:p>
      <w:pPr>
        <w:spacing w:after="0" w:line="90"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straight-line over the applicable service period.</w:t>
      </w:r>
    </w:p>
    <w:p>
      <w:pPr>
        <w:spacing w:after="0" w:line="9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apply an accelerated attribution method to recognize share-based compensation expense when accounting for our CSPUs, PUs and PSUs that settle in cash, and the fair value of the liability is remeasured at the end of each reporting period through expected settlement. Compensation expense associated with CSPUs, PUs and PSUs that settle in cash are based upon the stock price and the number of units expected to be earned after assessing the probability that certain performance criteria will be met and the targeted payout level associated with the performance criteria expected to be achieved. Cumulative adjustments are recorded each quarter to reflect changes in the stock price and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9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The fair values of PSUs that settle in stock are based upon the stock price on the date of grant. Compensation expense is recognized for the number of units expected to be earned after assessing the probability that certain performance criteria will be met and the targeted payout level associated with the performance criteria expected to be achieved. Cumulative adjustments are recorded each quarter to reflect the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Research and Development Expense</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which include compensation and benefits, facilities and overhead expense, clinical trial expense and fees paid to contract research organizations (CROs), clinical supply and manufacturing expense, write-offs of inventory that was previously capitalized in anticipation of product launch and determined to no longer be realizable and other outside expense and upfront fees and milestones paid to third-party collaborators. Research and development expense is expensed as incurred. Upfront and milestone payments made to third-party collaborators are expensed as incurred up to the point of regulatory approval. Milestone payments made upon regulatory approval are capitalized and amortized over the remaining useful life of the related product.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103" w:lineRule="exact"/>
        <w:rPr>
          <w:sz w:val="20"/>
          <w:szCs w:val="20"/>
          <w:color w:val="auto"/>
        </w:rPr>
      </w:pPr>
    </w:p>
    <w:p>
      <w:pPr>
        <w:ind w:right="300" w:firstLine="445"/>
        <w:spacing w:after="0" w:line="252"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these consolidated financial statements. Because an initial indication has been approved for both RITUXAN and GAZYVA, expense incurred by Genentech in the ongoing development of RITUXAN and GAZYVA are not recorded as research and development expense, but rather reduce our share of profits recorded as a component of revenue from anti-CD20 therapeutic programs.</w:t>
      </w:r>
    </w:p>
    <w:p>
      <w:pPr>
        <w:spacing w:after="0" w:line="100" w:lineRule="exact"/>
        <w:rPr>
          <w:sz w:val="20"/>
          <w:szCs w:val="20"/>
          <w:color w:val="auto"/>
        </w:rPr>
      </w:pPr>
    </w:p>
    <w:p>
      <w:pPr>
        <w:jc w:val="both"/>
        <w:ind w:right="200" w:firstLine="445"/>
        <w:spacing w:after="0" w:line="256" w:lineRule="auto"/>
        <w:rPr>
          <w:sz w:val="20"/>
          <w:szCs w:val="20"/>
          <w:color w:val="auto"/>
        </w:rPr>
      </w:pPr>
      <w:r>
        <w:rPr>
          <w:rFonts w:ascii="Arial" w:cs="Arial" w:eastAsia="Arial" w:hAnsi="Arial"/>
          <w:sz w:val="18"/>
          <w:szCs w:val="18"/>
          <w:color w:val="auto"/>
        </w:rPr>
        <w:t>For collaborations with commercialized products, if we are the principal, we record revenue and the corresponding operating costs in their respective line items in our consolidated statements of income. If we are not the principal, we record operating costs as a reduction of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Selling, General and Administrative Expense</w:t>
      </w:r>
    </w:p>
    <w:p>
      <w:pPr>
        <w:spacing w:after="0" w:line="126"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Selling, general and administrative expense is primarily comprised of compensation and benefits associated with sales and marketing, finance, human resources, legal, information technology and other administrative personnel, outside marketing, advertising and legal expense and other general and administrative costs.</w:t>
      </w:r>
    </w:p>
    <w:p>
      <w:pPr>
        <w:spacing w:after="0" w:line="148"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Advertising costs are expensed as incurred. For the years ended December 31, 2021, 2020 and 2019, advertising costs totaled $98.7 million, $111.8 million and $79.2 million, respectively.</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Income Taxes</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asset and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 We recognize deferred taxes associated with our global intangible low-taxed income (GILTI) tax calculations.</w:t>
      </w:r>
    </w:p>
    <w:p>
      <w:pPr>
        <w:spacing w:after="0" w:line="85" w:lineRule="exact"/>
        <w:rPr>
          <w:sz w:val="20"/>
          <w:szCs w:val="20"/>
          <w:color w:val="auto"/>
        </w:rPr>
      </w:pPr>
    </w:p>
    <w:p>
      <w:pPr>
        <w:ind w:right="120" w:firstLine="445"/>
        <w:spacing w:after="0" w:line="227" w:lineRule="auto"/>
        <w:rPr>
          <w:sz w:val="20"/>
          <w:szCs w:val="20"/>
          <w:color w:val="auto"/>
        </w:rPr>
      </w:pPr>
      <w:r>
        <w:rPr>
          <w:rFonts w:ascii="Arial" w:cs="Arial" w:eastAsia="Arial" w:hAnsi="Arial"/>
          <w:sz w:val="18"/>
          <w:szCs w:val="18"/>
          <w:color w:val="auto"/>
        </w:rPr>
        <w:t>The income tax consequences from the intra-entity transfers of inventory within our consolidated group, both current and deferred, are recorded as a prepaid tax or deferred charge and recognized through our consolidated statements of income when the inventory is sold to a third-party. The income tax consequences from the intra-entity transfer of assets other than inventory and associated changes to deferred taxes are recognized when the transfer occurs.</w:t>
      </w:r>
    </w:p>
    <w:p>
      <w:pPr>
        <w:spacing w:after="0" w:line="94"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(benefit) expense in our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Contingencies</w:t>
      </w:r>
    </w:p>
    <w:p>
      <w:pPr>
        <w:spacing w:after="0" w:line="139"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Legal costs associated with legal proceedings are expensed when incurred.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Earnings per Share</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Basic earnings per share is computed by dividing undistributed net income attributable to Biogen Inc.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New Accounting Pronouncements</w:t>
      </w:r>
    </w:p>
    <w:p>
      <w:pPr>
        <w:spacing w:after="0" w:line="139"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Income Taxes</w:t>
      </w:r>
    </w:p>
    <w:p>
      <w:pPr>
        <w:spacing w:after="0" w:line="11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 xml:space="preserve">In December 2019 the FASB issued Accounting Standards Update No. 2019-12,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w:t>
      </w:r>
      <w:r>
        <w:rPr>
          <w:rFonts w:ascii="Arial" w:cs="Arial" w:eastAsia="Arial" w:hAnsi="Arial"/>
          <w:sz w:val="18"/>
          <w:szCs w:val="18"/>
          <w:i w:val="1"/>
          <w:iCs w:val="1"/>
          <w:color w:val="auto"/>
        </w:rPr>
        <w:t>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w:t>
      </w:r>
      <w:r>
        <w:rPr>
          <w:rFonts w:ascii="Arial" w:cs="Arial" w:eastAsia="Arial" w:hAnsi="Arial"/>
          <w:sz w:val="18"/>
          <w:szCs w:val="18"/>
          <w:color w:val="auto"/>
        </w:rPr>
        <w:t>. This standard removes certain exceptions to the general principles in Topic 740 and simplifies certain other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This standard became effective for us on January 1, 2021, and did not have a material impact on our consolidated financial statements and related disclosures.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22"/>
          <w:szCs w:val="22"/>
          <w:b w:val="1"/>
          <w:bCs w:val="1"/>
          <w:color w:val="578196"/>
        </w:rPr>
      </w:pPr>
      <w:r>
        <w:rPr>
          <w:rFonts w:ascii="Arial" w:cs="Arial" w:eastAsia="Arial" w:hAnsi="Arial"/>
          <w:sz w:val="22"/>
          <w:szCs w:val="22"/>
          <w:b w:val="1"/>
          <w:bCs w:val="1"/>
          <w:color w:val="578196"/>
        </w:rPr>
        <w:t>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BIIB118 Acquisition</w:t>
      </w:r>
    </w:p>
    <w:p>
      <w:pPr>
        <w:spacing w:after="0" w:line="126"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We are developing BIIB118 for the potential treatment of irregular sleep wake rhythm disorder in Parkinson’s disease and plan to develop BIIB118 for the potential treatment of sundowning in Alzheimer's disease.</w:t>
      </w:r>
    </w:p>
    <w:p>
      <w:pPr>
        <w:spacing w:after="0" w:line="69" w:lineRule="exact"/>
        <w:rPr>
          <w:sz w:val="20"/>
          <w:szCs w:val="20"/>
          <w:color w:val="auto"/>
        </w:rPr>
      </w:pPr>
    </w:p>
    <w:p>
      <w:pPr>
        <w:ind w:right="360" w:firstLine="445"/>
        <w:spacing w:after="0" w:line="254" w:lineRule="auto"/>
        <w:rPr>
          <w:sz w:val="20"/>
          <w:szCs w:val="20"/>
          <w:color w:val="auto"/>
        </w:rPr>
      </w:pPr>
      <w:r>
        <w:rPr>
          <w:rFonts w:ascii="Arial" w:cs="Arial" w:eastAsia="Arial" w:hAnsi="Arial"/>
          <w:sz w:val="18"/>
          <w:szCs w:val="18"/>
          <w:color w:val="auto"/>
        </w:rPr>
        <w:t>In connection with this acquisition, we made an upfront payment of $75.0 million to Pfizer, which was accounted for as an asset acquisition and recorded as acquired IPR&amp;D in our consolidated statements of income as BIIB118 has not yet reached technological feasibility. We may also pay Pfizer up to $635.0 million in potential additional development and commercialization milestone payments as well as tiered royalties in the high single digits to sub-teens.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Acquisition of Nightstar Therapeutics plc</w:t>
      </w:r>
    </w:p>
    <w:p>
      <w:pPr>
        <w:spacing w:after="0" w:line="126"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In June 2019 we completed our acquisition of all of the outstanding shares of Nightstar Therapeutics plc (NST), a clinical-stage gene therapy company focused on adeno-associated virus treatments for inherited retinal disorders. As a result of this acquisition, we added two mid- to late-stage clinical assets, as well as preclinical programs, in ophthalmology. These assets included BIIB111 (timrepigene emparvovec), for the potential treatment of choroideremia, and BIIB112 (cotoretigene toliparvovec), for the potential treatment of X-linked retinitis pigmentosa.</w:t>
      </w:r>
    </w:p>
    <w:p>
      <w:pPr>
        <w:spacing w:after="0" w:line="15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Under the terms of the acquisition, we paid NST shareholders $25.50 in cash for each issued and outstanding NST share, which totaled $ 847.6 million. In addition, we paid $4.6 million in cash for equity compensation, which was attributable to pre-combination services and was reflected as a component of the total purchase price paid. The fair value of equity compensation attributable to the post-combination service period was $26.2 million, of which $18.4 million was recognized as a charge to selling, general and administrative expense with the remaining $7.8 million as a charge to research and development expense in our consolidated statements of income. These amounts were associated with the accelerated vesting of stock options previously granted to NST employees and were fully paid in cash as of June 30, 2019. We funded this acquisition through available cash and accounted for it as an acquisition of a business. We finalized purchase accounting for this acquisition in the fourth quarter of 2019.</w:t>
      </w:r>
    </w:p>
    <w:p>
      <w:pPr>
        <w:spacing w:after="0" w:line="15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fair value of the IPR&amp;D programs acquired was determined through a probability adjusted discounted cash flow analysis utilizing a discount rate of 12.5%. We recorded IPR&amp;D assets for BIIB111 and BIIB112 at their initial fair values of $480.0 million and $ 220.0 million, respectively. Some of the more significant assumptions utilized in our asset valuations included the estimated net cash flows for each year for each asset or product, including net revenue, cost of sales, research and development and other operating expense, the potential regulatory and commercial success risks, competitive trends impacting the asset and each cash flow stream as well as other factors. These fair value measurements were based on significant inputs not observable in the market and thus represent Level 3 fair value measurements.</w:t>
      </w:r>
    </w:p>
    <w:p>
      <w:pPr>
        <w:spacing w:after="0" w:line="154" w:lineRule="exact"/>
        <w:rPr>
          <w:sz w:val="20"/>
          <w:szCs w:val="20"/>
          <w:color w:val="auto"/>
        </w:rPr>
      </w:pPr>
    </w:p>
    <w:p>
      <w:pPr>
        <w:jc w:val="both"/>
        <w:ind w:right="220" w:firstLine="445"/>
        <w:spacing w:after="0" w:line="254" w:lineRule="auto"/>
        <w:rPr>
          <w:sz w:val="20"/>
          <w:szCs w:val="20"/>
          <w:color w:val="auto"/>
        </w:rPr>
      </w:pPr>
      <w:r>
        <w:rPr>
          <w:rFonts w:ascii="Arial" w:cs="Arial" w:eastAsia="Arial" w:hAnsi="Arial"/>
          <w:sz w:val="18"/>
          <w:szCs w:val="18"/>
          <w:color w:val="auto"/>
        </w:rPr>
        <w:t>We recognized goodwill in relation to the fair value associated with NST workforce's expertise and early research in retinal disorders. We also recognized goodwill in relation to the establishment of a deferred tax liability for the acquired IPR&amp;D intangible assets, which have no tax basis. This deferred tax liability is net of the related impacts on the deferred taxes for GILTI. Goodwill that is tax deductible for GILTI purposes was approximately $60.9 million.</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There is no remaining book value associated with either BIIB111 or BIIB112 as of December 31, 2021, as we have fully impaired both of these IPR&amp;D assets. For additional information,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xml:space="preserve"> to these consolidated financial statements.</w:t>
      </w:r>
    </w:p>
    <w:p>
      <w:pPr>
        <w:spacing w:after="0" w:line="224" w:lineRule="exact"/>
        <w:rPr>
          <w:sz w:val="20"/>
          <w:szCs w:val="20"/>
          <w:color w:val="auto"/>
        </w:rPr>
      </w:pPr>
    </w:p>
    <w:p>
      <w:pPr>
        <w:ind w:left="420" w:hanging="412"/>
        <w:spacing w:after="0"/>
        <w:tabs>
          <w:tab w:leader="none" w:pos="420" w:val="left"/>
        </w:tabs>
        <w:numPr>
          <w:ilvl w:val="0"/>
          <w:numId w:val="94"/>
        </w:numPr>
        <w:rPr>
          <w:rFonts w:ascii="Arial" w:cs="Arial" w:eastAsia="Arial" w:hAnsi="Arial"/>
          <w:sz w:val="22"/>
          <w:szCs w:val="22"/>
          <w:b w:val="1"/>
          <w:bCs w:val="1"/>
          <w:color w:val="578196"/>
        </w:rPr>
      </w:pPr>
      <w:r>
        <w:rPr>
          <w:rFonts w:ascii="Arial" w:cs="Arial" w:eastAsia="Arial" w:hAnsi="Arial"/>
          <w:sz w:val="22"/>
          <w:szCs w:val="22"/>
          <w:b w:val="1"/>
          <w:bCs w:val="1"/>
          <w:color w:val="578196"/>
        </w:rPr>
        <w:t>DIVESTITURES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Divestiture of Hillerød, Denmark Manufacturing Operations</w:t>
      </w:r>
    </w:p>
    <w:p>
      <w:pPr>
        <w:spacing w:after="0" w:line="11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August 2019 we completed the sale of all of the outstanding shares of our subsidiary that owned our biologics manufacturing operations in Hillerød, Denmark to FUJIFILM Corporation (FUJIFILM). Upon the closing of this transaction, we received approximately $881.9 million in cash, which may be adjusted based on other contractual terms, which are discussed below. We determined that the operations disposed of in this transaction did not meet the criteria to be classified as discontinued operations under the applicable guidance.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As part of this transaction,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may further adjust this estimate based upon changes in business conditions, which may result in the increase or reduction of this adverse commitment obligation in subsequent periods. We also may be obligated to indemnify FUJIFILM for liabilities that existed relating to certain business activities incurred prior to the closing of this transaction.</w:t>
      </w:r>
    </w:p>
    <w:p>
      <w:pPr>
        <w:spacing w:after="0" w:line="13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addition, we may earn certain contingent payments based on future manufacturing activities at the Hillerød facility. For the disposition of a business, our policy is to recognize contingent consideration when the consideration is realizable. We currently believe the probability of earning these payments is remote and therefore we did not include these contingent payments in our calculation of the fair value of the operations.</w:t>
      </w:r>
    </w:p>
    <w:p>
      <w:pPr>
        <w:spacing w:after="0" w:line="150"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As part of this transaction, we entered into certain manufacturing services agreements with FUJIFILM pursuant to which FUJIFILM will use the Hillerød facility to produce commercial products for us, such as TYSABRI, as well as other third-party products.</w:t>
      </w:r>
    </w:p>
    <w:p>
      <w:pPr>
        <w:spacing w:after="0" w:line="14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For the year ended December 31, 2019, we recognized a total net loss of approximately $124.2 million related to the transaction in our consolidated statements of income. This loss included a pre-tax loss of $55.3 million, which was recorded in loss on divestiture of Hillerød, Denmark manufacturing operations. The loss recognized was based on exchange rates and business conditions on the closing date of this transaction, and included costs to sell our Hillerød, Denmark manufacturing operations of approximately $ 11.2 million and our estimate of the fair value of adverse commitments of approximately $74.0 million, primarily associated with the guarantee of future minimum batch production at the Hillerød facility. We also recorded a tax expense of $68.9 million related to this transaction.</w:t>
      </w:r>
    </w:p>
    <w:p>
      <w:pPr>
        <w:spacing w:after="0" w:line="154"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During the year ended December 31, 2020, we reduced our estimate of the fair value of the adverse commitment associated with the guarantee of future batch production by approximately $62.0 million based on our current manufacturing forecasts. Additionally, we recorded a reduction to our pre-tax loss of approximately $30.5 million due to a refund of interest paid associated with a tax matter.</w:t>
      </w:r>
    </w:p>
    <w:p>
      <w:pPr>
        <w:spacing w:after="0" w:line="148"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Our estimate of the fair value of the adverse commitments is a Level 3 measurement and is based on forecasted batch production at the Hillerød facility.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22"/>
          <w:szCs w:val="22"/>
          <w:b w:val="1"/>
          <w:bCs w:val="1"/>
          <w:color w:val="578196"/>
        </w:rPr>
      </w:pPr>
      <w:r>
        <w:rPr>
          <w:rFonts w:ascii="Arial" w:cs="Arial" w:eastAsia="Arial" w:hAnsi="Arial"/>
          <w:sz w:val="22"/>
          <w:szCs w:val="22"/>
          <w:b w:val="1"/>
          <w:bCs w:val="1"/>
          <w:color w:val="578196"/>
        </w:rPr>
        <w:t>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472B9"/>
        </w:rPr>
        <w:t>Product Revenue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product are summarized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680" w:type="dxa"/>
            <w:vAlign w:val="bottom"/>
            <w:tcBorders>
              <w:bottom w:val="single" w:sz="8" w:color="auto"/>
            </w:tcBorders>
            <w:shd w:val="clear" w:color="auto" w:fill="DDDDDD"/>
          </w:tcPr>
          <w:p>
            <w:pPr>
              <w:spacing w:after="0"/>
              <w:rPr>
                <w:sz w:val="15"/>
                <w:szCs w:val="15"/>
                <w:color w:val="auto"/>
              </w:rPr>
            </w:pP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70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3BA"/>
              </w:rPr>
              <w:t>2021</w:t>
            </w:r>
          </w:p>
        </w:tc>
        <w:tc>
          <w:tcPr>
            <w:tcW w:w="20" w:type="dxa"/>
            <w:vAlign w:val="bottom"/>
            <w:tcBorders>
              <w:bottom w:val="single" w:sz="8" w:color="auto"/>
            </w:tcBorders>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200" w:type="dxa"/>
            <w:vAlign w:val="bottom"/>
            <w:tcBorders>
              <w:bottom w:val="single" w:sz="8" w:color="auto"/>
            </w:tcBorders>
            <w:shd w:val="clear" w:color="auto" w:fill="DDDDDD"/>
          </w:tcPr>
          <w:p>
            <w:pPr>
              <w:spacing w:after="0"/>
              <w:rPr>
                <w:sz w:val="15"/>
                <w:szCs w:val="15"/>
                <w:color w:val="auto"/>
              </w:rPr>
            </w:pPr>
          </w:p>
        </w:tc>
        <w:tc>
          <w:tcPr>
            <w:tcW w:w="72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Rest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World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DDDDD"/>
          </w:tcPr>
          <w:p>
            <w:pPr>
              <w:spacing w:after="0"/>
              <w:rPr>
                <w:sz w:val="15"/>
                <w:szCs w:val="15"/>
                <w:color w:val="auto"/>
              </w:rPr>
            </w:pPr>
          </w:p>
        </w:tc>
        <w:tc>
          <w:tcPr>
            <w:tcW w:w="68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7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7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Fumarate</w:t>
            </w:r>
            <w:r>
              <w:rPr>
                <w:rFonts w:ascii="Arial" w:cs="Arial" w:eastAsia="Arial" w:hAnsi="Arial"/>
                <w:sz w:val="18"/>
                <w:szCs w:val="18"/>
                <w:color w:val="auto"/>
                <w:vertAlign w:val="superscript"/>
              </w:rPr>
              <w:t>(1)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76"/>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1,089.5</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1,272.8</w:t>
            </w:r>
          </w:p>
        </w:tc>
        <w:tc>
          <w:tcPr>
            <w:tcW w:w="34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2,362.3</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2,742.0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1,163.4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3,905.4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3,312.0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1,126.2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4,438.2</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Interferon</w:t>
            </w:r>
            <w:r>
              <w:rPr>
                <w:rFonts w:ascii="Arial" w:cs="Arial" w:eastAsia="Arial" w:hAnsi="Arial"/>
                <w:sz w:val="18"/>
                <w:szCs w:val="18"/>
                <w:color w:val="auto"/>
                <w:vertAlign w:val="superscript"/>
              </w:rPr>
              <w:t>(2)</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983.1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583.0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1,566.1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1,877.5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1,426.6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2,101.8</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1,142.2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920.9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2,063.1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1,946.1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1,892.2</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105.2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83"/>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Subtotal: MS</w:t>
            </w:r>
          </w:p>
        </w:tc>
        <w:tc>
          <w:tcPr>
            <w:tcW w:w="140" w:type="dxa"/>
            <w:vAlign w:val="bottom"/>
            <w:tcBorders>
              <w:top w:val="single" w:sz="8" w:color="auto"/>
            </w:tcBorders>
            <w:shd w:val="clear" w:color="auto" w:fill="DBDBDB"/>
          </w:tcPr>
          <w:p>
            <w:pPr>
              <w:spacing w:after="0"/>
              <w:rPr>
                <w:sz w:val="15"/>
                <w:szCs w:val="15"/>
                <w:color w:val="auto"/>
              </w:rPr>
            </w:pPr>
          </w:p>
        </w:tc>
        <w:tc>
          <w:tcPr>
            <w:tcW w:w="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3,214.8</w:t>
            </w:r>
          </w:p>
        </w:tc>
        <w:tc>
          <w:tcPr>
            <w:tcW w:w="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2,881.9</w:t>
            </w:r>
          </w:p>
        </w:tc>
        <w:tc>
          <w:tcPr>
            <w:tcW w:w="2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72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6,096.7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5,112.3</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2,719.8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7,832.1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5,780.4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2,748.9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8,529.3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587.9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1,317.2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1,905.1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2,052.1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2,097.0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Alzheimer's disease:</w:t>
            </w: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ADUHELM</w:t>
            </w:r>
            <w:r>
              <w:rPr>
                <w:rFonts w:ascii="Arial" w:cs="Arial" w:eastAsia="Arial" w:hAnsi="Arial"/>
                <w:sz w:val="18"/>
                <w:szCs w:val="18"/>
                <w:color w:val="auto"/>
                <w:vertAlign w:val="superscript"/>
              </w:rPr>
              <w:t>(3)</w:t>
            </w: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w:t>
            </w: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498.3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498.3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486.2</w:t>
            </w:r>
          </w:p>
        </w:tc>
        <w:tc>
          <w:tcPr>
            <w:tcW w:w="0" w:type="dxa"/>
            <w:vAlign w:val="bottom"/>
          </w:tcPr>
          <w:p>
            <w:pPr>
              <w:spacing w:after="0"/>
              <w:rPr>
                <w:sz w:val="1"/>
                <w:szCs w:val="1"/>
                <w:color w:val="auto"/>
              </w:rPr>
            </w:pPr>
          </w:p>
        </w:tc>
      </w:tr>
      <w:tr>
        <w:trPr>
          <w:trHeight w:val="190"/>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233.4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88"/>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4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99.4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99.4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83"/>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Subtotal: Biosimilars</w:t>
            </w:r>
          </w:p>
        </w:tc>
        <w:tc>
          <w:tcPr>
            <w:tcW w:w="14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831.1</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831.1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795.8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738.3</w:t>
            </w:r>
          </w:p>
        </w:tc>
        <w:tc>
          <w:tcPr>
            <w:tcW w:w="0" w:type="dxa"/>
            <w:vAlign w:val="bottom"/>
          </w:tcPr>
          <w:p>
            <w:pPr>
              <w:spacing w:after="0"/>
              <w:rPr>
                <w:sz w:val="1"/>
                <w:szCs w:val="1"/>
                <w:color w:val="auto"/>
              </w:rPr>
            </w:pPr>
          </w:p>
        </w:tc>
      </w:tr>
      <w:tr>
        <w:trPr>
          <w:trHeight w:val="244"/>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21"/>
                <w:szCs w:val="21"/>
                <w:color w:val="auto"/>
              </w:rPr>
            </w:pPr>
          </w:p>
        </w:tc>
        <w:tc>
          <w:tcPr>
            <w:tcW w:w="68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7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420" w:type="dxa"/>
            <w:vAlign w:val="bottom"/>
            <w:gridSpan w:val="2"/>
          </w:tcPr>
          <w:p>
            <w:pPr>
              <w:ind w:left="140"/>
              <w:spacing w:after="0"/>
              <w:rPr>
                <w:sz w:val="20"/>
                <w:szCs w:val="20"/>
                <w:color w:val="auto"/>
              </w:rPr>
            </w:pPr>
            <w:r>
              <w:rPr>
                <w:rFonts w:ascii="Arial" w:cs="Arial" w:eastAsia="Arial" w:hAnsi="Arial"/>
                <w:sz w:val="14"/>
                <w:szCs w:val="14"/>
                <w:color w:val="auto"/>
              </w:rPr>
              <w:t>FUMADERM</w:t>
            </w:r>
          </w:p>
        </w:tc>
        <w:tc>
          <w:tcPr>
            <w:tcW w:w="140" w:type="dxa"/>
            <w:vAlign w:val="bottom"/>
            <w:tcBorders>
              <w:bottom w:val="single" w:sz="8" w:color="DBDBDB"/>
            </w:tcBorders>
            <w:shd w:val="clear" w:color="auto" w:fill="DBDBDB"/>
          </w:tcPr>
          <w:p>
            <w:pPr>
              <w:spacing w:after="0"/>
              <w:rPr>
                <w:sz w:val="21"/>
                <w:szCs w:val="21"/>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11.0</w:t>
            </w:r>
          </w:p>
        </w:tc>
        <w:tc>
          <w:tcPr>
            <w:tcW w:w="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72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3"/>
        </w:trPr>
        <w:tc>
          <w:tcPr>
            <w:tcW w:w="2420" w:type="dxa"/>
            <w:vAlign w:val="bottom"/>
            <w:gridSpan w:val="2"/>
          </w:tcPr>
          <w:p>
            <w:pPr>
              <w:ind w:left="220"/>
              <w:spacing w:after="0"/>
              <w:rPr>
                <w:sz w:val="20"/>
                <w:szCs w:val="20"/>
                <w:color w:val="auto"/>
              </w:rPr>
            </w:pPr>
            <w:r>
              <w:rPr>
                <w:rFonts w:ascii="Arial" w:cs="Arial" w:eastAsia="Arial" w:hAnsi="Arial"/>
                <w:sz w:val="14"/>
                <w:szCs w:val="14"/>
                <w:color w:val="auto"/>
              </w:rPr>
              <w:t>Total product revenue</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76"/>
              </w:rPr>
              <w:t>$</w:t>
            </w: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3,805.7</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5,041.2</w:t>
            </w:r>
          </w:p>
        </w:tc>
        <w:tc>
          <w:tcPr>
            <w:tcW w:w="2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8,846.9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5,900.1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4,792.1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10,692.2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4,666.0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11,379.8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5" w:lineRule="exact"/>
        <w:rPr>
          <w:sz w:val="20"/>
          <w:szCs w:val="20"/>
          <w:color w:val="auto"/>
        </w:rPr>
      </w:pPr>
    </w:p>
    <w:p>
      <w:pPr>
        <w:ind w:left="140" w:hanging="132"/>
        <w:spacing w:after="0"/>
        <w:tabs>
          <w:tab w:leader="none" w:pos="140" w:val="left"/>
        </w:tabs>
        <w:numPr>
          <w:ilvl w:val="0"/>
          <w:numId w:val="96"/>
        </w:numPr>
        <w:rPr>
          <w:rFonts w:ascii="Arial" w:cs="Arial" w:eastAsia="Arial" w:hAnsi="Arial"/>
          <w:sz w:val="9"/>
          <w:szCs w:val="9"/>
          <w:color w:val="auto"/>
        </w:rPr>
      </w:pPr>
      <w:r>
        <w:rPr>
          <w:rFonts w:ascii="Arial" w:cs="Arial" w:eastAsia="Arial" w:hAnsi="Arial"/>
          <w:sz w:val="14"/>
          <w:szCs w:val="14"/>
          <w:color w:val="auto"/>
        </w:rPr>
        <w:t>Fumarate includes TECFIDERA and VUMERITY. VUMERITY became commercially available in the E.U. during the fourth quarter of 2021.</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96"/>
        </w:numPr>
        <w:rPr>
          <w:rFonts w:ascii="Arial" w:cs="Arial" w:eastAsia="Arial" w:hAnsi="Arial"/>
          <w:sz w:val="9"/>
          <w:szCs w:val="9"/>
          <w:color w:val="auto"/>
        </w:rPr>
      </w:pPr>
      <w:r>
        <w:rPr>
          <w:rFonts w:ascii="Arial" w:cs="Arial" w:eastAsia="Arial" w:hAnsi="Arial"/>
          <w:sz w:val="14"/>
          <w:szCs w:val="14"/>
          <w:color w:val="auto"/>
        </w:rPr>
        <w:t>Interferon includes AVONEX and PLEGRIDY.</w:t>
      </w:r>
    </w:p>
    <w:p>
      <w:pPr>
        <w:spacing w:after="0" w:line="1" w:lineRule="exact"/>
        <w:rPr>
          <w:rFonts w:ascii="Arial" w:cs="Arial" w:eastAsia="Arial" w:hAnsi="Arial"/>
          <w:sz w:val="9"/>
          <w:szCs w:val="9"/>
          <w:color w:val="auto"/>
        </w:rPr>
      </w:pPr>
    </w:p>
    <w:p>
      <w:pPr>
        <w:ind w:left="160" w:hanging="152"/>
        <w:spacing w:after="0"/>
        <w:tabs>
          <w:tab w:leader="none" w:pos="160" w:val="left"/>
        </w:tabs>
        <w:numPr>
          <w:ilvl w:val="0"/>
          <w:numId w:val="96"/>
        </w:numPr>
        <w:rPr>
          <w:rFonts w:ascii="Arial" w:cs="Arial" w:eastAsia="Arial" w:hAnsi="Arial"/>
          <w:sz w:val="9"/>
          <w:szCs w:val="9"/>
          <w:color w:val="auto"/>
        </w:rPr>
      </w:pPr>
      <w:r>
        <w:rPr>
          <w:rFonts w:ascii="Arial" w:cs="Arial" w:eastAsia="Arial" w:hAnsi="Arial"/>
          <w:sz w:val="14"/>
          <w:szCs w:val="14"/>
          <w:color w:val="auto"/>
        </w:rPr>
        <w:t>In June 2021 the FDA granted accelerated approval of ADUHELM, which became commercially available in the U.S. during the second quarter of 2021. For additional</w:t>
      </w:r>
    </w:p>
    <w:p>
      <w:pPr>
        <w:spacing w:after="0" w:line="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4"/>
          <w:szCs w:val="14"/>
          <w:color w:val="auto"/>
        </w:rPr>
        <w:t xml:space="preserve">information, please read </w:t>
      </w:r>
      <w:r>
        <w:rPr>
          <w:rFonts w:ascii="Arial" w:cs="Arial" w:eastAsia="Arial" w:hAnsi="Arial"/>
          <w:sz w:val="14"/>
          <w:szCs w:val="14"/>
          <w:i w:val="1"/>
          <w:iCs w:val="1"/>
          <w:color w:val="auto"/>
        </w:rPr>
        <w:t>Note 18, Collaborative and Other Relationships - Eisai Co., Ltd. - ADUHELM Collaboration Agreement,</w:t>
      </w:r>
      <w:r>
        <w:rPr>
          <w:rFonts w:ascii="Arial" w:cs="Arial" w:eastAsia="Arial" w:hAnsi="Arial"/>
          <w:sz w:val="14"/>
          <w:szCs w:val="14"/>
          <w:color w:val="auto"/>
        </w:rPr>
        <w:t xml:space="preserve"> to these consolidated financial statements.</w:t>
      </w:r>
    </w:p>
    <w:p>
      <w:pPr>
        <w:spacing w:after="0" w:line="157"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We recognized revenue from two wholesalers accounting for 28.8% and 10.1% of gross product revenue in 2021, 30.5% and 15.3% of gross product revenue in 2020 and 30.0% and 17.2% of gross product revenue in 2019, respectively.</w:t>
      </w:r>
    </w:p>
    <w:p>
      <w:pPr>
        <w:spacing w:after="0" w:line="144" w:lineRule="exact"/>
        <w:rPr>
          <w:sz w:val="20"/>
          <w:szCs w:val="20"/>
          <w:color w:val="auto"/>
        </w:rPr>
      </w:pPr>
    </w:p>
    <w:p>
      <w:pPr>
        <w:ind w:right="600" w:firstLine="445"/>
        <w:spacing w:after="0" w:line="261" w:lineRule="auto"/>
        <w:rPr>
          <w:sz w:val="20"/>
          <w:szCs w:val="20"/>
          <w:color w:val="auto"/>
        </w:rPr>
      </w:pPr>
      <w:r>
        <w:rPr>
          <w:rFonts w:ascii="Arial" w:cs="Arial" w:eastAsia="Arial" w:hAnsi="Arial"/>
          <w:sz w:val="18"/>
          <w:szCs w:val="18"/>
          <w:color w:val="auto"/>
        </w:rPr>
        <w:t>As of December 31, 2021, two wholesale distributors individually accounted for approximately 21.9% and 10.2% of net accounts receivable associated with our product sales, as compared to 21.1% and 8.5% as of December 31, 2020, respectively.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Contractual</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141.4</w:t>
            </w:r>
          </w:p>
        </w:tc>
        <w:tc>
          <w:tcPr>
            <w:tcW w:w="28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1,093.0</w:t>
            </w:r>
          </w:p>
        </w:tc>
        <w:tc>
          <w:tcPr>
            <w:tcW w:w="100" w:type="dxa"/>
            <w:vAlign w:val="bottom"/>
            <w:shd w:val="clear" w:color="auto" w:fill="DDDDDD"/>
          </w:tcPr>
          <w:p>
            <w:pPr>
              <w:spacing w:after="0"/>
              <w:rPr>
                <w:sz w:val="15"/>
                <w:szCs w:val="15"/>
                <w:color w:val="auto"/>
              </w:rPr>
            </w:pPr>
          </w:p>
        </w:tc>
        <w:tc>
          <w:tcPr>
            <w:tcW w:w="940" w:type="dxa"/>
            <w:vAlign w:val="bottom"/>
            <w:shd w:val="clear" w:color="auto" w:fill="DDDDDD"/>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41.6</w:t>
            </w:r>
          </w:p>
        </w:tc>
        <w:tc>
          <w:tcPr>
            <w:tcW w:w="12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1,276.0</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736.7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2,948.7</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15.2</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3,700.6</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(96.1)</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(103.4)</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(599.3)</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(2,283.1)</w:t>
            </w: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(2,882.8)</w:t>
            </w:r>
          </w:p>
        </w:tc>
        <w:tc>
          <w:tcPr>
            <w:tcW w:w="0" w:type="dxa"/>
            <w:vAlign w:val="bottom"/>
          </w:tcPr>
          <w:p>
            <w:pPr>
              <w:spacing w:after="0"/>
              <w:rPr>
                <w:sz w:val="1"/>
                <w:szCs w:val="1"/>
                <w:color w:val="auto"/>
              </w:rPr>
            </w:pPr>
          </w:p>
        </w:tc>
      </w:tr>
      <w:tr>
        <w:trPr>
          <w:trHeight w:val="189"/>
        </w:trPr>
        <w:tc>
          <w:tcPr>
            <w:tcW w:w="548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(137.1)</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(902.9)</w:t>
            </w:r>
          </w:p>
        </w:tc>
        <w:tc>
          <w:tcPr>
            <w:tcW w:w="1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8"/>
              </w:rPr>
              <w:t>(15.1)</w:t>
            </w: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(1,055.1)</w:t>
            </w:r>
          </w:p>
        </w:tc>
        <w:tc>
          <w:tcPr>
            <w:tcW w:w="0" w:type="dxa"/>
            <w:vAlign w:val="bottom"/>
          </w:tcPr>
          <w:p>
            <w:pPr>
              <w:spacing w:after="0"/>
              <w:rPr>
                <w:sz w:val="1"/>
                <w:szCs w:val="1"/>
                <w:color w:val="auto"/>
              </w:rPr>
            </w:pPr>
          </w:p>
        </w:tc>
      </w:tr>
      <w:tr>
        <w:trPr>
          <w:trHeight w:val="208"/>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137.7</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759.6</w:t>
            </w:r>
          </w:p>
        </w:tc>
        <w:tc>
          <w:tcPr>
            <w:tcW w:w="1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38.0</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935.3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December 31, 2020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Discounts</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Contractual</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Returns</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Adjustments</w:t>
            </w:r>
          </w:p>
        </w:tc>
        <w:tc>
          <w:tcPr>
            <w:tcW w:w="14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011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1,027.3</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1,198.9</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3,308.8</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4,102.5</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(53.7)</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(635.1)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(2,426.1)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(3,061.2)</w:t>
            </w:r>
          </w:p>
        </w:tc>
      </w:tr>
      <w:tr>
        <w:trPr>
          <w:trHeight w:val="188"/>
        </w:trPr>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(910.5)</w:t>
            </w:r>
          </w:p>
        </w:tc>
      </w:tr>
      <w:tr>
        <w:trPr>
          <w:trHeight w:val="183"/>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1,093.0</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1,276.0</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sectPr>
          <w:pgSz w:w="11900" w:h="16838" w:orient="portrait"/>
          <w:cols w:equalWidth="0" w:num="2">
            <w:col w:w="4760" w:space="720"/>
            <w:col w:w="5760"/>
          </w:cols>
          <w:pgMar w:left="320" w:top="144" w:right="33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54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3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Discounts</w:t>
            </w: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Contractual</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Returns</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Adjustments</w:t>
            </w:r>
          </w:p>
        </w:tc>
        <w:tc>
          <w:tcPr>
            <w:tcW w:w="144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4201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127.8</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888.8</w:t>
            </w:r>
          </w:p>
        </w:tc>
        <w:tc>
          <w:tcPr>
            <w:tcW w:w="100" w:type="dxa"/>
            <w:vAlign w:val="bottom"/>
          </w:tcPr>
          <w:p>
            <w:pPr>
              <w:spacing w:after="0"/>
              <w:rPr>
                <w:sz w:val="16"/>
                <w:szCs w:val="16"/>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1,051.3</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3,011.5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3,698.6</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189"/>
        </w:trPr>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(535.5)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(2,778.6)</w:t>
            </w:r>
          </w:p>
        </w:tc>
      </w:tr>
      <w:tr>
        <w:trPr>
          <w:trHeight w:val="188"/>
        </w:trPr>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(724.1)</w:t>
            </w:r>
          </w:p>
        </w:tc>
      </w:tr>
      <w:tr>
        <w:trPr>
          <w:trHeight w:val="183"/>
        </w:trPr>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1,027.3</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1,198.9</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4760" w:space="720"/>
            <w:col w:w="5760"/>
          </w:cols>
          <w:pgMar w:left="320" w:top="144" w:right="3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The total reserves above, which are included in our consolidated balance sheets,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133.2</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195.4</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48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802.1</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1,080.6</w:t>
            </w:r>
          </w:p>
        </w:tc>
      </w:tr>
      <w:tr>
        <w:trPr>
          <w:trHeight w:val="203"/>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 revenue-related reserves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935.3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1,276.0</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472B9"/>
        </w:rPr>
        <w:t>Revenue from Anti-CD20 Therapeutic Programs</w:t>
      </w:r>
    </w:p>
    <w:p>
      <w:pPr>
        <w:spacing w:after="0" w:line="122"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Revenue from anti-CD20 therapeutic programs is summarized in the table below. For purposes of this footnote, we refer to RITUXAN and RITUXAN HYCELA collectively as RITUXAN.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168"/>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320" w:type="dxa"/>
            <w:vAlign w:val="bottom"/>
            <w:tcBorders>
              <w:bottom w:val="single" w:sz="8" w:color="auto"/>
            </w:tcBorders>
            <w:shd w:val="clear" w:color="auto" w:fill="DDDDDD"/>
          </w:tcPr>
          <w:p>
            <w:pPr>
              <w:jc w:val="right"/>
              <w:ind w:right="62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and GAZYVA</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647.7</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1,080.2</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1,542.4</w:t>
            </w: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42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1,010.8</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748.0</w:t>
            </w:r>
          </w:p>
        </w:tc>
      </w:tr>
      <w:tr>
        <w:trPr>
          <w:trHeight w:val="203"/>
        </w:trPr>
        <w:tc>
          <w:tcPr>
            <w:tcW w:w="5780" w:type="dxa"/>
            <w:vAlign w:val="bottom"/>
            <w:gridSpan w:val="2"/>
          </w:tcPr>
          <w:p>
            <w:pPr>
              <w:ind w:left="360"/>
              <w:spacing w:after="0"/>
              <w:rPr>
                <w:sz w:val="20"/>
                <w:szCs w:val="20"/>
                <w:color w:val="auto"/>
              </w:rPr>
            </w:pPr>
            <w:r>
              <w:rPr>
                <w:rFonts w:ascii="Arial" w:cs="Arial" w:eastAsia="Arial" w:hAnsi="Arial"/>
                <w:sz w:val="14"/>
                <w:szCs w:val="14"/>
                <w:color w:val="auto"/>
              </w:rPr>
              <w:t>Total revenue from anti-CD20 therapeutic programs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1,658.5</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1,977.8</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2,290.4</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 xml:space="preserve">Approximately 15.1%, 14.7% and 15.9% of our total revenue in 2021, 2020 and 2019, respectively, was derived from our collaboration arrangements with Genentech. For additional information on our collaboration arrangements with Genentech, please read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2472B9"/>
        </w:rPr>
        <w:t>Other Revenue</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38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0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Revenue earned under our technical development agreement, manufacturing services</w:t>
            </w:r>
          </w:p>
        </w:tc>
        <w:tc>
          <w:tcPr>
            <w:tcW w:w="380" w:type="dxa"/>
            <w:vAlign w:val="bottom"/>
            <w:vMerge w:val="restart"/>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20.7</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3"/>
                <w:szCs w:val="13"/>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71"/>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agreements and royalty revenue on biosimilar products with Samsung Bioepis</w:t>
            </w:r>
          </w:p>
        </w:tc>
        <w:tc>
          <w:tcPr>
            <w:tcW w:w="380" w:type="dxa"/>
            <w:vAlign w:val="bottom"/>
            <w:vMerge w:val="continue"/>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Other revenue from collaborative and other relationships</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Royalty</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20"/>
              <w:spacing w:after="0"/>
              <w:rPr>
                <w:sz w:val="20"/>
                <w:szCs w:val="20"/>
                <w:color w:val="auto"/>
              </w:rPr>
            </w:pPr>
            <w:r>
              <w:rPr>
                <w:rFonts w:ascii="Arial" w:cs="Arial" w:eastAsia="Arial" w:hAnsi="Arial"/>
                <w:sz w:val="14"/>
                <w:szCs w:val="14"/>
                <w:color w:val="auto"/>
              </w:rPr>
              <w:t>Other corporate</w:t>
            </w:r>
          </w:p>
        </w:tc>
        <w:tc>
          <w:tcPr>
            <w:tcW w:w="38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427.7</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584.5</w:t>
            </w:r>
          </w:p>
        </w:tc>
        <w:tc>
          <w:tcPr>
            <w:tcW w:w="0" w:type="dxa"/>
            <w:vAlign w:val="bottom"/>
          </w:tcPr>
          <w:p>
            <w:pPr>
              <w:spacing w:after="0"/>
              <w:rPr>
                <w:sz w:val="1"/>
                <w:szCs w:val="1"/>
                <w:color w:val="auto"/>
              </w:rPr>
            </w:pPr>
          </w:p>
        </w:tc>
      </w:tr>
      <w:tr>
        <w:trPr>
          <w:trHeight w:val="203"/>
        </w:trPr>
        <w:tc>
          <w:tcPr>
            <w:tcW w:w="6080" w:type="dxa"/>
            <w:vAlign w:val="bottom"/>
            <w:gridSpan w:val="2"/>
          </w:tcPr>
          <w:p>
            <w:pPr>
              <w:ind w:left="360"/>
              <w:spacing w:after="0"/>
              <w:rPr>
                <w:sz w:val="20"/>
                <w:szCs w:val="20"/>
                <w:color w:val="auto"/>
              </w:rPr>
            </w:pPr>
            <w:r>
              <w:rPr>
                <w:rFonts w:ascii="Arial" w:cs="Arial" w:eastAsia="Arial" w:hAnsi="Arial"/>
                <w:sz w:val="14"/>
                <w:szCs w:val="14"/>
                <w:color w:val="auto"/>
              </w:rPr>
              <w:t>Total other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476.3</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774.6</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Other corporate revenue primarily reflects amounts earned under contract manufacturing agreements with our strategic customers, including Bioverativ Inc. (Bioverativ). During the years ended December 31, 2021, 2020 and 2019, we recognized $ 18.2 million, $48.6 million and $383.2 million, respectively, in revenue under the manufacturing and supply agreement with Bioverativ entered into in connection with the spin-off of our hemophilia business.</w:t>
      </w:r>
    </w:p>
    <w:p>
      <w:pPr>
        <w:spacing w:after="0" w:line="150"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During the third quarter of 2019, we amended our agreement with a contract manufacturing customer pursuant to which we licensed certain of our manufacturing-related intellectual property to the customer. In the second quarter of 2020, the customer received regulatory approval for its product that is being manufactured using certain of our manufacturing-related intellectual property. As a result we were entitled to $500.0 million in a series of three payments. The first payment became due upon a regulatory approval of such product and was received during the second quarter of 2020. The second payment became due upon the first anniversary of the regulatory approval and was received during the second quarter of 2021. The third payment is due on the second anniversary of the regulatory approval.</w:t>
      </w:r>
    </w:p>
    <w:p>
      <w:pPr>
        <w:spacing w:after="0" w:line="15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Other corporate revenue for the year ended December 31, 2020, reflects $346.2 million related to the delivery of the license for certain of our manufacturing-related intellectual property under the amended agreement, as discussed above, and the performance of manufacturing product supply services for such customer. We have allocated the remaining $153.8 million of the $500.0 million transaction price to the performance of manufacturing product supply services for the customer, which we expect to perform through 2026. The value allocated to the manufacturing services was based on expected demand for supply and the fair value of comparable manufacturing and development services.</w:t>
      </w:r>
    </w:p>
    <w:p>
      <w:pPr>
        <w:spacing w:after="0" w:line="136" w:lineRule="exact"/>
        <w:rPr>
          <w:sz w:val="20"/>
          <w:szCs w:val="20"/>
          <w:color w:val="auto"/>
        </w:rPr>
      </w:pPr>
    </w:p>
    <w:p>
      <w:pPr>
        <w:ind w:right="460" w:firstLine="40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20" w:type="dxa"/>
            <w:vAlign w:val="bottom"/>
          </w:tcPr>
          <w:p>
            <w:pPr>
              <w:spacing w:after="0"/>
              <w:rPr>
                <w:sz w:val="20"/>
                <w:szCs w:val="20"/>
                <w:color w:val="auto"/>
              </w:rPr>
            </w:pPr>
            <w:r>
              <w:rPr>
                <w:rFonts w:ascii="Arial" w:cs="Arial" w:eastAsia="Arial" w:hAnsi="Arial"/>
                <w:sz w:val="22"/>
                <w:szCs w:val="22"/>
                <w:b w:val="1"/>
                <w:bCs w:val="1"/>
                <w:color w:val="578196"/>
              </w:rPr>
              <w:t>5.</w:t>
            </w:r>
          </w:p>
        </w:tc>
        <w:tc>
          <w:tcPr>
            <w:tcW w:w="6860" w:type="dxa"/>
            <w:vAlign w:val="bottom"/>
            <w:gridSpan w:val="2"/>
          </w:tcPr>
          <w:p>
            <w:pPr>
              <w:ind w:left="340"/>
              <w:spacing w:after="0"/>
              <w:rPr>
                <w:sz w:val="20"/>
                <w:szCs w:val="20"/>
                <w:color w:val="auto"/>
              </w:rPr>
            </w:pPr>
            <w:r>
              <w:rPr>
                <w:rFonts w:ascii="Arial" w:cs="Arial" w:eastAsia="Arial" w:hAnsi="Arial"/>
                <w:sz w:val="22"/>
                <w:szCs w:val="22"/>
                <w:b w:val="1"/>
                <w:bCs w:val="1"/>
                <w:color w:val="578196"/>
              </w:rPr>
              <w:t>INVENTORY</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0"/>
        </w:trPr>
        <w:tc>
          <w:tcPr>
            <w:tcW w:w="320" w:type="dxa"/>
            <w:vAlign w:val="bottom"/>
          </w:tcPr>
          <w:p>
            <w:pPr>
              <w:spacing w:after="0"/>
              <w:rPr>
                <w:sz w:val="24"/>
                <w:szCs w:val="24"/>
                <w:color w:val="auto"/>
              </w:rPr>
            </w:pPr>
          </w:p>
        </w:tc>
        <w:tc>
          <w:tcPr>
            <w:tcW w:w="6860" w:type="dxa"/>
            <w:vAlign w:val="bottom"/>
            <w:gridSpan w:val="2"/>
          </w:tcPr>
          <w:p>
            <w:pPr>
              <w:ind w:left="140"/>
              <w:spacing w:after="0"/>
              <w:rPr>
                <w:sz w:val="20"/>
                <w:szCs w:val="20"/>
                <w:color w:val="auto"/>
              </w:rPr>
            </w:pPr>
            <w:r>
              <w:rPr>
                <w:rFonts w:ascii="Arial" w:cs="Arial" w:eastAsia="Arial" w:hAnsi="Arial"/>
                <w:sz w:val="18"/>
                <w:szCs w:val="18"/>
                <w:color w:val="auto"/>
              </w:rPr>
              <w:t>The components of inventory are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Raw materials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349.6</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190"/>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Work in process</w:t>
            </w:r>
          </w:p>
        </w:tc>
        <w:tc>
          <w:tcPr>
            <w:tcW w:w="48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814.0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544.5</w:t>
            </w:r>
          </w:p>
        </w:tc>
      </w:tr>
      <w:tr>
        <w:trPr>
          <w:trHeight w:val="188"/>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Finished goods</w:t>
            </w:r>
          </w:p>
        </w:tc>
        <w:tc>
          <w:tcPr>
            <w:tcW w:w="48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187.9</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w:t>
            </w:r>
          </w:p>
        </w:tc>
      </w:tr>
      <w:tr>
        <w:trPr>
          <w:trHeight w:val="203"/>
        </w:trPr>
        <w:tc>
          <w:tcPr>
            <w:tcW w:w="7180" w:type="dxa"/>
            <w:vAlign w:val="bottom"/>
            <w:gridSpan w:val="3"/>
          </w:tcPr>
          <w:p>
            <w:pPr>
              <w:ind w:left="140"/>
              <w:spacing w:after="0"/>
              <w:rPr>
                <w:sz w:val="20"/>
                <w:szCs w:val="20"/>
                <w:color w:val="auto"/>
              </w:rPr>
            </w:pPr>
            <w:r>
              <w:rPr>
                <w:rFonts w:ascii="Arial" w:cs="Arial" w:eastAsia="Arial" w:hAnsi="Arial"/>
                <w:sz w:val="14"/>
                <w:szCs w:val="14"/>
                <w:color w:val="auto"/>
              </w:rPr>
              <w:t>Total inventory</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1,351.5</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1,068.6</w:t>
            </w:r>
          </w:p>
        </w:tc>
      </w:tr>
      <w:tr>
        <w:trPr>
          <w:trHeight w:val="20"/>
        </w:trPr>
        <w:tc>
          <w:tcPr>
            <w:tcW w:w="3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Inventory amounts written down as a result of excess, obsolescence or unmarketability are charged to cost of sales, and totaled $167.6 million, $26.6 million and $52.2 million for the years ended December 31, 2021, 2020 and 2019, respectively.</w:t>
      </w:r>
    </w:p>
    <w:p>
      <w:pPr>
        <w:spacing w:after="0" w:line="49" w:lineRule="exact"/>
        <w:rPr>
          <w:sz w:val="20"/>
          <w:szCs w:val="20"/>
          <w:color w:val="auto"/>
        </w:rPr>
      </w:pPr>
    </w:p>
    <w:p>
      <w:pPr>
        <w:ind w:right="740" w:firstLine="445"/>
        <w:spacing w:after="0" w:line="261" w:lineRule="auto"/>
        <w:rPr>
          <w:sz w:val="20"/>
          <w:szCs w:val="20"/>
          <w:color w:val="auto"/>
        </w:rPr>
      </w:pPr>
      <w:r>
        <w:rPr>
          <w:rFonts w:ascii="Arial" w:cs="Arial" w:eastAsia="Arial" w:hAnsi="Arial"/>
          <w:sz w:val="18"/>
          <w:szCs w:val="18"/>
          <w:color w:val="auto"/>
        </w:rPr>
        <w:t>Upon review of the ADUHELM inventory it was determined that a portion of the inventory will not be consumed prior to product expiration based on our latest estimates of forecasted demand. During the fourth quarter of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wrote-off approximately $120.0 million of inventory in excess of forecasted demand related to ADUHELM, which was recognized in cost of sales within our consolidated statements of income. As of December 31, 2021, we had approximately $223.0 million of inventory related to ADUHELM. For additional information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22"/>
          <w:szCs w:val="22"/>
          <w:b w:val="1"/>
          <w:bCs w:val="1"/>
          <w:color w:val="578196"/>
        </w:rPr>
      </w:pPr>
      <w:r>
        <w:rPr>
          <w:rFonts w:ascii="Arial" w:cs="Arial" w:eastAsia="Arial" w:hAnsi="Arial"/>
          <w:sz w:val="22"/>
          <w:szCs w:val="22"/>
          <w:b w:val="1"/>
          <w:bCs w:val="1"/>
          <w:color w:val="578196"/>
        </w:rPr>
        <w:t>INTANGIBLE ASSETS AND GOODWILL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2520" w:type="dxa"/>
            <w:vAlign w:val="bottom"/>
            <w:tcBorders>
              <w:bottom w:val="single" w:sz="8" w:color="auto"/>
            </w:tcBorders>
            <w:gridSpan w:val="7"/>
            <w:shd w:val="clear" w:color="auto" w:fill="DDDDDD"/>
          </w:tcPr>
          <w:p>
            <w:pPr>
              <w:jc w:val="right"/>
              <w:ind w:right="68"/>
              <w:spacing w:after="0"/>
              <w:rPr>
                <w:sz w:val="20"/>
                <w:szCs w:val="20"/>
                <w:color w:val="auto"/>
              </w:rPr>
            </w:pPr>
            <w:r>
              <w:rPr>
                <w:rFonts w:ascii="Arial" w:cs="Arial" w:eastAsia="Arial" w:hAnsi="Arial"/>
                <w:sz w:val="14"/>
                <w:szCs w:val="14"/>
                <w:b w:val="1"/>
                <w:bCs w:val="1"/>
                <w:color w:val="2573BA"/>
              </w:rPr>
              <w:t>As of December 31, 2021</w:t>
            </w:r>
          </w:p>
        </w:tc>
        <w:tc>
          <w:tcPr>
            <w:tcW w:w="78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rPr>
              <w:t>As of December 31, 2020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90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7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2100" w:type="dxa"/>
            <w:vAlign w:val="bottom"/>
            <w:tcBorders>
              <w:bottom w:val="single" w:sz="8" w:color="auto"/>
            </w:tcBorders>
            <w:vMerge w:val="continue"/>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DBDBDB"/>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4"/>
                <w:szCs w:val="14"/>
                <w:color w:val="auto"/>
              </w:rPr>
              <w:t>Completed technology</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4-28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7,413.1</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(5,388.5)</w:t>
            </w:r>
          </w:p>
        </w:tc>
        <w:tc>
          <w:tcPr>
            <w:tcW w:w="120" w:type="dxa"/>
            <w:vAlign w:val="bottom"/>
            <w:shd w:val="clear" w:color="auto" w:fill="DBDBDB"/>
          </w:tcPr>
          <w:p>
            <w:pPr>
              <w:spacing w:after="0"/>
              <w:rPr>
                <w:sz w:val="15"/>
                <w:szCs w:val="15"/>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2,024.6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7,394.3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(5,136.5)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2,257.8</w:t>
            </w:r>
          </w:p>
        </w:tc>
        <w:tc>
          <w:tcPr>
            <w:tcW w:w="0" w:type="dxa"/>
            <w:vAlign w:val="bottom"/>
          </w:tcPr>
          <w:p>
            <w:pPr>
              <w:spacing w:after="0"/>
              <w:rPr>
                <w:sz w:val="1"/>
                <w:szCs w:val="1"/>
                <w:color w:val="auto"/>
              </w:rPr>
            </w:pPr>
          </w:p>
        </w:tc>
      </w:tr>
      <w:tr>
        <w:trPr>
          <w:trHeight w:val="153"/>
        </w:trPr>
        <w:tc>
          <w:tcPr>
            <w:tcW w:w="2100" w:type="dxa"/>
            <w:vAlign w:val="bottom"/>
          </w:tcPr>
          <w:p>
            <w:pPr>
              <w:ind w:left="20"/>
              <w:spacing w:after="0" w:line="153" w:lineRule="exact"/>
              <w:rPr>
                <w:sz w:val="20"/>
                <w:szCs w:val="20"/>
                <w:color w:val="auto"/>
              </w:rPr>
            </w:pPr>
            <w:r>
              <w:rPr>
                <w:rFonts w:ascii="Arial" w:cs="Arial" w:eastAsia="Arial" w:hAnsi="Arial"/>
                <w:sz w:val="14"/>
                <w:szCs w:val="14"/>
                <w:color w:val="auto"/>
              </w:rPr>
              <w:t>In-process research and</w:t>
            </w:r>
          </w:p>
        </w:tc>
        <w:tc>
          <w:tcPr>
            <w:tcW w:w="20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132.7</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80" w:type="dxa"/>
            <w:vAlign w:val="bottom"/>
            <w:gridSpan w:val="2"/>
            <w:vMerge w:val="restart"/>
            <w:shd w:val="clear" w:color="auto" w:fill="DBDBDB"/>
          </w:tcPr>
          <w:p>
            <w:pPr>
              <w:ind w:left="860"/>
              <w:spacing w:after="0"/>
              <w:rPr>
                <w:sz w:val="20"/>
                <w:szCs w:val="20"/>
                <w:color w:val="auto"/>
              </w:rPr>
            </w:pPr>
            <w:r>
              <w:rPr>
                <w:rFonts w:ascii="Arial" w:cs="Arial" w:eastAsia="Arial" w:hAnsi="Arial"/>
                <w:sz w:val="14"/>
                <w:szCs w:val="14"/>
                <w:color w:val="2573BA"/>
              </w:rPr>
              <w:t>—</w:t>
            </w:r>
          </w:p>
        </w:tc>
        <w:tc>
          <w:tcPr>
            <w:tcW w:w="300" w:type="dxa"/>
            <w:vAlign w:val="bottom"/>
            <w:shd w:val="clear" w:color="auto" w:fill="DBDBDB"/>
          </w:tcPr>
          <w:p>
            <w:pPr>
              <w:spacing w:after="0"/>
              <w:rPr>
                <w:sz w:val="13"/>
                <w:szCs w:val="13"/>
                <w:color w:val="auto"/>
              </w:rPr>
            </w:pPr>
          </w:p>
        </w:tc>
        <w:tc>
          <w:tcPr>
            <w:tcW w:w="7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132.7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762.5</w:t>
            </w:r>
          </w:p>
        </w:tc>
        <w:tc>
          <w:tcPr>
            <w:tcW w:w="0" w:type="dxa"/>
            <w:vAlign w:val="bottom"/>
          </w:tcPr>
          <w:p>
            <w:pPr>
              <w:spacing w:after="0"/>
              <w:rPr>
                <w:sz w:val="1"/>
                <w:szCs w:val="1"/>
                <w:color w:val="auto"/>
              </w:rPr>
            </w:pPr>
          </w:p>
        </w:tc>
      </w:tr>
      <w:tr>
        <w:trPr>
          <w:trHeight w:val="171"/>
        </w:trPr>
        <w:tc>
          <w:tcPr>
            <w:tcW w:w="210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80" w:type="dxa"/>
            <w:vAlign w:val="bottom"/>
            <w:gridSpan w:val="2"/>
            <w:vMerge w:val="continue"/>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7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rPr>
                <w:sz w:val="20"/>
                <w:szCs w:val="20"/>
                <w:color w:val="auto"/>
              </w:rPr>
            </w:pPr>
            <w:r>
              <w:rPr>
                <w:rFonts w:ascii="Arial" w:cs="Arial" w:eastAsia="Arial" w:hAnsi="Arial"/>
                <w:sz w:val="14"/>
                <w:szCs w:val="14"/>
                <w:color w:val="auto"/>
              </w:rPr>
              <w:t>Trademarks and trade names</w:t>
            </w:r>
          </w:p>
        </w:tc>
        <w:tc>
          <w:tcPr>
            <w:tcW w:w="202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3"/>
        </w:trPr>
        <w:tc>
          <w:tcPr>
            <w:tcW w:w="2100" w:type="dxa"/>
            <w:vAlign w:val="bottom"/>
          </w:tcPr>
          <w:p>
            <w:pPr>
              <w:ind w:left="360"/>
              <w:spacing w:after="0"/>
              <w:rPr>
                <w:sz w:val="20"/>
                <w:szCs w:val="20"/>
                <w:color w:val="auto"/>
              </w:rPr>
            </w:pPr>
            <w:r>
              <w:rPr>
                <w:rFonts w:ascii="Arial" w:cs="Arial" w:eastAsia="Arial" w:hAnsi="Arial"/>
                <w:sz w:val="14"/>
                <w:szCs w:val="14"/>
                <w:color w:val="auto"/>
              </w:rPr>
              <w:t>Total intangible assets</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7,609.8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(5,388.5)</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2,221.3</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8,220.8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(5,136.5)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3,084.3</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Amortization and Impairments</w:t>
      </w:r>
    </w:p>
    <w:p>
      <w:pPr>
        <w:spacing w:after="0" w:line="189"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Amortization and impairment of acquired intangible assets totaled $881.3 million, $464.8 million and $489.9 million for the years ended December 31, 2021, 2020 and 2019, respectively.</w:t>
      </w:r>
    </w:p>
    <w:p>
      <w:pPr>
        <w:spacing w:after="0" w:line="144"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Amortization of acquired intangible assets, excluding impairment charges, totaled $252.0 million, $255.1 million and $274.0 million for the years ended December 31, 2021, 2020 and 2019, respectively. The decrease in amortization of acquired intangible assets, excluding impairment charges, over the three years was primarily due to a lower rate of amortization for acquired intangible assets.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2021, amortization and impairment of acquired intangible assets reflects the impact of a</w:t>
      </w:r>
    </w:p>
    <w:p>
      <w:pPr>
        <w:spacing w:after="0" w:line="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$365.0 million impairment charge related to BIIB111, a $220.0 million impairment charge related to BIIB112 and a $44.3 million impairment charge related to vixotrigine (BIIB074) for the potential treatment of trigeminal neuralgia (TGN).</w:t>
      </w:r>
    </w:p>
    <w:p>
      <w:pPr>
        <w:spacing w:after="0" w:line="144"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For the year ended December 31, 2020, amortization and impairment of acquired intangible assets reflects the impact of a $115.0 million impairment charge related to BIIB111, a $75.4 million impairment charge related to BIIB054 (cinpanemab) and a $19.3 million impairment charge related to one of our other IPR&amp;D intangible assets.</w:t>
      </w:r>
    </w:p>
    <w:p>
      <w:pPr>
        <w:spacing w:after="0" w:line="148" w:lineRule="exact"/>
        <w:rPr>
          <w:sz w:val="20"/>
          <w:szCs w:val="20"/>
          <w:color w:val="auto"/>
        </w:rPr>
      </w:pPr>
    </w:p>
    <w:p>
      <w:pPr>
        <w:jc w:val="both"/>
        <w:ind w:right="480" w:firstLine="445"/>
        <w:spacing w:after="0" w:line="256" w:lineRule="auto"/>
        <w:rPr>
          <w:sz w:val="20"/>
          <w:szCs w:val="20"/>
          <w:color w:val="auto"/>
        </w:rPr>
      </w:pPr>
      <w:r>
        <w:rPr>
          <w:rFonts w:ascii="Arial" w:cs="Arial" w:eastAsia="Arial" w:hAnsi="Arial"/>
          <w:sz w:val="18"/>
          <w:szCs w:val="18"/>
          <w:color w:val="auto"/>
        </w:rPr>
        <w:t>For the year ended December 31, 2019, amortization and impairment of acquired intangible assets reflects the impact of a $215.9 million impairment charge related to certain IPR&amp;D assets associated with the Phase 2b study of BG00011 (STX-100) for the potential treatment of idiopathic pulmonary fibrosis (IPF), which was discontinued in the third quarter of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Completed Technology</w:t>
      </w:r>
    </w:p>
    <w:p>
      <w:pPr>
        <w:spacing w:after="0" w:line="108"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Completed technology primarily relates to our acquisition of all remaining rights to TYSABRI as well as other amounts related to our other marketed products and programs acquired through business combinations.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22"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 acquired IPR&amp;D for impairment annually, as of October 31, and whenever events or changes in circumstances indicate to us that the carrying value of the assets might not be recoverable. The carrying value associated with our IPR&amp;D assets as of December 31, 2021, relates to the IPR&amp;D programs we acquired in connection with our acquisition of Convergence Pharmaceuticals Holdings Ltd. (Convergence).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Vixotrigine</w:t>
      </w:r>
    </w:p>
    <w:p>
      <w:pPr>
        <w:spacing w:after="0" w:line="122"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DPN, another form of neuropathic pain. We have engaged with the U.S. Food and Drug Administration (FDA) regarding the design of the Phase 3 studies of vixotrigine for the potential treatment of TGN and DPN and are now performing an additional clinical trial of vixotrigine.</w:t>
      </w:r>
    </w:p>
    <w:p>
      <w:pPr>
        <w:spacing w:after="0" w:line="69" w:lineRule="exact"/>
        <w:rPr>
          <w:sz w:val="20"/>
          <w:szCs w:val="20"/>
          <w:color w:val="auto"/>
        </w:rPr>
      </w:pPr>
    </w:p>
    <w:p>
      <w:pPr>
        <w:jc w:val="both"/>
        <w:ind w:right="280" w:firstLine="405"/>
        <w:spacing w:after="0" w:line="254" w:lineRule="auto"/>
        <w:rPr>
          <w:sz w:val="20"/>
          <w:szCs w:val="20"/>
          <w:color w:val="auto"/>
        </w:rPr>
      </w:pPr>
      <w:r>
        <w:rPr>
          <w:rFonts w:ascii="Arial" w:cs="Arial" w:eastAsia="Arial" w:hAnsi="Arial"/>
          <w:sz w:val="18"/>
          <w:szCs w:val="18"/>
          <w:color w:val="auto"/>
        </w:rPr>
        <w:t>The performance of this additional clinical trial delayed the initiation of the Phase 3 studies of vixotrigine for the potential treatment of TGN, and, as a result, we recognized an impairment charge of $44.3 million related to vixotrigine for the potential treatment of TGN during the first quarter of 2021. As of December 31, 2021, the carrying value associated with the remaining IPR&amp;D asset for DPN was $132.7 million and the fair value of this asset was not significantly in excess of its carrying value.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BIIB111 and BIIB112</w:t>
      </w:r>
    </w:p>
    <w:p>
      <w:pPr>
        <w:spacing w:after="0" w:line="122" w:lineRule="exact"/>
        <w:rPr>
          <w:sz w:val="20"/>
          <w:szCs w:val="20"/>
          <w:color w:val="auto"/>
        </w:rPr>
      </w:pPr>
    </w:p>
    <w:p>
      <w:pPr>
        <w:jc w:val="both"/>
        <w:ind w:right="260" w:firstLine="405"/>
        <w:spacing w:after="0" w:line="261"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as a result of third-party manufacturing delays that impacted the timing and increased the costs associated with advancing BIIB111 through Phase 3 development.</w:t>
      </w:r>
    </w:p>
    <w:p>
      <w:pPr>
        <w:spacing w:after="0" w:line="76"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During the second quarter of 2021 we announced that our Phase 3 STAR study of BIIB111 and our Phase 2/3 XIRIUS study of BIIB112 did not meet their primary endpoints. In the third quarter of 2021 we suspended further development on these programs based on the decision by management as part of its strategic review process. For the year ended December 31, 2021, we recognized an impairment charge of $365.0 million related to BIIB111 and an impairment charge of $220.0 million related to BIIB112, reducing the remaining book values of these IPR&amp;D intangible assets to zero.</w:t>
      </w:r>
    </w:p>
    <w:p>
      <w:pPr>
        <w:spacing w:after="0" w:line="7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addition, for the year ended December 31, 2021, as a result of our decision to suspend further development of BIIB111 and BIIB112, we recognized charges of approximately $39.1 million related to our manufacturing arrangements and other costs that we expect to incur as a result of suspending these programs, which were recorded as research and development expense in our consolidated statements of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BIIB054</w:t>
      </w:r>
    </w:p>
    <w:p>
      <w:pPr>
        <w:spacing w:after="0" w:line="189" w:lineRule="exact"/>
        <w:rPr>
          <w:sz w:val="20"/>
          <w:szCs w:val="20"/>
          <w:color w:val="auto"/>
        </w:rPr>
      </w:pPr>
    </w:p>
    <w:p>
      <w:pPr>
        <w:ind w:right="40" w:firstLine="405"/>
        <w:spacing w:after="0" w:line="238" w:lineRule="auto"/>
        <w:rPr>
          <w:sz w:val="20"/>
          <w:szCs w:val="20"/>
          <w:color w:val="auto"/>
        </w:rPr>
      </w:pPr>
      <w:r>
        <w:rPr>
          <w:rFonts w:ascii="Arial" w:cs="Arial" w:eastAsia="Arial" w:hAnsi="Arial"/>
          <w:sz w:val="18"/>
          <w:szCs w:val="18"/>
          <w:color w:val="auto"/>
        </w:rPr>
        <w:t>In February 2021 we announced that we discontinued development of BIIB054 as a potential treatment of Parkinson's disease as our Phase 2 SPARK study did not meet its primary or secondary endpoints. Although we made this determination in February 2021, it was based on conditions that existed as of December 31, 2020. As a result, we recognized an impairment charge of approximately $75.4 million during the fourth quarter of 2020 to reduce the fair value of the related IPR&amp;D intangible asset to zero.</w:t>
      </w:r>
    </w:p>
    <w:p>
      <w:pPr>
        <w:spacing w:after="0" w:line="8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The IPR&amp;D impairment charges were included in amortization and impairment of acquired intangible assets and the gain resulting from the remeasurement of our contingent consideration obligation was recorded in (gain) loss on fair value remeasurement of contingent consideration in our consolidated statements of income. The fair value of the intangible assets and contingent consideration obligations were based on a probability-adjusted discounted cash flow calculation using Level 3 fair value measurements and inputs including estimated revenue, costs and probabilities of success.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Estimated Future Amortization of Intangible Assets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2021</w:t>
            </w:r>
          </w:p>
        </w:tc>
      </w:tr>
      <w:tr>
        <w:trPr>
          <w:trHeight w:val="183"/>
        </w:trPr>
        <w:tc>
          <w:tcPr>
            <w:tcW w:w="8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255.0</w:t>
            </w:r>
          </w:p>
        </w:tc>
      </w:tr>
      <w:tr>
        <w:trPr>
          <w:trHeight w:val="190"/>
        </w:trPr>
        <w:tc>
          <w:tcPr>
            <w:tcW w:w="8980" w:type="dxa"/>
            <w:vAlign w:val="bottom"/>
          </w:tcPr>
          <w:p>
            <w:pPr>
              <w:ind w:left="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210.0</w:t>
            </w: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195.0</w:t>
            </w:r>
          </w:p>
        </w:tc>
      </w:tr>
      <w:tr>
        <w:trPr>
          <w:trHeight w:val="189"/>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195.0</w:t>
            </w:r>
          </w:p>
        </w:tc>
      </w:tr>
      <w:tr>
        <w:trPr>
          <w:trHeight w:val="188"/>
        </w:trPr>
        <w:tc>
          <w:tcPr>
            <w:tcW w:w="8980" w:type="dxa"/>
            <w:vAlign w:val="bottom"/>
          </w:tcPr>
          <w:p>
            <w:pPr>
              <w:ind w:left="2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180.0</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Goodwill</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beginning of year</w:t>
            </w: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5,762.1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5,757.8</w:t>
            </w:r>
          </w:p>
        </w:tc>
      </w:tr>
      <w:tr>
        <w:trPr>
          <w:trHeight w:val="189"/>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end of year</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5,761.1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5,762.1</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60" w:firstLine="445"/>
        <w:spacing w:after="0" w:line="261" w:lineRule="auto"/>
        <w:rPr>
          <w:sz w:val="20"/>
          <w:szCs w:val="20"/>
          <w:color w:val="auto"/>
        </w:rPr>
      </w:pPr>
      <w:r>
        <w:rPr>
          <w:rFonts w:ascii="Arial" w:cs="Arial" w:eastAsia="Arial" w:hAnsi="Arial"/>
          <w:sz w:val="18"/>
          <w:szCs w:val="18"/>
          <w:color w:val="auto"/>
        </w:rPr>
        <w:t>As of December 31, 2021, we had no accumulated impairment losses related to goodwill. Other includes adjustments related to foreign currency exchange rate fluctuations.</w:t>
      </w:r>
    </w:p>
    <w:p>
      <w:pPr>
        <w:spacing w:after="0" w:line="126"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22"/>
          <w:szCs w:val="22"/>
          <w:b w:val="1"/>
          <w:bCs w:val="1"/>
          <w:color w:val="578196"/>
        </w:rPr>
      </w:pPr>
      <w:r>
        <w:rPr>
          <w:rFonts w:ascii="Arial" w:cs="Arial" w:eastAsia="Arial" w:hAnsi="Arial"/>
          <w:sz w:val="22"/>
          <w:szCs w:val="22"/>
          <w:b w:val="1"/>
          <w:bCs w:val="1"/>
          <w:color w:val="578196"/>
        </w:rPr>
        <w:t>FAIR VALUE MEASUREMENTS</w:t>
      </w:r>
    </w:p>
    <w:p>
      <w:pPr>
        <w:spacing w:after="0" w:line="18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As of December 31, 2021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Quoted Prices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Active 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shd w:val="clear" w:color="auto" w:fill="DDDDDD"/>
          </w:tcPr>
          <w:p>
            <w:pPr>
              <w:spacing w:after="0"/>
              <w:rPr>
                <w:sz w:val="15"/>
                <w:szCs w:val="15"/>
                <w:color w:val="auto"/>
              </w:rPr>
            </w:pPr>
          </w:p>
        </w:tc>
        <w:tc>
          <w:tcPr>
            <w:tcW w:w="11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1,632.2</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1,632.2</w:t>
            </w:r>
          </w:p>
        </w:tc>
        <w:tc>
          <w:tcPr>
            <w:tcW w:w="32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1,108.2</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1,108.2</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1,192.7</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1,192.7</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132.2</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132.2</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1,048.5</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181.7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866.8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80.9</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80.9</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33.4</w:t>
            </w: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33.4</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2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5,228.1</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181.7</w:t>
            </w:r>
          </w:p>
        </w:tc>
        <w:tc>
          <w:tcPr>
            <w:tcW w:w="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5,046.4</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55"/>
        </w:trPr>
        <w:tc>
          <w:tcPr>
            <w:tcW w:w="492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Liabilities:</w:t>
            </w:r>
          </w:p>
        </w:tc>
        <w:tc>
          <w:tcPr>
            <w:tcW w:w="34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10.8</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209.1</w:t>
            </w: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209.1</w:t>
            </w:r>
          </w:p>
        </w:tc>
        <w:tc>
          <w:tcPr>
            <w:tcW w:w="0" w:type="dxa"/>
            <w:vAlign w:val="bottom"/>
          </w:tcPr>
          <w:p>
            <w:pPr>
              <w:spacing w:after="0"/>
              <w:rPr>
                <w:sz w:val="1"/>
                <w:szCs w:val="1"/>
                <w:color w:val="auto"/>
              </w:rPr>
            </w:pPr>
          </w:p>
        </w:tc>
      </w:tr>
      <w:tr>
        <w:trPr>
          <w:trHeight w:val="208"/>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219.9</w:t>
            </w: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10.8</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209.1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 Active Markets</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1"/>
                <w:szCs w:val="11"/>
                <w:color w:val="auto"/>
              </w:rPr>
            </w:pPr>
          </w:p>
        </w:tc>
        <w:tc>
          <w:tcPr>
            <w:tcW w:w="132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626.9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626.9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4,700.9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271.1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4,429.8</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9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83"/>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477.0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217.2</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 xml:space="preserve">There have been no material impairments of our assets measured and carried at fair value during the years ended December 31, 2021 and 2020. In addition, there have been no changes in valuation techniques during the years ended December 31, 2021 and 2020. The fair value of Level 2 instruments classified as cash equivalents and marketable debt securities was determined through third-party pricing services. The fair value of Level 2 instruments classified as marketable equity securities represents our investments in the common stock of Sangamo Therapeutics, Inc. (Sangamo), Denali Therapeutics Inc. (Denali) and Sage Therapeutics, Inc. (Sage) and are valued using an option pricing valuation model as the investments are each subject to certain holding period restrictions. The holding period restrictions for a portion of our Sangamo investment expired during the second quarter of 2021. The fair value of this portion of our Sangamo investment was a Level 1 measurement as of December 31, 2021. For additional information on our investments in Sangamo, Denali and Sage common stock, please read </w:t>
      </w:r>
      <w:r>
        <w:rPr>
          <w:rFonts w:ascii="Arial" w:cs="Arial" w:eastAsia="Arial" w:hAnsi="Arial"/>
          <w:sz w:val="18"/>
          <w:szCs w:val="18"/>
          <w:i w:val="1"/>
          <w:iCs w:val="1"/>
          <w:color w:val="auto"/>
        </w:rPr>
        <w:t>Note 8, Financial Instruments</w:t>
      </w:r>
      <w:r>
        <w:rPr>
          <w:rFonts w:ascii="Arial" w:cs="Arial" w:eastAsia="Arial" w:hAnsi="Arial"/>
          <w:sz w:val="18"/>
          <w:szCs w:val="18"/>
          <w:color w:val="auto"/>
        </w:rPr>
        <w:t>, to these consolidated financial statements.</w:t>
      </w:r>
    </w:p>
    <w:p>
      <w:pPr>
        <w:spacing w:after="0" w:line="158"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the </w:t>
      </w:r>
      <w:r>
        <w:rPr>
          <w:rFonts w:ascii="Arial" w:cs="Arial" w:eastAsia="Arial" w:hAnsi="Arial"/>
          <w:sz w:val="18"/>
          <w:szCs w:val="18"/>
          <w:i w:val="1"/>
          <w:iCs w:val="1"/>
          <w:color w:val="auto"/>
        </w:rPr>
        <w:t>Fair Value Measurements section</w:t>
      </w:r>
      <w:r>
        <w:rPr>
          <w:rFonts w:ascii="Arial" w:cs="Arial" w:eastAsia="Arial" w:hAnsi="Arial"/>
          <w:sz w:val="18"/>
          <w:szCs w:val="18"/>
          <w:color w:val="auto"/>
        </w:rPr>
        <w:t xml:space="preserve"> within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these consolidated financial statements.</w:t>
      </w:r>
    </w:p>
    <w:p>
      <w:pPr>
        <w:spacing w:after="0" w:line="148"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following tables summarize the significant unobservable inputs in the fair value measurement of our contingent consideration obligations as of December 31, 2021 and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2900" w:type="dxa"/>
            <w:vAlign w:val="bottom"/>
            <w:tcBorders>
              <w:bottom w:val="single" w:sz="8" w:color="auto"/>
            </w:tcBorders>
            <w:gridSpan w:val="2"/>
            <w:shd w:val="clear" w:color="auto" w:fill="DBDBDB"/>
          </w:tcPr>
          <w:p>
            <w:pPr>
              <w:ind w:left="840"/>
              <w:spacing w:after="0"/>
              <w:rPr>
                <w:sz w:val="20"/>
                <w:szCs w:val="20"/>
                <w:color w:val="auto"/>
              </w:rPr>
            </w:pPr>
            <w:r>
              <w:rPr>
                <w:rFonts w:ascii="Arial" w:cs="Arial" w:eastAsia="Arial" w:hAnsi="Arial"/>
                <w:sz w:val="14"/>
                <w:szCs w:val="14"/>
                <w:b w:val="1"/>
                <w:bCs w:val="1"/>
                <w:color w:val="026DCE"/>
              </w:rPr>
              <w:t>As of December 31, 2021</w:t>
            </w:r>
          </w:p>
        </w:tc>
        <w:tc>
          <w:tcPr>
            <w:tcW w:w="16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Range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2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Contingent consideration</w:t>
            </w:r>
          </w:p>
        </w:tc>
        <w:tc>
          <w:tcPr>
            <w:tcW w:w="1160" w:type="dxa"/>
            <w:vAlign w:val="bottom"/>
            <w:vMerge w:val="restart"/>
            <w:shd w:val="clear" w:color="auto" w:fill="DBDBDB"/>
          </w:tcPr>
          <w:p>
            <w:pPr>
              <w:jc w:val="right"/>
              <w:ind w:right="288"/>
              <w:spacing w:after="0"/>
              <w:rPr>
                <w:sz w:val="20"/>
                <w:szCs w:val="20"/>
                <w:color w:val="auto"/>
              </w:rPr>
            </w:pPr>
            <w:r>
              <w:rPr>
                <w:rFonts w:ascii="Arial" w:cs="Arial" w:eastAsia="Arial" w:hAnsi="Arial"/>
                <w:sz w:val="14"/>
                <w:szCs w:val="14"/>
                <w:color w:val="026DCE"/>
              </w:rPr>
              <w:t>$209.1</w:t>
            </w:r>
          </w:p>
        </w:tc>
        <w:tc>
          <w:tcPr>
            <w:tcW w:w="100" w:type="dxa"/>
            <w:vAlign w:val="bottom"/>
          </w:tcPr>
          <w:p>
            <w:pPr>
              <w:spacing w:after="0"/>
              <w:rPr>
                <w:sz w:val="22"/>
                <w:szCs w:val="22"/>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color w:val="auto"/>
              </w:rPr>
              <w:t>Discounted cash flow</w:t>
            </w: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660" w:type="dxa"/>
            <w:vAlign w:val="bottom"/>
            <w:shd w:val="clear" w:color="auto" w:fill="DBDBDB"/>
          </w:tcPr>
          <w:p>
            <w:pPr>
              <w:jc w:val="center"/>
              <w:spacing w:after="0"/>
              <w:rPr>
                <w:sz w:val="20"/>
                <w:szCs w:val="20"/>
                <w:color w:val="auto"/>
              </w:rPr>
            </w:pPr>
            <w:r>
              <w:rPr>
                <w:rFonts w:ascii="Arial" w:cs="Arial" w:eastAsia="Arial" w:hAnsi="Arial"/>
                <w:sz w:val="14"/>
                <w:szCs w:val="14"/>
                <w:color w:val="026DCE"/>
              </w:rPr>
              <w:t>1.30%</w:t>
            </w:r>
          </w:p>
        </w:tc>
        <w:tc>
          <w:tcPr>
            <w:tcW w:w="1600" w:type="dxa"/>
            <w:vAlign w:val="bottom"/>
            <w:gridSpan w:val="2"/>
            <w:shd w:val="clear" w:color="auto" w:fill="DBDBDB"/>
          </w:tcPr>
          <w:p>
            <w:pPr>
              <w:jc w:val="right"/>
              <w:ind w:right="468"/>
              <w:spacing w:after="0"/>
              <w:rPr>
                <w:sz w:val="20"/>
                <w:szCs w:val="20"/>
                <w:color w:val="auto"/>
              </w:rPr>
            </w:pPr>
            <w:r>
              <w:rPr>
                <w:rFonts w:ascii="Arial" w:cs="Arial" w:eastAsia="Arial" w:hAnsi="Arial"/>
                <w:sz w:val="14"/>
                <w:szCs w:val="14"/>
                <w:color w:val="026DCE"/>
              </w:rPr>
              <w:t>1.30%</w:t>
            </w:r>
          </w:p>
        </w:tc>
        <w:tc>
          <w:tcPr>
            <w:tcW w:w="0" w:type="dxa"/>
            <w:vAlign w:val="bottom"/>
          </w:tcPr>
          <w:p>
            <w:pPr>
              <w:spacing w:after="0"/>
              <w:rPr>
                <w:sz w:val="1"/>
                <w:szCs w:val="1"/>
                <w:color w:val="auto"/>
              </w:rPr>
            </w:pPr>
          </w:p>
        </w:tc>
      </w:tr>
      <w:tr>
        <w:trPr>
          <w:trHeight w:val="45"/>
        </w:trPr>
        <w:tc>
          <w:tcPr>
            <w:tcW w:w="2280" w:type="dxa"/>
            <w:vAlign w:val="bottom"/>
            <w:gridSpan w:val="2"/>
            <w:vMerge w:val="continue"/>
          </w:tcPr>
          <w:p>
            <w:pPr>
              <w:spacing w:after="0"/>
              <w:rPr>
                <w:sz w:val="3"/>
                <w:szCs w:val="3"/>
                <w:color w:val="auto"/>
              </w:rPr>
            </w:pPr>
          </w:p>
        </w:tc>
        <w:tc>
          <w:tcPr>
            <w:tcW w:w="1160" w:type="dxa"/>
            <w:vAlign w:val="bottom"/>
            <w:vMerge w:val="continue"/>
            <w:shd w:val="clear" w:color="auto" w:fill="DBDBDB"/>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shd w:val="clear" w:color="auto" w:fill="DBDBDB"/>
          </w:tcPr>
          <w:p>
            <w:pPr>
              <w:spacing w:after="0"/>
              <w:rPr>
                <w:sz w:val="3"/>
                <w:szCs w:val="3"/>
                <w:color w:val="auto"/>
              </w:rPr>
            </w:pPr>
          </w:p>
        </w:tc>
        <w:tc>
          <w:tcPr>
            <w:tcW w:w="100" w:type="dxa"/>
            <w:vAlign w:val="bottom"/>
            <w:shd w:val="clear" w:color="auto" w:fill="DBDBDB"/>
          </w:tcPr>
          <w:p>
            <w:pPr>
              <w:spacing w:after="0"/>
              <w:rPr>
                <w:sz w:val="3"/>
                <w:szCs w:val="3"/>
                <w:color w:val="auto"/>
              </w:rPr>
            </w:pPr>
          </w:p>
        </w:tc>
        <w:tc>
          <w:tcPr>
            <w:tcW w:w="150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2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obligation</w:t>
            </w:r>
          </w:p>
        </w:tc>
        <w:tc>
          <w:tcPr>
            <w:tcW w:w="1160" w:type="dxa"/>
            <w:vAlign w:val="bottom"/>
            <w:vMerge w:val="continue"/>
            <w:shd w:val="clear" w:color="auto" w:fill="DBDBDB"/>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Expected timing of achievement of</w:t>
            </w:r>
          </w:p>
        </w:tc>
        <w:tc>
          <w:tcPr>
            <w:tcW w:w="1660" w:type="dxa"/>
            <w:vAlign w:val="bottom"/>
            <w:shd w:val="clear" w:color="auto" w:fill="DBDBDB"/>
          </w:tcPr>
          <w:p>
            <w:pPr>
              <w:spacing w:after="0"/>
              <w:rPr>
                <w:sz w:val="9"/>
                <w:szCs w:val="9"/>
                <w:color w:val="auto"/>
              </w:rPr>
            </w:pPr>
          </w:p>
        </w:tc>
        <w:tc>
          <w:tcPr>
            <w:tcW w:w="10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280" w:type="dxa"/>
            <w:vAlign w:val="bottom"/>
            <w:gridSpan w:val="2"/>
            <w:vMerge w:val="continue"/>
          </w:tcPr>
          <w:p>
            <w:pPr>
              <w:spacing w:after="0"/>
              <w:rPr>
                <w:sz w:val="3"/>
                <w:szCs w:val="3"/>
                <w:color w:val="auto"/>
              </w:rPr>
            </w:pPr>
          </w:p>
        </w:tc>
        <w:tc>
          <w:tcPr>
            <w:tcW w:w="1160" w:type="dxa"/>
            <w:vAlign w:val="bottom"/>
            <w:shd w:val="clear" w:color="auto" w:fill="DBDBDB"/>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2"/>
            <w:vMerge w:val="continue"/>
          </w:tcPr>
          <w:p>
            <w:pPr>
              <w:spacing w:after="0"/>
              <w:rPr>
                <w:sz w:val="3"/>
                <w:szCs w:val="3"/>
                <w:color w:val="auto"/>
              </w:rPr>
            </w:pPr>
          </w:p>
        </w:tc>
        <w:tc>
          <w:tcPr>
            <w:tcW w:w="1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26DCE"/>
              </w:rPr>
              <w:t>2023 to 2027</w:t>
            </w:r>
          </w:p>
        </w:tc>
        <w:tc>
          <w:tcPr>
            <w:tcW w:w="100" w:type="dxa"/>
            <w:vAlign w:val="bottom"/>
            <w:shd w:val="clear" w:color="auto" w:fill="DBDBDB"/>
          </w:tcPr>
          <w:p>
            <w:pPr>
              <w:spacing w:after="0"/>
              <w:rPr>
                <w:sz w:val="3"/>
                <w:szCs w:val="3"/>
                <w:color w:val="auto"/>
              </w:rPr>
            </w:pPr>
          </w:p>
        </w:tc>
        <w:tc>
          <w:tcPr>
            <w:tcW w:w="1500" w:type="dxa"/>
            <w:vAlign w:val="bottom"/>
            <w:vMerge w:val="restart"/>
            <w:shd w:val="clear" w:color="auto" w:fill="DBDBDB"/>
          </w:tcPr>
          <w:p>
            <w:pPr>
              <w:jc w:val="right"/>
              <w:ind w:right="608"/>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6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5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As of December 31, 2020</w:t>
            </w:r>
          </w:p>
        </w:tc>
        <w:tc>
          <w:tcPr>
            <w:tcW w:w="1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Valuation Technique</w:t>
            </w:r>
          </w:p>
        </w:tc>
        <w:tc>
          <w:tcPr>
            <w:tcW w:w="100" w:type="dxa"/>
            <w:vAlign w:val="bottom"/>
          </w:tcPr>
          <w:p>
            <w:pPr>
              <w:spacing w:after="0"/>
              <w:rPr>
                <w:sz w:val="15"/>
                <w:szCs w:val="15"/>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Range</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4"/>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Liabilities: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Contingent consideration</w:t>
            </w:r>
          </w:p>
        </w:tc>
        <w:tc>
          <w:tcPr>
            <w:tcW w:w="1160" w:type="dxa"/>
            <w:vAlign w:val="bottom"/>
            <w:vMerge w:val="restart"/>
          </w:tcPr>
          <w:p>
            <w:pPr>
              <w:jc w:val="right"/>
              <w:ind w:right="28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22"/>
                <w:szCs w:val="22"/>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color w:val="auto"/>
              </w:rPr>
              <w:t>Discounted cash flow</w:t>
            </w: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660" w:type="dxa"/>
            <w:vAlign w:val="bottom"/>
          </w:tcPr>
          <w:p>
            <w:pPr>
              <w:jc w:val="center"/>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2"/>
                <w:szCs w:val="22"/>
                <w:color w:val="auto"/>
              </w:rPr>
            </w:pPr>
          </w:p>
        </w:tc>
        <w:tc>
          <w:tcPr>
            <w:tcW w:w="1500" w:type="dxa"/>
            <w:vAlign w:val="bottom"/>
          </w:tcPr>
          <w:p>
            <w:pPr>
              <w:jc w:val="right"/>
              <w:ind w:right="46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44"/>
        </w:trPr>
        <w:tc>
          <w:tcPr>
            <w:tcW w:w="228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2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obligation</w:t>
            </w:r>
          </w:p>
        </w:tc>
        <w:tc>
          <w:tcPr>
            <w:tcW w:w="11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rPr>
              <w:t>Expected timing of achievement of</w:t>
            </w: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28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00" w:type="dxa"/>
            <w:vAlign w:val="bottom"/>
            <w:gridSpan w:val="2"/>
            <w:vMerge w:val="continue"/>
          </w:tcPr>
          <w:p>
            <w:pPr>
              <w:spacing w:after="0"/>
              <w:rPr>
                <w:sz w:val="3"/>
                <w:szCs w:val="3"/>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2021 to 2025</w:t>
            </w:r>
          </w:p>
        </w:tc>
        <w:tc>
          <w:tcPr>
            <w:tcW w:w="1500" w:type="dxa"/>
            <w:vAlign w:val="bottom"/>
            <w:vMerge w:val="restart"/>
          </w:tcPr>
          <w:p>
            <w:pPr>
              <w:jc w:val="right"/>
              <w:ind w:right="6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76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weighted average discount rate was calculated based on the relative fair value of our contingent consideration obligations. In addition, we apply various probabilities of technological and regulatory success, ranging from 10.9% to certain probability as of December 31, 2021, to the valuation models to estimate the fair values of our contingent consideration obligations.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Nonrecurring Fair Value Measurements</w:t>
      </w:r>
    </w:p>
    <w:p>
      <w:pPr>
        <w:spacing w:after="0" w:line="112"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 xml:space="preserve">For the year ended December 31, 2021, we recorded impairment charges of $365.0 million related to BIIB111 and $220.0 million related to BIIB112. As a result, the remaining book values associated with these programs were reduced to zero. For additional information, please read </w:t>
      </w:r>
      <w:r>
        <w:rPr>
          <w:rFonts w:ascii="Arial" w:cs="Arial" w:eastAsia="Arial" w:hAnsi="Arial"/>
          <w:sz w:val="18"/>
          <w:szCs w:val="18"/>
          <w:i w:val="1"/>
          <w:iCs w:val="1"/>
          <w:color w:val="auto"/>
        </w:rPr>
        <w:t>Note 6, Intangible Assets and Goodwill</w:t>
      </w:r>
      <w:r>
        <w:rPr>
          <w:rFonts w:ascii="Arial" w:cs="Arial" w:eastAsia="Arial" w:hAnsi="Arial"/>
          <w:sz w:val="18"/>
          <w:szCs w:val="18"/>
          <w:color w:val="auto"/>
        </w:rPr>
        <w:t>, to these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our debt instruments, which are Level 2 liabilities,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183"/>
        </w:trPr>
        <w:tc>
          <w:tcPr>
            <w:tcW w:w="7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0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83"/>
        </w:trPr>
        <w:tc>
          <w:tcPr>
            <w:tcW w:w="540" w:type="dxa"/>
            <w:vAlign w:val="bottom"/>
          </w:tcPr>
          <w:p>
            <w:pPr>
              <w:ind w:left="20"/>
              <w:spacing w:after="0"/>
              <w:rPr>
                <w:sz w:val="20"/>
                <w:szCs w:val="20"/>
                <w:color w:val="auto"/>
              </w:rPr>
            </w:pPr>
            <w:r>
              <w:rPr>
                <w:rFonts w:ascii="Arial" w:cs="Arial" w:eastAsia="Arial" w:hAnsi="Arial"/>
                <w:sz w:val="14"/>
                <w:szCs w:val="14"/>
                <w:color w:val="auto"/>
              </w:rPr>
              <w:t>3.625%</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1,020.0</w:t>
            </w:r>
          </w:p>
        </w:tc>
        <w:tc>
          <w:tcPr>
            <w:tcW w:w="80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1,054.1</w:t>
            </w:r>
          </w:p>
        </w:tc>
      </w:tr>
      <w:tr>
        <w:trPr>
          <w:trHeight w:val="190"/>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420" w:type="dxa"/>
            <w:vAlign w:val="bottom"/>
            <w:shd w:val="clear" w:color="auto" w:fill="DBDBDB"/>
          </w:tcPr>
          <w:p>
            <w:pPr>
              <w:spacing w:after="0"/>
              <w:rPr>
                <w:sz w:val="16"/>
                <w:szCs w:val="16"/>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1,895.2</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2,003.1</w:t>
            </w: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420" w:type="dxa"/>
            <w:vAlign w:val="bottom"/>
            <w:shd w:val="clear" w:color="auto" w:fill="DBDBDB"/>
          </w:tcPr>
          <w:p>
            <w:pPr>
              <w:spacing w:after="0"/>
              <w:rPr>
                <w:sz w:val="16"/>
                <w:szCs w:val="16"/>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1,475.9</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1,557.2</w:t>
            </w:r>
          </w:p>
        </w:tc>
      </w:tr>
      <w:tr>
        <w:trPr>
          <w:trHeight w:val="206"/>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6940" w:type="dxa"/>
            <w:vAlign w:val="bottom"/>
            <w:gridSpan w:val="2"/>
          </w:tcPr>
          <w:p>
            <w:pPr>
              <w:ind w:left="20"/>
              <w:spacing w:after="0" w:line="206" w:lineRule="exact"/>
              <w:rPr>
                <w:sz w:val="20"/>
                <w:szCs w:val="20"/>
                <w:color w:val="auto"/>
              </w:rPr>
            </w:pPr>
            <w:r>
              <w:rPr>
                <w:rFonts w:ascii="Arial" w:cs="Arial" w:eastAsia="Arial" w:hAnsi="Arial"/>
                <w:sz w:val="14"/>
                <w:szCs w:val="14"/>
                <w:color w:val="auto"/>
              </w:rPr>
              <w:t>Senior Notes due September 15, 2045</w:t>
            </w:r>
            <w:r>
              <w:rPr>
                <w:rFonts w:ascii="Arial" w:cs="Arial" w:eastAsia="Arial" w:hAnsi="Arial"/>
                <w:sz w:val="18"/>
                <w:szCs w:val="18"/>
                <w:color w:val="auto"/>
                <w:vertAlign w:val="superscript"/>
              </w:rPr>
              <w:t>(1)</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1,463.0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2,365.1</w:t>
            </w:r>
          </w:p>
        </w:tc>
      </w:tr>
      <w:tr>
        <w:trPr>
          <w:trHeight w:val="172"/>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69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420" w:type="dxa"/>
            <w:vAlign w:val="bottom"/>
            <w:shd w:val="clear" w:color="auto" w:fill="DBDBDB"/>
          </w:tcPr>
          <w:p>
            <w:pPr>
              <w:spacing w:after="0"/>
              <w:rPr>
                <w:sz w:val="14"/>
                <w:szCs w:val="14"/>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1,457.7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1,536.4</w:t>
            </w:r>
          </w:p>
        </w:tc>
      </w:tr>
      <w:tr>
        <w:trPr>
          <w:trHeight w:val="188"/>
        </w:trPr>
        <w:tc>
          <w:tcPr>
            <w:tcW w:w="540" w:type="dxa"/>
            <w:vAlign w:val="bottom"/>
          </w:tcPr>
          <w:p>
            <w:pPr>
              <w:ind w:left="20"/>
              <w:spacing w:after="0"/>
              <w:rPr>
                <w:sz w:val="20"/>
                <w:szCs w:val="20"/>
                <w:color w:val="auto"/>
              </w:rPr>
            </w:pPr>
            <w:r>
              <w:rPr>
                <w:rFonts w:ascii="Arial" w:cs="Arial" w:eastAsia="Arial" w:hAnsi="Arial"/>
                <w:sz w:val="14"/>
                <w:szCs w:val="14"/>
                <w:color w:val="auto"/>
              </w:rPr>
              <w:t>3.250%</w:t>
            </w:r>
          </w:p>
        </w:tc>
        <w:tc>
          <w:tcPr>
            <w:tcW w:w="6940" w:type="dxa"/>
            <w:vAlign w:val="bottom"/>
            <w:gridSpan w:val="2"/>
          </w:tcPr>
          <w:p>
            <w:pPr>
              <w:ind w:left="20"/>
              <w:spacing w:after="0" w:line="188" w:lineRule="exact"/>
              <w:rPr>
                <w:sz w:val="20"/>
                <w:szCs w:val="20"/>
                <w:color w:val="auto"/>
              </w:rPr>
            </w:pPr>
            <w:r>
              <w:rPr>
                <w:rFonts w:ascii="Arial" w:cs="Arial" w:eastAsia="Arial" w:hAnsi="Arial"/>
                <w:sz w:val="14"/>
                <w:szCs w:val="14"/>
                <w:color w:val="auto"/>
              </w:rPr>
              <w:t>Senior Notes due February 15, 2051</w:t>
            </w:r>
            <w:r>
              <w:rPr>
                <w:rFonts w:ascii="Arial" w:cs="Arial" w:eastAsia="Arial" w:hAnsi="Arial"/>
                <w:sz w:val="18"/>
                <w:szCs w:val="18"/>
                <w:color w:val="auto"/>
                <w:vertAlign w:val="superscript"/>
              </w:rPr>
              <w:t>(1)</w:t>
            </w:r>
          </w:p>
        </w:tc>
        <w:tc>
          <w:tcPr>
            <w:tcW w:w="420" w:type="dxa"/>
            <w:vAlign w:val="bottom"/>
            <w:tcBorders>
              <w:bottom w:val="single" w:sz="8" w:color="auto"/>
            </w:tcBorders>
            <w:shd w:val="clear" w:color="auto" w:fill="DBDBDB"/>
          </w:tcPr>
          <w:p>
            <w:pPr>
              <w:spacing w:after="0"/>
              <w:rPr>
                <w:sz w:val="16"/>
                <w:szCs w:val="16"/>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692.9</w:t>
            </w: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8,004.7</w:t>
            </w:r>
          </w:p>
        </w:tc>
        <w:tc>
          <w:tcPr>
            <w:tcW w:w="80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8,515.9</w:t>
            </w:r>
          </w:p>
        </w:tc>
      </w:tr>
      <w:tr>
        <w:trPr>
          <w:trHeight w:val="20"/>
        </w:trPr>
        <w:tc>
          <w:tcPr>
            <w:tcW w:w="5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7774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8">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36" w:lineRule="exact"/>
        <w:rPr>
          <w:sz w:val="20"/>
          <w:szCs w:val="20"/>
          <w:color w:val="auto"/>
        </w:rPr>
      </w:pPr>
    </w:p>
    <w:p>
      <w:pPr>
        <w:ind w:right="140" w:firstLine="8"/>
        <w:spacing w:after="0" w:line="241" w:lineRule="auto"/>
        <w:tabs>
          <w:tab w:leader="none" w:pos="154" w:val="left"/>
        </w:tabs>
        <w:numPr>
          <w:ilvl w:val="0"/>
          <w:numId w:val="99"/>
        </w:numPr>
        <w:rPr>
          <w:rFonts w:ascii="Arial" w:cs="Arial" w:eastAsia="Arial" w:hAnsi="Arial"/>
          <w:sz w:val="17"/>
          <w:szCs w:val="17"/>
          <w:color w:val="auto"/>
          <w:vertAlign w:val="superscript"/>
        </w:rPr>
      </w:pPr>
      <w:r>
        <w:rPr>
          <w:rFonts w:ascii="Arial" w:cs="Arial" w:eastAsia="Arial" w:hAnsi="Arial"/>
          <w:sz w:val="13"/>
          <w:szCs w:val="13"/>
          <w:color w:val="auto"/>
        </w:rPr>
        <w:t xml:space="preserve">In February 2021 we completed a private offer to exchange (Exchange Offer) our tendered 5.200% Senior Notes due September 15, 2045 (2045 Senior Notes), whereby approximately $624.6 million of our 2045 Senior Notes were exchanged for approximately $700.7 million of a new series of 3.250% Senior Notes due February 15, 2051 (2051 Senior Notes). For additional information on our Exchange Offer, please read </w:t>
      </w:r>
      <w:r>
        <w:rPr>
          <w:rFonts w:ascii="Arial" w:cs="Arial" w:eastAsia="Arial" w:hAnsi="Arial"/>
          <w:sz w:val="13"/>
          <w:szCs w:val="13"/>
          <w:i w:val="1"/>
          <w:iCs w:val="1"/>
          <w:color w:val="auto"/>
        </w:rPr>
        <w:t>Note 12, Indebtedness</w:t>
      </w:r>
      <w:r>
        <w:rPr>
          <w:rFonts w:ascii="Arial" w:cs="Arial" w:eastAsia="Arial" w:hAnsi="Arial"/>
          <w:sz w:val="13"/>
          <w:szCs w:val="13"/>
          <w:color w:val="auto"/>
        </w:rPr>
        <w:t>, to these consolidated financial statements.</w:t>
      </w:r>
    </w:p>
    <w:p>
      <w:pPr>
        <w:spacing w:after="0" w:line="92" w:lineRule="exact"/>
        <w:rPr>
          <w:sz w:val="20"/>
          <w:szCs w:val="20"/>
          <w:color w:val="auto"/>
        </w:rPr>
      </w:pPr>
    </w:p>
    <w:p>
      <w:pPr>
        <w:ind w:right="580" w:firstLine="405"/>
        <w:spacing w:after="0" w:line="261"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For additional information related to our Senior Notes,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to these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12"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In connection with our acquisitions of Convergence and Biogen International Neuroscience GmbH (BIN), we agreed to make additional payments based upon the achievement of certain milestone events. The following table provides a roll forward of the fair values of our contingent consideration obligations, which includes Level 3 measurements: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r>
      <w:tr>
        <w:trPr>
          <w:trHeight w:val="18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year</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259.8</w:t>
            </w:r>
          </w:p>
        </w:tc>
        <w:tc>
          <w:tcPr>
            <w:tcW w:w="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346.1</w:t>
            </w:r>
          </w:p>
        </w:tc>
      </w:tr>
      <w:tr>
        <w:trPr>
          <w:trHeight w:val="189"/>
        </w:trPr>
        <w:tc>
          <w:tcPr>
            <w:tcW w:w="652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36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(50.7)</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r>
      <w:tr>
        <w:trPr>
          <w:trHeight w:val="203"/>
        </w:trPr>
        <w:tc>
          <w:tcPr>
            <w:tcW w:w="6520" w:type="dxa"/>
            <w:vAlign w:val="bottom"/>
            <w:gridSpan w:val="2"/>
          </w:tcPr>
          <w:p>
            <w:pPr>
              <w:ind w:left="20"/>
              <w:spacing w:after="0"/>
              <w:rPr>
                <w:sz w:val="20"/>
                <w:szCs w:val="20"/>
                <w:color w:val="auto"/>
              </w:rPr>
            </w:pPr>
            <w:r>
              <w:rPr>
                <w:rFonts w:ascii="Arial" w:cs="Arial" w:eastAsia="Arial" w:hAnsi="Arial"/>
                <w:sz w:val="14"/>
                <w:szCs w:val="14"/>
                <w:color w:val="auto"/>
              </w:rPr>
              <w:t>Fair value, end of year</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209.1</w:t>
            </w:r>
          </w:p>
        </w:tc>
        <w:tc>
          <w:tcPr>
            <w:tcW w:w="74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259.8</w:t>
            </w: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As of December 31, 2021 and 2020, approximately $209.1 million and $110.3 million, respectively, of the fair value of our total contingent consideration obligations was reflected as a component of other long-term liabilities in our consolidated balance sheets with the remaining balance reflected as a component of accrued expense and other.</w:t>
      </w:r>
    </w:p>
    <w:p>
      <w:pPr>
        <w:spacing w:after="0" w:line="53"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For the year ended December 31, 2021, changes in the fair value of our contingent consideration obligations were primarily due to reductions in the probability of technical and regulatory success and delays in the expected timing of the achievement of certain remaining developmental milestones related to our vixotrigine programs.</w:t>
      </w:r>
    </w:p>
    <w:p>
      <w:pPr>
        <w:spacing w:after="0" w:line="148"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For the year ended December 31, 2020, changes in the fair value of our contingent consideration obligations were primarily due to our discontinuing development of BIIB054 for the potential treatment of Parkinson's disease, resulting in a reduction of our contingent consideration obligations of $51.0 million as well as other changes in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probability and the expected timing of the achievement of certain remaining developmental milestones, changes in the interest rates used to revalue our contingent consideration liabilities and the passage of time.</w:t>
      </w:r>
    </w:p>
    <w:p>
      <w:pPr>
        <w:spacing w:after="0" w:line="144"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 xml:space="preserve">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these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Convergence Pharmaceuticals Holdings Limited</w:t>
      </w:r>
    </w:p>
    <w:p>
      <w:pPr>
        <w:spacing w:after="0" w:line="122"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In connection with our acquisition of Convergence in February 2015 we recorded a contingent consideration obligation of $274.5 million. As of December 31, 2021 and 2020, the fair value of this contingent consideration obligation was $209.1 million and $259.8 million, respectively. Our most recent valuation was determined based upon net cash flow projections of $400.0 million, probability weighted and discounted using a rate of 1.3%, which is a measure of the credit risk associated with settling the liability.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Biogen International Neuroscience GmbH</w:t>
      </w:r>
    </w:p>
    <w:p>
      <w:pPr>
        <w:spacing w:after="0" w:line="108"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In connection with our acquisition of BIN in December 2010 we recorded a contingent consideration obligation of $ 81.2 million. We discontinued further development of BIIB054 for the potential treatment of Parkinson's disease based on the results of a Phase 2 study of BIIB054. Additionally, during the third and fourth quarters of 2020 we discontinued other programs related to our acquisition of BIN for which we had immaterial contingent consideration obligations. As a result, the fair value of the contingent consideration obligations related to our acquisition of BIN was adjusted to zero, resulting in a gain of $101.5 million for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Acquired IPR&amp;D</w:t>
      </w:r>
    </w:p>
    <w:p>
      <w:pPr>
        <w:spacing w:after="0" w:line="12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fair values of the acquired IPR&amp;D assets were based on a probability-adjusted discounted cash flow calculation using Level 3 fair value measurements and inputs including estimated revenue and probabilities of success. These assets are tested for impairment annually until commercialization, after which time the acquired IPR&amp;D will be amortized over its estimated useful life using the economic consumption method.</w:t>
      </w:r>
    </w:p>
    <w:p>
      <w:pPr>
        <w:spacing w:after="0" w:line="82"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In connection with our acquisition of NST, we recognized $480.0 million and $220.0 million of acquired IPR&amp;D intangible assets for BIIB111 and BIIB112, respectively. During the fourth quarter of 2020 we recognized an impairment charge of $115.0 million related to BIIB111. During the third quarter of 2021 we suspended further development on these programs and recognized an impairment charge of $365.0 million related to BIIB111 and an impairment charge of $220.0 million related to BIIB112, reducing the fair value of these IPR&amp;D intangible assets to zero.</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our acquisition of BIN, we recognized a $110.9 million acquired IPR&amp;D intangible asset. During the fourth quarter of</w:t>
      </w:r>
    </w:p>
    <w:p>
      <w:pPr>
        <w:spacing w:after="0" w:line="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2020 we discontinued further development of BIIB054 for the potential treatment of Parkinson's disease and recognized an impairment charge of $75.4 million to reduce the fair value of the IPR&amp;D intangible asset to zero.</w:t>
      </w:r>
    </w:p>
    <w:p>
      <w:pPr>
        <w:spacing w:after="0" w:line="76"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In connection with our acquisition of Stromedix Inc., we recognized a $219.2 million acquired IPR&amp;D intangible asset. During the third quarter of 2019 we discontinued the Phase 2b study of BG00011 for the potential treatment of IPF and recognized an impairment charge of $215.9 million to reduce the fair value of the IPR&amp;D intangible asset to zero.</w:t>
      </w:r>
    </w:p>
    <w:p>
      <w:pPr>
        <w:spacing w:after="0" w:line="62"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additional information on our IPR&amp;D intangible assets, including a discussion of our most significant assumptions,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6, Intangible Assets and Goodwill</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420" w:hanging="412"/>
        <w:spacing w:after="0"/>
        <w:tabs>
          <w:tab w:leader="none" w:pos="420" w:val="left"/>
        </w:tabs>
        <w:numPr>
          <w:ilvl w:val="0"/>
          <w:numId w:val="100"/>
        </w:numPr>
        <w:rPr>
          <w:rFonts w:ascii="Arial" w:cs="Arial" w:eastAsia="Arial" w:hAnsi="Arial"/>
          <w:sz w:val="22"/>
          <w:szCs w:val="22"/>
          <w:b w:val="1"/>
          <w:bCs w:val="1"/>
          <w:color w:val="578196"/>
        </w:rPr>
      </w:pPr>
      <w:r>
        <w:rPr>
          <w:rFonts w:ascii="Arial" w:cs="Arial" w:eastAsia="Arial" w:hAnsi="Arial"/>
          <w:sz w:val="22"/>
          <w:szCs w:val="22"/>
          <w:b w:val="1"/>
          <w:bCs w:val="1"/>
          <w:color w:val="578196"/>
        </w:rPr>
        <w:t>FINANCIAL INSTRUMENTS</w:t>
      </w:r>
    </w:p>
    <w:p>
      <w:pPr>
        <w:spacing w:after="0" w:line="11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247.6</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190"/>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48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200.0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48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901.6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505.1</w:t>
            </w:r>
          </w:p>
        </w:tc>
      </w:tr>
      <w:tr>
        <w:trPr>
          <w:trHeight w:val="188"/>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48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283.0</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203"/>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1,632.2</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626.9</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our short-term debt securities approximate fair value due to their short-term maturities.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marketable equity securities gains (losses) are recorded in other income (expense), net in our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marketable debt and equity securities, classified as available for sale: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ind w:right="188"/>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2"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debt securities:</w:t>
            </w:r>
          </w:p>
        </w:tc>
        <w:tc>
          <w:tcPr>
            <w:tcW w:w="260" w:type="dxa"/>
            <w:vAlign w:val="bottom"/>
            <w:shd w:val="clear" w:color="auto" w:fill="DDDDDD"/>
          </w:tcPr>
          <w:p>
            <w:pPr>
              <w:spacing w:after="0"/>
              <w:rPr>
                <w:sz w:val="15"/>
                <w:szCs w:val="15"/>
                <w:color w:val="auto"/>
              </w:rPr>
            </w:pPr>
          </w:p>
        </w:tc>
        <w:tc>
          <w:tcPr>
            <w:tcW w:w="13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3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22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723.6</w:t>
            </w:r>
          </w:p>
        </w:tc>
        <w:tc>
          <w:tcPr>
            <w:tcW w:w="360" w:type="dxa"/>
            <w:vAlign w:val="bottom"/>
            <w:gridSpan w:val="2"/>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0.1</w:t>
            </w:r>
          </w:p>
        </w:tc>
        <w:tc>
          <w:tcPr>
            <w:tcW w:w="360" w:type="dxa"/>
            <w:vAlign w:val="bottom"/>
            <w:gridSpan w:val="2"/>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723.4</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385.4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0.2</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384.8</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817.0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816.6</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377.0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w:t>
            </w: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376.1</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131.8</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1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131.1</w:t>
            </w:r>
          </w:p>
        </w:tc>
        <w:tc>
          <w:tcPr>
            <w:tcW w:w="0" w:type="dxa"/>
            <w:vAlign w:val="bottom"/>
          </w:tcPr>
          <w:p>
            <w:pPr>
              <w:spacing w:after="0"/>
              <w:rPr>
                <w:sz w:val="1"/>
                <w:szCs w:val="1"/>
                <w:color w:val="auto"/>
              </w:rPr>
            </w:pPr>
          </w:p>
        </w:tc>
      </w:tr>
      <w:tr>
        <w:trPr>
          <w:trHeight w:val="223"/>
        </w:trPr>
        <w:tc>
          <w:tcPr>
            <w:tcW w:w="4660" w:type="dxa"/>
            <w:vAlign w:val="bottom"/>
            <w:gridSpan w:val="2"/>
          </w:tcPr>
          <w:p>
            <w:pPr>
              <w:ind w:left="22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2,435.9</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0.4</w:t>
            </w:r>
          </w:p>
        </w:tc>
        <w:tc>
          <w:tcPr>
            <w:tcW w:w="360" w:type="dxa"/>
            <w:vAlign w:val="bottom"/>
            <w:gridSpan w:val="2"/>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2,433.1</w:t>
            </w:r>
          </w:p>
        </w:tc>
        <w:tc>
          <w:tcPr>
            <w:tcW w:w="0" w:type="dxa"/>
            <w:vAlign w:val="bottom"/>
          </w:tcPr>
          <w:p>
            <w:pPr>
              <w:spacing w:after="0"/>
              <w:rPr>
                <w:sz w:val="1"/>
                <w:szCs w:val="1"/>
                <w:color w:val="auto"/>
              </w:rPr>
            </w:pPr>
          </w:p>
        </w:tc>
      </w:tr>
      <w:tr>
        <w:trPr>
          <w:trHeight w:val="412"/>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top w:val="single" w:sz="8" w:color="auto"/>
            </w:tcBorders>
            <w:shd w:val="clear" w:color="auto" w:fill="DBDBDB"/>
          </w:tcPr>
          <w:p>
            <w:pPr>
              <w:spacing w:after="0"/>
              <w:rPr>
                <w:sz w:val="24"/>
                <w:szCs w:val="24"/>
                <w:color w:val="auto"/>
              </w:rPr>
            </w:pPr>
          </w:p>
        </w:tc>
        <w:tc>
          <w:tcPr>
            <w:tcW w:w="130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260" w:type="dxa"/>
            <w:vAlign w:val="bottom"/>
            <w:tcBorders>
              <w:top w:val="single" w:sz="8" w:color="auto"/>
            </w:tcBorders>
            <w:shd w:val="clear" w:color="auto" w:fill="DBDBDB"/>
          </w:tcPr>
          <w:p>
            <w:pPr>
              <w:spacing w:after="0"/>
              <w:rPr>
                <w:sz w:val="24"/>
                <w:szCs w:val="24"/>
                <w:color w:val="auto"/>
              </w:rPr>
            </w:pPr>
          </w:p>
        </w:tc>
        <w:tc>
          <w:tcPr>
            <w:tcW w:w="132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260" w:type="dxa"/>
            <w:vAlign w:val="bottom"/>
            <w:tcBorders>
              <w:top w:val="single" w:sz="8" w:color="auto"/>
            </w:tcBorders>
            <w:shd w:val="clear" w:color="auto" w:fill="DBDBDB"/>
          </w:tcPr>
          <w:p>
            <w:pPr>
              <w:spacing w:after="0"/>
              <w:rPr>
                <w:sz w:val="24"/>
                <w:szCs w:val="24"/>
                <w:color w:val="auto"/>
              </w:rPr>
            </w:pPr>
          </w:p>
        </w:tc>
        <w:tc>
          <w:tcPr>
            <w:tcW w:w="130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22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33.9</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9.9</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43.8</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1,133.1</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151.0</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(279.4)</w:t>
            </w:r>
          </w:p>
        </w:tc>
        <w:tc>
          <w:tcPr>
            <w:tcW w:w="1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1,004.7</w:t>
            </w:r>
          </w:p>
        </w:tc>
        <w:tc>
          <w:tcPr>
            <w:tcW w:w="0" w:type="dxa"/>
            <w:vAlign w:val="bottom"/>
          </w:tcPr>
          <w:p>
            <w:pPr>
              <w:spacing w:after="0"/>
              <w:rPr>
                <w:sz w:val="1"/>
                <w:szCs w:val="1"/>
                <w:color w:val="auto"/>
              </w:rPr>
            </w:pPr>
          </w:p>
        </w:tc>
      </w:tr>
      <w:tr>
        <w:trPr>
          <w:trHeight w:val="20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1,167.0</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160.9</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(279.4)</w:t>
            </w:r>
          </w:p>
        </w:tc>
        <w:tc>
          <w:tcPr>
            <w:tcW w:w="460" w:type="dxa"/>
            <w:vAlign w:val="bottom"/>
            <w:gridSpan w:val="2"/>
            <w:shd w:val="clear" w:color="auto" w:fill="DBDBDB"/>
          </w:tcPr>
          <w:p>
            <w:pPr>
              <w:jc w:val="right"/>
              <w:ind w:right="240"/>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1,048.5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As of December 31, 2020</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142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debt securities: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897.8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380.7</w:t>
            </w: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8"/>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83"/>
        </w:trPr>
        <w:tc>
          <w:tcPr>
            <w:tcW w:w="4660" w:type="dxa"/>
            <w:vAlign w:val="bottom"/>
            <w:gridSpan w:val="2"/>
          </w:tcPr>
          <w:p>
            <w:pPr>
              <w:jc w:val="right"/>
              <w:ind w:right="228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2,049.1</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2,051.0</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88"/>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1,887.8</w:t>
            </w:r>
          </w:p>
        </w:tc>
        <w:tc>
          <w:tcPr>
            <w:tcW w:w="0" w:type="dxa"/>
            <w:vAlign w:val="bottom"/>
          </w:tcPr>
          <w:p>
            <w:pPr>
              <w:spacing w:after="0"/>
              <w:rPr>
                <w:sz w:val="1"/>
                <w:szCs w:val="1"/>
                <w:color w:val="auto"/>
              </w:rPr>
            </w:pPr>
          </w:p>
        </w:tc>
      </w:tr>
      <w:tr>
        <w:trPr>
          <w:trHeight w:val="183"/>
        </w:trPr>
        <w:tc>
          <w:tcPr>
            <w:tcW w:w="4660" w:type="dxa"/>
            <w:vAlign w:val="bottom"/>
            <w:gridSpan w:val="2"/>
          </w:tcPr>
          <w:p>
            <w:pPr>
              <w:jc w:val="right"/>
              <w:ind w:right="230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749.7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Summary of Contractual Maturities: Available-for-Sale Debt Securities</w:t>
      </w:r>
    </w:p>
    <w:p>
      <w:pPr>
        <w:spacing w:after="0" w:line="126"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 estimated fair value and amortized cost of our marketable debt securities available-for-sale by contractual maturity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2960" w:type="dxa"/>
            <w:vAlign w:val="bottom"/>
            <w:tcBorders>
              <w:bottom w:val="single" w:sz="8" w:color="auto"/>
            </w:tcBorders>
            <w:gridSpan w:val="5"/>
            <w:shd w:val="clear" w:color="auto" w:fill="DDDDDD"/>
          </w:tcPr>
          <w:p>
            <w:pPr>
              <w:jc w:val="right"/>
              <w:ind w:right="708"/>
              <w:spacing w:after="0"/>
              <w:rPr>
                <w:sz w:val="20"/>
                <w:szCs w:val="20"/>
                <w:color w:val="auto"/>
              </w:rPr>
            </w:pPr>
            <w:r>
              <w:rPr>
                <w:rFonts w:ascii="Arial" w:cs="Arial" w:eastAsia="Arial" w:hAnsi="Arial"/>
                <w:sz w:val="14"/>
                <w:szCs w:val="14"/>
                <w:b w:val="1"/>
                <w:bCs w:val="1"/>
                <w:color w:val="2573BA"/>
              </w:rPr>
              <w:t>As of December 31,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Estimated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300" w:type="dxa"/>
            <w:vAlign w:val="bottom"/>
          </w:tcPr>
          <w:p>
            <w:pPr>
              <w:jc w:val="right"/>
              <w:ind w:right="368"/>
              <w:spacing w:after="0" w:line="142"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1,541.1</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1,541.7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1,278.9</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1,278.6</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8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868.2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870.2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721.3</w:t>
            </w:r>
          </w:p>
        </w:tc>
        <w:tc>
          <w:tcPr>
            <w:tcW w:w="0" w:type="dxa"/>
            <w:vAlign w:val="bottom"/>
          </w:tcPr>
          <w:p>
            <w:pPr>
              <w:spacing w:after="0"/>
              <w:rPr>
                <w:sz w:val="1"/>
                <w:szCs w:val="1"/>
                <w:color w:val="auto"/>
              </w:rPr>
            </w:pP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8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23.8</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24.0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Total marketable debt securities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2,433.1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2,435.9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2,051.0</w:t>
            </w:r>
          </w:p>
        </w:tc>
        <w:tc>
          <w:tcPr>
            <w:tcW w:w="12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2,049.1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The average maturity of our marketable debt securities available-for-sale as of December 31, 2021 and 2020, was approximately 10 months and 11 months,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Proceeds from Marketable Debt Securities</w:t>
      </w:r>
    </w:p>
    <w:p>
      <w:pPr>
        <w:spacing w:after="0" w:line="126"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3,405.4</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7,299.4</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6,007.0</w:t>
            </w:r>
          </w:p>
        </w:tc>
      </w:tr>
      <w:tr>
        <w:trPr>
          <w:trHeight w:val="190"/>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3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8"/>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3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161"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Realized losses for the year ended December 31, 2021, 2020 and 2019, primarily relate to sales of corporate bonds, agency mortgage-backed securities and other asset-backed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Strategic Investments</w:t>
      </w:r>
    </w:p>
    <w:p>
      <w:pPr>
        <w:spacing w:after="0" w:line="112" w:lineRule="exact"/>
        <w:rPr>
          <w:sz w:val="20"/>
          <w:szCs w:val="20"/>
          <w:color w:val="auto"/>
        </w:rPr>
      </w:pPr>
    </w:p>
    <w:p>
      <w:pPr>
        <w:jc w:val="both"/>
        <w:ind w:right="500" w:firstLine="445"/>
        <w:spacing w:after="0" w:line="256" w:lineRule="auto"/>
        <w:rPr>
          <w:sz w:val="20"/>
          <w:szCs w:val="20"/>
          <w:color w:val="auto"/>
        </w:rPr>
      </w:pPr>
      <w:r>
        <w:rPr>
          <w:rFonts w:ascii="Arial" w:cs="Arial" w:eastAsia="Arial" w:hAnsi="Arial"/>
          <w:sz w:val="18"/>
          <w:szCs w:val="18"/>
          <w:color w:val="auto"/>
        </w:rPr>
        <w:t>As of December 31, 2021 and 2020, our strategic investment portfolio was comprised of investments totaling $1,110.3 million and $2,024.6 million, respectively, which are included in other current assets and investments and other assets in our consolidated balance sheets.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7, Fair Value Measurements</w:t>
      </w:r>
      <w:r>
        <w:rPr>
          <w:rFonts w:ascii="Arial" w:cs="Arial" w:eastAsia="Arial" w:hAnsi="Arial"/>
          <w:sz w:val="18"/>
          <w:szCs w:val="18"/>
          <w:color w:val="auto"/>
        </w:rPr>
        <w:t>, to these consolidated financial statements, venture capital funds where the underlying investments are in equity securities of certain biotechnology companies and non-marketable equity securities.</w:t>
      </w:r>
    </w:p>
    <w:p>
      <w:pPr>
        <w:spacing w:after="0" w:line="80" w:lineRule="exact"/>
        <w:rPr>
          <w:sz w:val="20"/>
          <w:szCs w:val="20"/>
          <w:color w:val="auto"/>
        </w:rPr>
      </w:pPr>
    </w:p>
    <w:p>
      <w:pPr>
        <w:ind w:right="340" w:firstLine="445"/>
        <w:spacing w:after="0" w:line="235" w:lineRule="auto"/>
        <w:rPr>
          <w:sz w:val="20"/>
          <w:szCs w:val="20"/>
          <w:color w:val="auto"/>
        </w:rPr>
      </w:pPr>
      <w:r>
        <w:rPr>
          <w:rFonts w:ascii="Arial" w:cs="Arial" w:eastAsia="Arial" w:hAnsi="Arial"/>
          <w:sz w:val="18"/>
          <w:szCs w:val="18"/>
          <w:color w:val="auto"/>
        </w:rPr>
        <w:t>The decrease in our strategic investment portfolio for the year ended December 31, 2021, was primarily due to decreases in the fair value of our investments in Denali, Ionis Pharmaceuticals, Inc. (Ionis), Sage and Sangamo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November 2020 we entered into a global collaboration and license agreement with Sage. In connection with the closing of this transaction in December 2020 we purchased $650.0 million of Sage common stock, or approximately 6.2 million shares at approximately $104.14 per share, which are subject to transfer restrictions.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Sage's common stock and a dividend yield of zero based upon the fact that Sage and similar companies generally have not historically granted cash dividends.</w:t>
      </w:r>
    </w:p>
    <w:p>
      <w:pPr>
        <w:spacing w:after="0" w:line="52" w:lineRule="exact"/>
        <w:rPr>
          <w:sz w:val="20"/>
          <w:szCs w:val="20"/>
          <w:color w:val="auto"/>
        </w:rPr>
      </w:pPr>
    </w:p>
    <w:p>
      <w:pPr>
        <w:ind w:right="1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Denali Therapeutics Inc.</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2020 we entered into a collaboration and license agreement with Denali. As part of this collaboration we purchased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$465.0 million of Denali common stock in September 2020, or approximately 13 million shares at approximately $34.94 per share, which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to transfer restrictions. This investment is classified as a Level 2 marketable equity security due to certain holding period restrictions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is remeasured each reporting period and carried at fair value. The effects of certain holding period restrictions on the investment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estimated using an option pricing valuation model. The most significant assumptions within the model are the term of the restrictions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price volatility, which is based upon historical volatility of similar companies. We also use a constant maturity risk free-interest rate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match the remaining term of the restrictions on our investment in Denali's common stock and a dividend yield of zero based upon the fact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Denali and similar companies generally have not historically granted cash dividends.</w:t>
      </w:r>
    </w:p>
    <w:p>
      <w:pPr>
        <w:spacing w:after="0" w:line="86" w:lineRule="exact"/>
        <w:rPr>
          <w:sz w:val="20"/>
          <w:szCs w:val="20"/>
          <w:color w:val="auto"/>
        </w:rPr>
      </w:pPr>
    </w:p>
    <w:p>
      <w:pPr>
        <w:ind w:right="18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agreement with Denali,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Sangamo Therapeutics, Inc.</w:t>
      </w:r>
    </w:p>
    <w:p>
      <w:pPr>
        <w:spacing w:after="0" w:line="18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February 2020 we entered into a collaboration and license agreement with Sangamo. In connection with the closing of this transaction in April 2020 we purchased $225.0 million of Sangamo common stock, or approximately 24 million shares at approximately $9.21 per share, of which approximately 12 million shares remain subject to transfer restrictions as of December 31, 2021. This equity method investment will be remeasured each reporting period and carried at fair value due to our election of the fair value option.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Sangamo's common stock and a dividend yield of zero based upon the fact that Sangamo and similar companies generally have not historically granted cash dividends.</w:t>
      </w:r>
    </w:p>
    <w:p>
      <w:pPr>
        <w:spacing w:after="0" w:line="140" w:lineRule="exact"/>
        <w:rPr>
          <w:sz w:val="20"/>
          <w:szCs w:val="20"/>
          <w:color w:val="auto"/>
        </w:rPr>
      </w:pPr>
    </w:p>
    <w:p>
      <w:pPr>
        <w:ind w:right="120" w:firstLine="243"/>
        <w:spacing w:after="0" w:line="282" w:lineRule="auto"/>
        <w:rPr>
          <w:sz w:val="20"/>
          <w:szCs w:val="20"/>
          <w:color w:val="auto"/>
        </w:rPr>
      </w:pPr>
      <w:r>
        <w:rPr>
          <w:rFonts w:ascii="Arial" w:cs="Arial" w:eastAsia="Arial" w:hAnsi="Arial"/>
          <w:sz w:val="18"/>
          <w:szCs w:val="18"/>
          <w:color w:val="auto"/>
        </w:rPr>
        <w:t xml:space="preserve">For additional information on our collaboration agreement with Sangamo,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Samsung Bioepis</w:t>
      </w:r>
    </w:p>
    <w:p>
      <w:pPr>
        <w:spacing w:after="0" w:line="12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June 2018 we exercised our option under our joint venture agreement with Samsung BioLogics to increase our ownership percentage in Samsung Bioepis from approximately 5.0% to approximately 49.9%. The share purchase transaction was completed in November 2018 and, upon closing, we paid 759.5 billion South Korean won ($676.6 million) to Samsung BioLogics.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As of December 31, 2021 and 2020, the carrying value of our equity method investment in Samsung Bioepis totaled 713.3 billion South Korean won ($599.9 million) and 673.8 billion South Korean won ($620.2 million), respectively, which is classified as a component of investments and other assets within our consolidated balance sheets.</w:t>
      </w:r>
    </w:p>
    <w:p>
      <w:pPr>
        <w:spacing w:after="0" w:line="62" w:lineRule="exact"/>
        <w:rPr>
          <w:sz w:val="20"/>
          <w:szCs w:val="20"/>
          <w:color w:val="auto"/>
        </w:rPr>
      </w:pPr>
    </w:p>
    <w:p>
      <w:pPr>
        <w:ind w:right="4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7" w:lineRule="exact"/>
        <w:rPr>
          <w:sz w:val="20"/>
          <w:szCs w:val="20"/>
          <w:color w:val="auto"/>
        </w:rPr>
      </w:pPr>
    </w:p>
    <w:p>
      <w:pPr>
        <w:ind w:left="420" w:hanging="412"/>
        <w:spacing w:after="0"/>
        <w:tabs>
          <w:tab w:leader="none" w:pos="420" w:val="left"/>
        </w:tabs>
        <w:numPr>
          <w:ilvl w:val="0"/>
          <w:numId w:val="101"/>
        </w:numPr>
        <w:rPr>
          <w:rFonts w:ascii="Arial" w:cs="Arial" w:eastAsia="Arial" w:hAnsi="Arial"/>
          <w:sz w:val="22"/>
          <w:szCs w:val="22"/>
          <w:b w:val="1"/>
          <w:bCs w:val="1"/>
          <w:color w:val="578196"/>
        </w:rPr>
      </w:pPr>
      <w:r>
        <w:rPr>
          <w:rFonts w:ascii="Arial" w:cs="Arial" w:eastAsia="Arial" w:hAnsi="Arial"/>
          <w:sz w:val="22"/>
          <w:szCs w:val="22"/>
          <w:b w:val="1"/>
          <w:bCs w:val="1"/>
          <w:color w:val="578196"/>
        </w:rPr>
        <w:t>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Foreign Currency Forward Contracts - Hedging Instruments</w:t>
      </w:r>
    </w:p>
    <w:p>
      <w:pPr>
        <w:spacing w:after="0" w:line="112" w:lineRule="exact"/>
        <w:rPr>
          <w:sz w:val="20"/>
          <w:szCs w:val="20"/>
          <w:color w:val="auto"/>
        </w:rPr>
      </w:pPr>
    </w:p>
    <w:p>
      <w:pPr>
        <w:ind w:right="280" w:firstLine="445"/>
        <w:spacing w:after="0" w:line="254"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In order to mitigate these changes, we use foreign currency forward contracts to lock in exchange rates associated with a portion of our forecasted international revenue and operating expense.</w:t>
      </w:r>
    </w:p>
    <w:p>
      <w:pPr>
        <w:spacing w:after="0" w:line="150"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Foreign currency forward contracts in effect as of December 31, 2021 and 2020, had durations of 1 to 15 months and 1 to 24 months, respectively. These contracts have been designated as cash flow hedges and unrealized gains or losses on the portion of these foreign currency forward contracts that are included in the effectiveness test are reported in accumulated other comprehensive income (loss) (referred to as AOCI in the table below). Realized gains and losses of such contracts are recognized in revenue when the sale of product in the currency being hedged is recognized and in operating expense when the expense in the currency being hedged is recorded. We recognize all cash flow hedge reclassifications from accumulated other comprehensive income (loss) and fair value changes of excluded portions in the same line item in our consolidated statements of income that has been impacted by the hedged item.</w:t>
      </w:r>
    </w:p>
    <w:p>
      <w:pPr>
        <w:spacing w:after="0" w:line="153"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notional value of foreign currency forward contracts that were entered into to hedge forecasted revenue and operating expense is summarized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spacing w:after="0"/>
              <w:rPr>
                <w:sz w:val="14"/>
                <w:szCs w:val="14"/>
                <w:color w:val="auto"/>
              </w:rPr>
            </w:pPr>
          </w:p>
        </w:tc>
      </w:tr>
      <w:tr>
        <w:trPr>
          <w:trHeight w:val="175"/>
        </w:trPr>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5"/>
                <w:szCs w:val="15"/>
                <w:color w:val="auto"/>
              </w:rPr>
            </w:pPr>
          </w:p>
        </w:tc>
      </w:t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1,828.0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2,979.1</w:t>
            </w:r>
          </w:p>
        </w:tc>
      </w:tr>
      <w:tr>
        <w:trPr>
          <w:trHeight w:val="19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166.2</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250.6</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Japanese yen</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4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59.9</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2,126.8</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3,229.7</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The pre-tax portion of the fair value of these foreign currency forward contracts that were included in accumulated other comprehensive income (loss) in total equity is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18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520" w:type="dxa"/>
            <w:vAlign w:val="bottom"/>
            <w:tcBorders>
              <w:bottom w:val="single" w:sz="8" w:color="auto"/>
            </w:tcBorders>
            <w:shd w:val="clear" w:color="auto" w:fill="DDDDDD"/>
          </w:tcPr>
          <w:p>
            <w:pPr>
              <w:spacing w:after="0"/>
              <w:rPr>
                <w:sz w:val="15"/>
                <w:szCs w:val="15"/>
                <w:color w:val="auto"/>
              </w:rPr>
            </w:pPr>
          </w:p>
        </w:tc>
        <w:tc>
          <w:tcPr>
            <w:tcW w:w="170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2019</w:t>
            </w:r>
          </w:p>
        </w:tc>
      </w:tr>
      <w:tr>
        <w:trPr>
          <w:trHeight w:val="183"/>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60.8</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80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center"/>
              <w:ind w:left="1308"/>
              <w:spacing w:after="0"/>
              <w:rPr>
                <w:sz w:val="20"/>
                <w:szCs w:val="20"/>
                <w:color w:val="auto"/>
              </w:rPr>
            </w:pPr>
            <w:r>
              <w:rPr>
                <w:rFonts w:ascii="Arial" w:cs="Arial" w:eastAsia="Arial" w:hAnsi="Arial"/>
                <w:sz w:val="14"/>
                <w:szCs w:val="14"/>
                <w:color w:val="auto"/>
              </w:rPr>
              <w:t>6.9</w:t>
            </w: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520" w:type="dxa"/>
            <w:vAlign w:val="bottom"/>
            <w:tcBorders>
              <w:bottom w:val="single" w:sz="8" w:color="auto"/>
            </w:tcBorders>
            <w:shd w:val="clear" w:color="auto" w:fill="DBDBDB"/>
          </w:tcPr>
          <w:p>
            <w:pPr>
              <w:spacing w:after="0"/>
              <w:rPr>
                <w:sz w:val="16"/>
                <w:szCs w:val="16"/>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1288"/>
              <w:spacing w:after="0"/>
              <w:rPr>
                <w:sz w:val="20"/>
                <w:szCs w:val="20"/>
                <w:color w:val="auto"/>
              </w:rPr>
            </w:pPr>
            <w:r>
              <w:rPr>
                <w:rFonts w:ascii="Arial" w:cs="Arial" w:eastAsia="Arial" w:hAnsi="Arial"/>
                <w:sz w:val="14"/>
                <w:szCs w:val="14"/>
                <w:color w:val="auto"/>
              </w:rPr>
              <w:t>(6.4)</w:t>
            </w:r>
          </w:p>
        </w:tc>
      </w:tr>
      <w:tr>
        <w:trPr>
          <w:trHeight w:val="203"/>
        </w:trPr>
        <w:tc>
          <w:tcPr>
            <w:tcW w:w="43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53.8</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7"/>
                <w:szCs w:val="17"/>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center"/>
              <w:ind w:left="1308"/>
              <w:spacing w:after="0"/>
              <w:rPr>
                <w:sz w:val="20"/>
                <w:szCs w:val="20"/>
                <w:color w:val="auto"/>
              </w:rPr>
            </w:pPr>
            <w:r>
              <w:rPr>
                <w:rFonts w:ascii="Arial" w:cs="Arial" w:eastAsia="Arial" w:hAnsi="Arial"/>
                <w:sz w:val="14"/>
                <w:szCs w:val="14"/>
                <w:color w:val="auto"/>
              </w:rPr>
              <w:t>0.5</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We expect the net unrealized gains of $53.8 million to be settled over the next 15 months, of which $48.2 million of these unrealized gains are expected to be settled over the next 12 months, with any amounts in accumulated other comprehensive income (loss) to be reported as an adjustment to revenue or operating expense. We consider the impact of our and our counterparties’ credit risk on the fair value of the contracts as well as the ability of each party to execute its contractual obligations. As of December 31, 2021 and 2020, credit risk did not materially change the fair value of our foreign currency forward contracts.</w:t>
      </w:r>
    </w:p>
    <w:p>
      <w:pPr>
        <w:spacing w:after="0" w:line="84"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The following table summarizes the effect of foreign currency forward contracts designated as hedging instruments in our consolidated statements of income: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328"/>
              <w:spacing w:after="0" w:line="142"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center"/>
              <w:ind w:left="728"/>
              <w:spacing w:after="0" w:line="142"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76"/>
        </w:trPr>
        <w:tc>
          <w:tcPr>
            <w:tcW w:w="4840" w:type="dxa"/>
            <w:vAlign w:val="bottom"/>
            <w:tcBorders>
              <w:bottom w:val="single" w:sz="8" w:color="auto"/>
            </w:tcBorders>
            <w:gridSpan w:val="10"/>
          </w:tcPr>
          <w:p>
            <w:pPr>
              <w:jc w:val="center"/>
              <w:ind w:left="64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Recognized in Operating Income (in millions)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3"/>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76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7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r>
      <w:tr>
        <w:trPr>
          <w:trHeight w:val="182"/>
        </w:trPr>
        <w:tc>
          <w:tcPr>
            <w:tcW w:w="1680" w:type="dxa"/>
            <w:vAlign w:val="bottom"/>
          </w:tcPr>
          <w:p>
            <w:pPr>
              <w:ind w:left="20"/>
              <w:spacing w:after="0"/>
              <w:rPr>
                <w:sz w:val="20"/>
                <w:szCs w:val="20"/>
                <w:color w:val="auto"/>
              </w:rPr>
            </w:pPr>
            <w:r>
              <w:rPr>
                <w:rFonts w:ascii="Arial" w:cs="Arial" w:eastAsia="Arial" w:hAnsi="Arial"/>
                <w:sz w:val="14"/>
                <w:szCs w:val="14"/>
                <w:color w:val="auto"/>
              </w:rPr>
              <w:t>Revenue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5"/>
                <w:szCs w:val="15"/>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Interest Rate Contracts - Hedging Instruments</w:t>
      </w:r>
    </w:p>
    <w:p>
      <w:pPr>
        <w:spacing w:after="0" w:line="112"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We have entered into interest rate lock contracts or interest rate swap contracts on certain borrowing transactions to manage our exposure to interest rate changes and to reduce our overall cost of borrowing.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Interest Rate Swap Contracts</w:t>
      </w:r>
    </w:p>
    <w:p>
      <w:pPr>
        <w:spacing w:after="0" w:line="122" w:lineRule="exact"/>
        <w:rPr>
          <w:sz w:val="20"/>
          <w:szCs w:val="20"/>
          <w:color w:val="auto"/>
        </w:rPr>
      </w:pPr>
    </w:p>
    <w:p>
      <w:pPr>
        <w:ind w:right="340" w:firstLine="445"/>
        <w:spacing w:after="0" w:line="252" w:lineRule="auto"/>
        <w:rPr>
          <w:sz w:val="20"/>
          <w:szCs w:val="20"/>
          <w:color w:val="auto"/>
        </w:rPr>
      </w:pPr>
      <w:r>
        <w:rPr>
          <w:rFonts w:ascii="Arial" w:cs="Arial" w:eastAsia="Arial" w:hAnsi="Arial"/>
          <w:sz w:val="18"/>
          <w:szCs w:val="18"/>
          <w:color w:val="auto"/>
        </w:rPr>
        <w:t>In connection with the issuance of our 2.90% Senior Notes due September 15, 2020, we entered into interest rate swaps with an aggregate notional amount of $675.0 million, which were originally set to expire on September 15, 2020. The interest rate swap contracts were designated as hedges of the fair value changes in our 2.90% Senior Notes attributable to changes in interest rates. In May 2020 we settled our interest rate swap contracts, in conjunction with our early redemption of our 2.90% Senior Notes, resulting in a gain of approximately $3.3 million, which was recorded as a component of interest expense in our consolidated statements of income during the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Net Investment Hedges - Hedging Instruments</w:t>
      </w:r>
    </w:p>
    <w:p>
      <w:pPr>
        <w:spacing w:after="0" w:line="126"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Our investment in the equity of Samsung Bioepis is exposed to the currency fluctuations in the South Korean won.</w:t>
      </w:r>
    </w:p>
    <w:p>
      <w:pPr>
        <w:spacing w:after="0" w:line="151"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In order to mitigate these currency fluctuations between the U.S. dollar and South Korean won, we have entered into foreign currency forward contracts. Foreign currency forward contracts in effect as of December 31, 2021, had remaining durations of 10 months. These contracts have been designated as net investment hedges. We recognize changes in the spot exchange rate in accumulated other comprehensive income (loss). The pre-tax portion of the fair value of these foreign currency forward contracts that were included in accumulated other comprehensive income (loss) in total equity reflected net gains of $10.6 million and net losses of $21.2 million as of December 31, 2021 and 2020, respectively. We exclude fair value changes related to the forward rate from our hedging relationship and will amortize the forward points in other income (expense), net in our consolidated statements of income over the term of the contract. The pre-tax portion of the fair value of the forward points that were included in accumulated other comprehensive income (loss) in total equity reflected net losses of $3.6 million and net gains of $0.2 million as of December 31, 2021 and 2020,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effect of our net investment hedges in our consolidated financial statements: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vMerge w:val="restart"/>
          </w:tcPr>
          <w:p>
            <w:pPr>
              <w:jc w:val="center"/>
              <w:spacing w:after="0"/>
              <w:rPr>
                <w:sz w:val="20"/>
                <w:szCs w:val="20"/>
                <w:color w:val="auto"/>
              </w:rPr>
            </w:pPr>
            <w:r>
              <w:rPr>
                <w:rFonts w:ascii="Arial" w:cs="Arial" w:eastAsia="Arial" w:hAnsi="Arial"/>
                <w:sz w:val="14"/>
                <w:szCs w:val="14"/>
                <w:b w:val="1"/>
                <w:bCs w:val="1"/>
                <w:color w:val="auto"/>
              </w:rPr>
              <w:t>Net Gains/(Losses)</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5"/>
          </w:tcPr>
          <w:p>
            <w:pPr>
              <w:jc w:val="center"/>
              <w:ind w:right="60"/>
              <w:spacing w:after="0" w:line="142" w:lineRule="exact"/>
              <w:rPr>
                <w:sz w:val="20"/>
                <w:szCs w:val="20"/>
                <w:color w:val="auto"/>
              </w:rPr>
            </w:pPr>
            <w:r>
              <w:rPr>
                <w:rFonts w:ascii="Arial" w:cs="Arial" w:eastAsia="Arial" w:hAnsi="Arial"/>
                <w:sz w:val="14"/>
                <w:szCs w:val="14"/>
                <w:b w:val="1"/>
                <w:bCs w:val="1"/>
                <w:color w:val="auto"/>
              </w:rPr>
              <w:t>Net Gains/(Losses)</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rPr>
              <w:t>Net Gains/(Losses)</w:t>
            </w: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gridSpan w:val="10"/>
          </w:tcPr>
          <w:p>
            <w:pPr>
              <w:jc w:val="center"/>
              <w:ind w:right="120"/>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720" w:type="dxa"/>
            <w:vAlign w:val="bottom"/>
          </w:tcPr>
          <w:p>
            <w:pPr>
              <w:spacing w:after="0"/>
              <w:rPr>
                <w:sz w:val="11"/>
                <w:szCs w:val="11"/>
                <w:color w:val="auto"/>
              </w:rPr>
            </w:pPr>
          </w:p>
        </w:tc>
        <w:tc>
          <w:tcPr>
            <w:tcW w:w="2140" w:type="dxa"/>
            <w:vAlign w:val="bottom"/>
            <w:gridSpan w:val="6"/>
          </w:tcPr>
          <w:p>
            <w:pPr>
              <w:jc w:val="center"/>
              <w:ind w:right="200"/>
              <w:spacing w:after="0" w:line="135" w:lineRule="exact"/>
              <w:rPr>
                <w:sz w:val="20"/>
                <w:szCs w:val="20"/>
                <w:color w:val="auto"/>
              </w:rPr>
            </w:pPr>
            <w:r>
              <w:rPr>
                <w:rFonts w:ascii="Arial" w:cs="Arial" w:eastAsia="Arial" w:hAnsi="Arial"/>
                <w:sz w:val="14"/>
                <w:szCs w:val="14"/>
                <w:b w:val="1"/>
                <w:bCs w:val="1"/>
                <w:color w:val="auto"/>
              </w:rPr>
              <w:t>Recognized in Net Income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10"/>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 (Effective</w:t>
            </w:r>
          </w:p>
        </w:tc>
        <w:tc>
          <w:tcPr>
            <w:tcW w:w="3780" w:type="dxa"/>
            <w:vAlign w:val="bottom"/>
            <w:gridSpan w:val="10"/>
          </w:tcPr>
          <w:p>
            <w:pPr>
              <w:jc w:val="center"/>
              <w:ind w:right="140"/>
              <w:spacing w:after="0" w:line="135" w:lineRule="exact"/>
              <w:rPr>
                <w:sz w:val="20"/>
                <w:szCs w:val="20"/>
                <w:color w:val="auto"/>
              </w:rPr>
            </w:pPr>
            <w:r>
              <w:rPr>
                <w:rFonts w:ascii="Arial" w:cs="Arial" w:eastAsia="Arial" w:hAnsi="Arial"/>
                <w:sz w:val="14"/>
                <w:szCs w:val="14"/>
                <w:b w:val="1"/>
                <w:bCs w:val="1"/>
                <w:color w:val="auto"/>
              </w:rPr>
              <w:t>(Amounts Excluded from Effectiveness Testing) (in</w:t>
            </w:r>
          </w:p>
        </w:tc>
        <w:tc>
          <w:tcPr>
            <w:tcW w:w="3420" w:type="dxa"/>
            <w:vAlign w:val="bottom"/>
            <w:gridSpan w:val="8"/>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 Testing)</w:t>
            </w:r>
          </w:p>
        </w:tc>
        <w:tc>
          <w:tcPr>
            <w:tcW w:w="0" w:type="dxa"/>
            <w:vAlign w:val="bottom"/>
          </w:tcPr>
          <w:p>
            <w:pPr>
              <w:spacing w:after="0"/>
              <w:rPr>
                <w:sz w:val="1"/>
                <w:szCs w:val="1"/>
                <w:color w:val="auto"/>
              </w:rPr>
            </w:pPr>
          </w:p>
        </w:tc>
      </w:tr>
      <w:tr>
        <w:trPr>
          <w:trHeight w:val="176"/>
        </w:trPr>
        <w:tc>
          <w:tcPr>
            <w:tcW w:w="1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Portion) (in millions)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rPr>
              <w:t>millions)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shd w:val="clear" w:color="auto" w:fill="DDDDDD"/>
          </w:tcPr>
          <w:p>
            <w:pPr>
              <w:jc w:val="right"/>
              <w:ind w:right="8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shd w:val="clear" w:color="auto" w:fill="DDDDDD"/>
          </w:tcPr>
          <w:p>
            <w:pPr>
              <w:jc w:val="right"/>
              <w:ind w:right="6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7"/>
        </w:trPr>
        <w:tc>
          <w:tcPr>
            <w:tcW w:w="17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Gains (losses) on net</w:t>
            </w:r>
          </w:p>
        </w:tc>
        <w:tc>
          <w:tcPr>
            <w:tcW w:w="6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   46.0</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  25.3</w:t>
            </w:r>
          </w:p>
        </w:tc>
        <w:tc>
          <w:tcPr>
            <w:tcW w:w="120" w:type="dxa"/>
            <w:vAlign w:val="bottom"/>
          </w:tcPr>
          <w:p>
            <w:pPr>
              <w:spacing w:after="0"/>
              <w:rPr>
                <w:sz w:val="12"/>
                <w:szCs w:val="12"/>
                <w:color w:val="auto"/>
              </w:rPr>
            </w:pPr>
          </w:p>
        </w:tc>
        <w:tc>
          <w:tcPr>
            <w:tcW w:w="1780" w:type="dxa"/>
            <w:vAlign w:val="bottom"/>
            <w:gridSpan w:val="3"/>
          </w:tcPr>
          <w:p>
            <w:pPr>
              <w:spacing w:after="0" w:line="147" w:lineRule="exact"/>
              <w:rPr>
                <w:sz w:val="20"/>
                <w:szCs w:val="20"/>
                <w:color w:val="auto"/>
              </w:rPr>
            </w:pPr>
            <w:r>
              <w:rPr>
                <w:rFonts w:ascii="Arial" w:cs="Arial" w:eastAsia="Arial" w:hAnsi="Arial"/>
                <w:sz w:val="14"/>
                <w:szCs w:val="14"/>
                <w:color w:val="auto"/>
              </w:rPr>
              <w:t>Gains (losses) on net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  (3.2)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   3.3</w:t>
            </w:r>
          </w:p>
        </w:tc>
        <w:tc>
          <w:tcPr>
            <w:tcW w:w="120" w:type="dxa"/>
            <w:vAlign w:val="bottom"/>
          </w:tcPr>
          <w:p>
            <w:pPr>
              <w:spacing w:after="0"/>
              <w:rPr>
                <w:sz w:val="12"/>
                <w:szCs w:val="12"/>
                <w:color w:val="auto"/>
              </w:rPr>
            </w:pPr>
          </w:p>
        </w:tc>
        <w:tc>
          <w:tcPr>
            <w:tcW w:w="1540" w:type="dxa"/>
            <w:vAlign w:val="bottom"/>
            <w:gridSpan w:val="3"/>
          </w:tcPr>
          <w:p>
            <w:pPr>
              <w:spacing w:after="0" w:line="147" w:lineRule="exact"/>
              <w:rPr>
                <w:sz w:val="20"/>
                <w:szCs w:val="20"/>
                <w:color w:val="auto"/>
              </w:rPr>
            </w:pPr>
            <w:r>
              <w:rPr>
                <w:rFonts w:ascii="Arial" w:cs="Arial" w:eastAsia="Arial" w:hAnsi="Arial"/>
                <w:sz w:val="14"/>
                <w:szCs w:val="14"/>
                <w:color w:val="auto"/>
              </w:rPr>
              <w:t>Other income</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  (0.6)</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   2.9</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   7.0</w:t>
            </w:r>
          </w:p>
        </w:tc>
        <w:tc>
          <w:tcPr>
            <w:tcW w:w="0" w:type="dxa"/>
            <w:vAlign w:val="bottom"/>
          </w:tcPr>
          <w:p>
            <w:pPr>
              <w:spacing w:after="0"/>
              <w:rPr>
                <w:sz w:val="1"/>
                <w:szCs w:val="1"/>
                <w:color w:val="auto"/>
              </w:rPr>
            </w:pPr>
          </w:p>
        </w:tc>
      </w:tr>
      <w:tr>
        <w:trPr>
          <w:trHeight w:val="171"/>
        </w:trPr>
        <w:tc>
          <w:tcPr>
            <w:tcW w:w="1220" w:type="dxa"/>
            <w:vAlign w:val="bottom"/>
          </w:tcPr>
          <w:p>
            <w:pPr>
              <w:ind w:left="20"/>
              <w:spacing w:after="0"/>
              <w:rPr>
                <w:sz w:val="20"/>
                <w:szCs w:val="20"/>
                <w:color w:val="auto"/>
              </w:rPr>
            </w:pPr>
            <w:r>
              <w:rPr>
                <w:rFonts w:ascii="Arial" w:cs="Arial" w:eastAsia="Arial" w:hAnsi="Arial"/>
                <w:sz w:val="14"/>
                <w:szCs w:val="14"/>
                <w:color w:val="auto"/>
              </w:rPr>
              <w:t>investment hedge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shd w:val="clear" w:color="auto" w:fill="DBDBDB"/>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investment hedge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(expense)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shd w:val="clear" w:color="auto" w:fill="DBDBDB"/>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Foreign Currency Forward Contracts - Other Derivative Instruments</w:t>
      </w:r>
    </w:p>
    <w:p>
      <w:pPr>
        <w:spacing w:after="0" w:line="112"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aggregate notional amount of these outstanding foreign currency forward contracts was $1,268.0 million and $ 1,158.0 million as of December 31, 2021 and 2020, respectively. Net losses of $43.3 million, net gains of $30.1 million and net losses of $5.9 million related to these contracts were recorded as a component of other income (expense), net for the years ended December 31, 2021, 2020 and 2019,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Summary of Derivative Instruments</w:t>
      </w:r>
    </w:p>
    <w:p>
      <w:pPr>
        <w:spacing w:after="0" w:line="126"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consolidated balance sheets. The amounts in the table below would not be substantially different if the derivative assets and liabilities were offset.</w:t>
      </w:r>
    </w:p>
    <w:p>
      <w:pPr>
        <w:spacing w:after="0" w:line="148"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The following table summarizes the fair value and presentation in our consolidated balance sheets of our outstanding derivative instruments, including those designated as hedging instruments:</w:t>
      </w:r>
    </w:p>
    <w:p>
      <w:pPr>
        <w:sectPr>
          <w:pgSz w:w="11900" w:h="16838" w:orient="portrait"/>
          <w:cols w:equalWidth="0" w:num="1">
            <w:col w:w="11240"/>
          </w:cols>
          <w:pgMar w:left="320" w:top="144" w:right="33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99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Cash Flow Hedging Instruments: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 derivative instruments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Liability derivative instruments</w:t>
      </w:r>
    </w:p>
    <w:p>
      <w:pPr>
        <w:spacing w:after="0" w:line="257" w:lineRule="exact"/>
        <w:rPr>
          <w:sz w:val="20"/>
          <w:szCs w:val="20"/>
          <w:color w:val="auto"/>
        </w:rPr>
      </w:pPr>
    </w:p>
    <w:p>
      <w:pPr>
        <w:ind w:left="140" w:right="120" w:hanging="120"/>
        <w:spacing w:after="0" w:line="300" w:lineRule="auto"/>
        <w:rPr>
          <w:sz w:val="20"/>
          <w:szCs w:val="20"/>
          <w:color w:val="auto"/>
        </w:rPr>
      </w:pPr>
      <w:r>
        <w:rPr>
          <w:rFonts w:ascii="Arial" w:cs="Arial" w:eastAsia="Arial" w:hAnsi="Arial"/>
          <w:sz w:val="14"/>
          <w:szCs w:val="14"/>
          <w:i w:val="1"/>
          <w:iCs w:val="1"/>
          <w:color w:val="auto"/>
        </w:rPr>
        <w:t xml:space="preserve">Net Investment Hedging Instruments: </w:t>
      </w:r>
      <w:r>
        <w:rPr>
          <w:rFonts w:ascii="Arial" w:cs="Arial" w:eastAsia="Arial" w:hAnsi="Arial"/>
          <w:sz w:val="14"/>
          <w:szCs w:val="14"/>
          <w:color w:val="auto"/>
        </w:rPr>
        <w:t>Asset derivative instruments Liability derivative instruments</w:t>
      </w:r>
    </w:p>
    <w:p>
      <w:pPr>
        <w:spacing w:after="0" w:line="17" w:lineRule="exact"/>
        <w:rPr>
          <w:sz w:val="20"/>
          <w:szCs w:val="20"/>
          <w:color w:val="auto"/>
        </w:rPr>
      </w:pPr>
    </w:p>
    <w:p>
      <w:pPr>
        <w:ind w:left="140" w:right="460" w:hanging="120"/>
        <w:spacing w:after="0" w:line="300" w:lineRule="auto"/>
        <w:rPr>
          <w:sz w:val="20"/>
          <w:szCs w:val="20"/>
          <w:color w:val="auto"/>
        </w:rPr>
      </w:pPr>
      <w:r>
        <w:rPr>
          <w:rFonts w:ascii="Arial" w:cs="Arial" w:eastAsia="Arial" w:hAnsi="Arial"/>
          <w:sz w:val="14"/>
          <w:szCs w:val="14"/>
          <w:i w:val="1"/>
          <w:iCs w:val="1"/>
          <w:color w:val="auto"/>
        </w:rPr>
        <w:t xml:space="preserve">Other Derivative Instruments: </w:t>
      </w:r>
      <w:r>
        <w:rPr>
          <w:rFonts w:ascii="Arial" w:cs="Arial" w:eastAsia="Arial" w:hAnsi="Arial"/>
          <w:sz w:val="14"/>
          <w:szCs w:val="14"/>
          <w:color w:val="auto"/>
        </w:rPr>
        <w:t>Asset derivative instruments Liability derivative instruments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6"/>
                <w:szCs w:val="16"/>
                <w:color w:val="auto"/>
              </w:rPr>
            </w:pPr>
          </w:p>
        </w:tc>
      </w:tr>
      <w:tr>
        <w:trPr>
          <w:trHeight w:val="183"/>
        </w:trPr>
        <w:tc>
          <w:tcPr>
            <w:tcW w:w="350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520" w:type="dxa"/>
            <w:vAlign w:val="bottom"/>
          </w:tcPr>
          <w:p>
            <w:pPr>
              <w:spacing w:after="0"/>
              <w:rPr>
                <w:sz w:val="15"/>
                <w:szCs w:val="15"/>
                <w:color w:val="auto"/>
              </w:rPr>
            </w:pPr>
          </w:p>
        </w:tc>
        <w:tc>
          <w:tcPr>
            <w:tcW w:w="1680" w:type="dxa"/>
            <w:vAlign w:val="bottom"/>
          </w:tcPr>
          <w:p>
            <w:pPr>
              <w:jc w:val="right"/>
              <w:ind w:right="8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20" w:type="dxa"/>
            <w:vAlign w:val="bottom"/>
          </w:tcPr>
          <w:p>
            <w:pPr>
              <w:jc w:val="right"/>
              <w:ind w:right="848"/>
              <w:spacing w:after="0"/>
              <w:rPr>
                <w:sz w:val="20"/>
                <w:szCs w:val="20"/>
                <w:color w:val="auto"/>
              </w:rPr>
            </w:pPr>
            <w:r>
              <w:rPr>
                <w:rFonts w:ascii="Arial" w:cs="Arial" w:eastAsia="Arial" w:hAnsi="Arial"/>
                <w:sz w:val="14"/>
                <w:szCs w:val="14"/>
                <w:b w:val="1"/>
                <w:bCs w:val="1"/>
                <w:color w:val="auto"/>
              </w:rPr>
              <w:t>2020</w:t>
            </w:r>
          </w:p>
        </w:tc>
      </w:tr>
      <w:tr>
        <w:trPr>
          <w:trHeight w:val="183"/>
        </w:trPr>
        <w:tc>
          <w:tcPr>
            <w:tcW w:w="3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shd w:val="clear" w:color="auto" w:fill="DDDDDD"/>
          </w:tcPr>
          <w:p>
            <w:pPr>
              <w:spacing w:after="0"/>
              <w:rPr>
                <w:sz w:val="15"/>
                <w:szCs w:val="15"/>
                <w:color w:val="auto"/>
              </w:rPr>
            </w:pPr>
          </w:p>
        </w:tc>
        <w:tc>
          <w:tcPr>
            <w:tcW w:w="1680" w:type="dxa"/>
            <w:vAlign w:val="bottom"/>
            <w:tcBorders>
              <w:top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66.2</w:t>
            </w:r>
          </w:p>
        </w:tc>
        <w:tc>
          <w:tcPr>
            <w:tcW w:w="8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1"/>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5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157.1</w:t>
            </w:r>
          </w:p>
        </w:tc>
      </w:tr>
      <w:tr>
        <w:trPr>
          <w:trHeight w:val="18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5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35.7</w:t>
            </w:r>
          </w:p>
        </w:tc>
      </w:tr>
      <w:tr>
        <w:trPr>
          <w:trHeight w:val="432"/>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spacing w:after="0"/>
              <w:rPr>
                <w:sz w:val="24"/>
                <w:szCs w:val="24"/>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432"/>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spacing w:after="0"/>
              <w:rPr>
                <w:sz w:val="24"/>
                <w:szCs w:val="24"/>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20.5</w:t>
            </w:r>
          </w:p>
        </w:tc>
      </w:tr>
      <w:tr>
        <w:trPr>
          <w:trHeight w:val="189"/>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4.7</w:t>
            </w:r>
          </w:p>
        </w:tc>
      </w:tr>
    </w:tbl>
    <w:p>
      <w:pPr>
        <w:spacing w:after="0" w:line="240" w:lineRule="exact"/>
        <w:rPr>
          <w:sz w:val="20"/>
          <w:szCs w:val="20"/>
          <w:color w:val="auto"/>
        </w:rPr>
      </w:pPr>
    </w:p>
    <w:p>
      <w:pPr>
        <w:sectPr>
          <w:pgSz w:w="11900" w:h="16838" w:orient="portrait"/>
          <w:cols w:equalWidth="0" w:num="2">
            <w:col w:w="2520" w:space="720"/>
            <w:col w:w="8000"/>
          </w:cols>
          <w:pgMar w:left="320" w:top="144" w:right="339" w:bottom="1440" w:gutter="0" w:footer="0" w:header="0"/>
          <w:type w:val="continuous"/>
        </w:sectPr>
      </w:pPr>
    </w:p>
    <w:p>
      <w:pPr>
        <w:spacing w:after="0" w:line="240"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22"/>
          <w:szCs w:val="22"/>
          <w:b w:val="1"/>
          <w:bCs w:val="1"/>
          <w:color w:val="578196"/>
        </w:rPr>
      </w:pPr>
      <w:r>
        <w:rPr>
          <w:rFonts w:ascii="Arial" w:cs="Arial" w:eastAsia="Arial" w:hAnsi="Arial"/>
          <w:sz w:val="22"/>
          <w:szCs w:val="22"/>
          <w:b w:val="1"/>
          <w:bCs w:val="1"/>
          <w:color w:val="578196"/>
        </w:rPr>
        <w:t>PROPERTY, PLANT AND EQUIPMENT</w:t>
      </w:r>
    </w:p>
    <w:p>
      <w:pPr>
        <w:spacing w:after="0" w:line="116"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207.5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119.8</w:t>
            </w:r>
          </w:p>
        </w:tc>
      </w:tr>
      <w:tr>
        <w:trPr>
          <w:trHeight w:val="19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Buildings</w:t>
            </w:r>
          </w:p>
        </w:tc>
        <w:tc>
          <w:tcPr>
            <w:tcW w:w="4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1,699.7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1,025.3</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4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121.0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104.6</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4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1,585.5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1,027.8</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Computer software and hardware</w:t>
            </w:r>
          </w:p>
        </w:tc>
        <w:tc>
          <w:tcPr>
            <w:tcW w:w="4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971.6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903.0</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420" w:type="dxa"/>
            <w:vAlign w:val="bottom"/>
            <w:shd w:val="clear" w:color="auto" w:fill="DBDBDB"/>
          </w:tcPr>
          <w:p>
            <w:pPr>
              <w:spacing w:after="0"/>
              <w:rPr>
                <w:sz w:val="16"/>
                <w:szCs w:val="16"/>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67.4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62.5</w:t>
            </w:r>
          </w:p>
        </w:tc>
      </w:tr>
      <w:tr>
        <w:trPr>
          <w:trHeight w:val="188"/>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4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770.3</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1,950.8</w:t>
            </w:r>
          </w:p>
        </w:tc>
      </w:tr>
      <w:tr>
        <w:trPr>
          <w:trHeight w:val="18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cost</w:t>
            </w:r>
          </w:p>
        </w:tc>
        <w:tc>
          <w:tcPr>
            <w:tcW w:w="42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5,423.0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5,193.8</w:t>
            </w:r>
          </w:p>
        </w:tc>
      </w:tr>
      <w:tr>
        <w:trPr>
          <w:trHeight w:val="18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420" w:type="dxa"/>
            <w:vAlign w:val="bottom"/>
            <w:tcBorders>
              <w:bottom w:val="single" w:sz="8" w:color="auto"/>
            </w:tcBorders>
            <w:shd w:val="clear" w:color="auto" w:fill="DBDBDB"/>
          </w:tcPr>
          <w:p>
            <w:pPr>
              <w:spacing w:after="0"/>
              <w:rPr>
                <w:sz w:val="15"/>
                <w:szCs w:val="15"/>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(2,006.6)</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(1,782.3)</w:t>
            </w:r>
          </w:p>
        </w:tc>
      </w:tr>
      <w:tr>
        <w:trPr>
          <w:trHeight w:val="20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property, plant and equipment, net</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3,416.4</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3,411.5</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Depreciation expense totaled $235.3 million, $201.9 million and $190.6 million for the years ended December 31, 2021, 2020 and 2019, respectively.</w:t>
      </w:r>
    </w:p>
    <w:p>
      <w:pPr>
        <w:spacing w:after="0" w:line="144"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For the years ended December 31, 2021, 2020 and 2019, we capitalized interest costs related to construction in progress totaling approximately $36.3 million, $65.2 million and $68.8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Solothurn, Switzerland Manufacturing Facility</w:t>
      </w:r>
    </w:p>
    <w:p>
      <w:pPr>
        <w:spacing w:after="0" w:line="126"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Upon completion, this facility will include 393,000 square feet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9" w:name="page140"/>
    <w:bookmarkEnd w:id="1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related to a large-scale biologics manufacturing facility, 290,000 square feet of warehouse, utilities and support space and 51,000 square feet of administrative space. As of December 31, 2021 and 2020, we had approximately $677.0 million and $1.8 billion, respectively, capitalized as construction in progress related to this facility. In the second quarter of 2021, a portion of the facility received a Good Manufacturing Practice multi-product license from the Swiss Agency for Therapeutic Products, resulting in approximately $1.2 billion of fixed assets being placed in service during the second quarter of 2021.</w:t>
      </w:r>
    </w:p>
    <w:p>
      <w:pPr>
        <w:spacing w:after="0" w:line="133"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22"/>
          <w:szCs w:val="22"/>
          <w:b w:val="1"/>
          <w:bCs w:val="1"/>
          <w:color w:val="578196"/>
        </w:rPr>
      </w:pPr>
      <w:r>
        <w:rPr>
          <w:rFonts w:ascii="Arial" w:cs="Arial" w:eastAsia="Arial" w:hAnsi="Arial"/>
          <w:sz w:val="22"/>
          <w:szCs w:val="22"/>
          <w:b w:val="1"/>
          <w:bCs w:val="1"/>
          <w:color w:val="578196"/>
        </w:rPr>
        <w:t>LEASES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lease real estate, including laboratory and office space, and certain equipment.</w:t>
      </w:r>
    </w:p>
    <w:p>
      <w:pPr>
        <w:spacing w:after="0" w:line="117"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Our leases have remaining lease terms ranging from less than one year to nine years. Certain leases include one or more options to renew, exercised at our sole discretion, with renewal terms that can extend the lease term from one year to six years.</w:t>
      </w:r>
    </w:p>
    <w:p>
      <w:pPr>
        <w:spacing w:after="0" w:line="90"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addition, we sublease certain real estate to third-parties. Our sublease portfolio consists of operating leases, with remaining lease terms ranging from three years to seven years. Our subleases do not include an option to renew as they are coterminous with our operating leases.</w:t>
      </w:r>
    </w:p>
    <w:p>
      <w:pPr>
        <w:spacing w:after="0" w:line="94"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All of our leases qualify as operating leases. The following table summarizes the presentation in our consolidated balance sheets of our operating leases: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1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shd w:val="clear" w:color="auto" w:fill="DDDDDD"/>
          </w:tcPr>
          <w:p>
            <w:pPr>
              <w:spacing w:after="0"/>
              <w:rPr>
                <w:sz w:val="15"/>
                <w:szCs w:val="15"/>
                <w:color w:val="auto"/>
              </w:rPr>
            </w:pPr>
          </w:p>
        </w:tc>
        <w:tc>
          <w:tcPr>
            <w:tcW w:w="1500" w:type="dxa"/>
            <w:vAlign w:val="bottom"/>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40" w:type="dxa"/>
            <w:vAlign w:val="bottom"/>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Assets:</w:t>
            </w:r>
          </w:p>
        </w:tc>
        <w:tc>
          <w:tcPr>
            <w:tcW w:w="4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shd w:val="clear" w:color="auto" w:fill="DDDDDD"/>
          </w:tcPr>
          <w:p>
            <w:pPr>
              <w:spacing w:after="0"/>
              <w:rPr>
                <w:sz w:val="15"/>
                <w:szCs w:val="15"/>
                <w:color w:val="auto"/>
              </w:rPr>
            </w:pPr>
          </w:p>
        </w:tc>
        <w:tc>
          <w:tcPr>
            <w:tcW w:w="1500" w:type="dxa"/>
            <w:vAlign w:val="bottom"/>
            <w:tcBorders>
              <w:top w:val="single" w:sz="8" w:color="auto"/>
            </w:tcBorders>
            <w:shd w:val="clear" w:color="auto" w:fill="DDDDDD"/>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29"/>
        </w:trPr>
        <w:tc>
          <w:tcPr>
            <w:tcW w:w="30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Operating lease assets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375.4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433.3</w:t>
            </w:r>
          </w:p>
        </w:tc>
      </w:tr>
      <w:tr>
        <w:trPr>
          <w:trHeight w:val="412"/>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89"/>
        </w:trPr>
        <w:tc>
          <w:tcPr>
            <w:tcW w:w="304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Accrued expense and other</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89.1</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83.2</w:t>
            </w:r>
          </w:p>
        </w:tc>
      </w:tr>
      <w:tr>
        <w:trPr>
          <w:trHeight w:val="189"/>
        </w:trPr>
        <w:tc>
          <w:tcPr>
            <w:tcW w:w="304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Long-term operating lease liabilities</w:t>
            </w:r>
          </w:p>
        </w:tc>
        <w:tc>
          <w:tcPr>
            <w:tcW w:w="46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330.4</w:t>
            </w:r>
          </w:p>
        </w:tc>
        <w:tc>
          <w:tcPr>
            <w:tcW w:w="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402.0</w:t>
            </w:r>
          </w:p>
        </w:tc>
      </w:tr>
      <w:tr>
        <w:trPr>
          <w:trHeight w:val="203"/>
        </w:trPr>
        <w:tc>
          <w:tcPr>
            <w:tcW w:w="304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419.5</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485.2</w:t>
            </w:r>
          </w:p>
        </w:tc>
      </w:tr>
      <w:tr>
        <w:trPr>
          <w:trHeight w:val="20"/>
        </w:trPr>
        <w:tc>
          <w:tcPr>
            <w:tcW w:w="3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effect of lease costs in our consolidated statements of income:</w:t>
      </w:r>
    </w:p>
    <w:p>
      <w:pPr>
        <w:sectPr>
          <w:pgSz w:w="11900" w:h="16838" w:orient="portrait"/>
          <w:cols w:equalWidth="0" w:num="1">
            <w:col w:w="11240"/>
          </w:cols>
          <w:pgMar w:left="320" w:top="144" w:right="33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64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Income Statement Location</w:t>
            </w:r>
          </w:p>
        </w:tc>
      </w:tr>
      <w:tr>
        <w:trPr>
          <w:trHeight w:val="184"/>
        </w:trPr>
        <w:tc>
          <w:tcPr>
            <w:tcW w:w="244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4640" w:type="dxa"/>
            <w:vAlign w:val="bottom"/>
          </w:tcPr>
          <w:p>
            <w:pPr>
              <w:ind w:left="1100"/>
              <w:spacing w:after="0"/>
              <w:rPr>
                <w:sz w:val="20"/>
                <w:szCs w:val="20"/>
                <w:color w:val="auto"/>
              </w:rPr>
            </w:pPr>
            <w:r>
              <w:rPr>
                <w:rFonts w:ascii="Arial" w:cs="Arial" w:eastAsia="Arial" w:hAnsi="Arial"/>
                <w:sz w:val="14"/>
                <w:szCs w:val="14"/>
                <w:color w:val="auto"/>
              </w:rPr>
              <w:t>Research and development</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4640" w:type="dxa"/>
            <w:vAlign w:val="bottom"/>
          </w:tcPr>
          <w:p>
            <w:pPr>
              <w:ind w:left="1100"/>
              <w:spacing w:after="0"/>
              <w:rPr>
                <w:sz w:val="20"/>
                <w:szCs w:val="20"/>
                <w:color w:val="auto"/>
              </w:rPr>
            </w:pPr>
            <w:r>
              <w:rPr>
                <w:rFonts w:ascii="Arial" w:cs="Arial" w:eastAsia="Arial" w:hAnsi="Arial"/>
                <w:sz w:val="14"/>
                <w:szCs w:val="14"/>
                <w:color w:val="auto"/>
              </w:rPr>
              <w:t>Research and development</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color w:val="auto"/>
              </w:rPr>
              <w:t>Sublease income</w:t>
            </w:r>
          </w:p>
        </w:tc>
        <w:tc>
          <w:tcPr>
            <w:tcW w:w="4640" w:type="dxa"/>
            <w:vAlign w:val="bottom"/>
          </w:tcPr>
          <w:p>
            <w:pPr>
              <w:ind w:left="1100"/>
              <w:spacing w:after="0"/>
              <w:rPr>
                <w:sz w:val="20"/>
                <w:szCs w:val="20"/>
                <w:color w:val="auto"/>
              </w:rPr>
            </w:pPr>
            <w:r>
              <w:rPr>
                <w:rFonts w:ascii="Arial" w:cs="Arial" w:eastAsia="Arial" w:hAnsi="Arial"/>
                <w:sz w:val="14"/>
                <w:szCs w:val="14"/>
                <w:color w:val="auto"/>
              </w:rPr>
              <w:t>Selling, general and administrative</w:t>
            </w:r>
          </w:p>
        </w:tc>
      </w:tr>
      <w:tr>
        <w:trPr>
          <w:trHeight w:val="189"/>
        </w:trPr>
        <w:tc>
          <w:tcPr>
            <w:tcW w:w="2440" w:type="dxa"/>
            <w:vAlign w:val="bottom"/>
          </w:tcPr>
          <w:p>
            <w:pPr>
              <w:spacing w:after="0"/>
              <w:rPr>
                <w:sz w:val="16"/>
                <w:szCs w:val="16"/>
                <w:color w:val="auto"/>
              </w:rPr>
            </w:pPr>
          </w:p>
        </w:tc>
        <w:tc>
          <w:tcPr>
            <w:tcW w:w="4640" w:type="dxa"/>
            <w:vAlign w:val="bottom"/>
          </w:tcPr>
          <w:p>
            <w:pPr>
              <w:ind w:left="1100"/>
              <w:spacing w:after="0"/>
              <w:rPr>
                <w:sz w:val="20"/>
                <w:szCs w:val="20"/>
                <w:color w:val="auto"/>
              </w:rPr>
            </w:pPr>
            <w:r>
              <w:rPr>
                <w:rFonts w:ascii="Arial" w:cs="Arial" w:eastAsia="Arial" w:hAnsi="Arial"/>
                <w:sz w:val="14"/>
                <w:szCs w:val="14"/>
                <w:color w:val="auto"/>
              </w:rPr>
              <w:t>Other (income) expense, net</w:t>
            </w:r>
          </w:p>
        </w:tc>
      </w:tr>
      <w:tr>
        <w:trPr>
          <w:trHeight w:val="189"/>
        </w:trPr>
        <w:tc>
          <w:tcPr>
            <w:tcW w:w="2440" w:type="dxa"/>
            <w:vAlign w:val="bottom"/>
          </w:tcPr>
          <w:p>
            <w:pPr>
              <w:ind w:left="40"/>
              <w:spacing w:after="0"/>
              <w:rPr>
                <w:sz w:val="20"/>
                <w:szCs w:val="20"/>
                <w:color w:val="auto"/>
              </w:rPr>
            </w:pPr>
            <w:r>
              <w:rPr>
                <w:rFonts w:ascii="Arial" w:cs="Arial" w:eastAsia="Arial" w:hAnsi="Arial"/>
                <w:sz w:val="14"/>
                <w:szCs w:val="14"/>
                <w:color w:val="auto"/>
              </w:rPr>
              <w:t>Net lease cost</w:t>
            </w:r>
          </w:p>
        </w:tc>
        <w:tc>
          <w:tcPr>
            <w:tcW w:w="4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tcBorders>
              <w:top w:val="single" w:sz="8" w:color="auto"/>
              <w:bottom w:val="single" w:sz="8" w:color="auto"/>
            </w:tcBorders>
            <w:shd w:val="clear" w:color="auto" w:fill="DDDDDD"/>
          </w:tcPr>
          <w:p>
            <w:pPr>
              <w:spacing w:after="0"/>
              <w:rPr>
                <w:sz w:val="15"/>
                <w:szCs w:val="15"/>
                <w:color w:val="auto"/>
              </w:rPr>
            </w:pPr>
          </w:p>
        </w:tc>
        <w:tc>
          <w:tcPr>
            <w:tcW w:w="1500" w:type="dxa"/>
            <w:vAlign w:val="bottom"/>
            <w:tcBorders>
              <w:top w:val="single" w:sz="8" w:color="auto"/>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2020</w:t>
            </w:r>
          </w:p>
        </w:tc>
      </w:tr>
      <w:tr>
        <w:trPr>
          <w:trHeight w:val="183"/>
        </w:trPr>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5.2</w:t>
            </w:r>
          </w:p>
        </w:tc>
      </w:tr>
      <w:tr>
        <w:trPr>
          <w:trHeight w:val="190"/>
        </w:trPr>
        <w:tc>
          <w:tcPr>
            <w:tcW w:w="46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93.1</w:t>
            </w:r>
          </w:p>
        </w:tc>
      </w:tr>
      <w:tr>
        <w:trPr>
          <w:trHeight w:val="189"/>
        </w:trPr>
        <w:tc>
          <w:tcPr>
            <w:tcW w:w="46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w:t>
            </w:r>
          </w:p>
        </w:tc>
      </w:tr>
      <w:tr>
        <w:trPr>
          <w:trHeight w:val="189"/>
        </w:trPr>
        <w:tc>
          <w:tcPr>
            <w:tcW w:w="46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21.1</w:t>
            </w:r>
          </w:p>
        </w:tc>
      </w:tr>
      <w:tr>
        <w:trPr>
          <w:trHeight w:val="189"/>
        </w:trPr>
        <w:tc>
          <w:tcPr>
            <w:tcW w:w="460" w:type="dxa"/>
            <w:vAlign w:val="bottom"/>
            <w:shd w:val="clear" w:color="auto" w:fill="DBDBDB"/>
          </w:tcPr>
          <w:p>
            <w:pPr>
              <w:spacing w:after="0"/>
              <w:rPr>
                <w:sz w:val="16"/>
                <w:szCs w:val="16"/>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187"/>
        </w:trPr>
        <w:tc>
          <w:tcPr>
            <w:tcW w:w="460" w:type="dxa"/>
            <w:vAlign w:val="bottom"/>
            <w:tcBorders>
              <w:bottom w:val="single" w:sz="8" w:color="auto"/>
            </w:tcBorders>
            <w:shd w:val="clear" w:color="auto" w:fill="DBDBDB"/>
          </w:tcPr>
          <w:p>
            <w:pPr>
              <w:spacing w:after="0"/>
              <w:rPr>
                <w:sz w:val="16"/>
                <w:szCs w:val="16"/>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97.9</w:t>
            </w:r>
          </w:p>
        </w:tc>
        <w:tc>
          <w:tcPr>
            <w:tcW w:w="5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92.4</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100"/>
            <w:col w:w="4060"/>
          </w:cols>
          <w:pgMar w:left="320" w:top="144"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0" w:name="page141"/>
    <w:bookmarkEnd w:id="1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Variable lease cost primarily related to operating expense, taxes and insurance associated with our operating leases. As these costs are generally variable in nature, they are not included in the measurement of the operating lease asset and related lease liability.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lease payments for the next five years and thereafter is expected to be as follows:</w:t>
      </w:r>
    </w:p>
    <w:p>
      <w:pPr>
        <w:sectPr>
          <w:pgSz w:w="11900" w:h="16838" w:orient="portrait"/>
          <w:cols w:equalWidth="0" w:num="1">
            <w:col w:w="11240"/>
          </w:cols>
          <w:pgMar w:left="320" w:top="144" w:right="339" w:bottom="1440" w:gutter="0" w:footer="0" w:header="0"/>
        </w:sectPr>
      </w:pPr>
    </w:p>
    <w:p>
      <w:pPr>
        <w:spacing w:after="0" w:line="1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34924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2022</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2023</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lease payments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4"/>
        </w:trPr>
        <w:tc>
          <w:tcPr>
            <w:tcW w:w="320" w:type="dxa"/>
            <w:vAlign w:val="bottom"/>
            <w:tcBorders>
              <w:bottom w:val="single" w:sz="8" w:color="auto"/>
            </w:tcBorders>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As of December 31, 2021</w:t>
            </w:r>
          </w:p>
        </w:tc>
      </w:tr>
      <w:tr>
        <w:trPr>
          <w:trHeight w:val="183"/>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99.6</w:t>
            </w:r>
          </w:p>
        </w:tc>
      </w:tr>
      <w:tr>
        <w:trPr>
          <w:trHeight w:val="190"/>
        </w:trPr>
        <w:tc>
          <w:tcPr>
            <w:tcW w:w="320" w:type="dxa"/>
            <w:vAlign w:val="bottom"/>
            <w:shd w:val="clear" w:color="auto" w:fill="DBDBDB"/>
          </w:tcPr>
          <w:p>
            <w:pPr>
              <w:spacing w:after="0"/>
              <w:rPr>
                <w:sz w:val="16"/>
                <w:szCs w:val="16"/>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89.7</w:t>
            </w:r>
          </w:p>
        </w:tc>
      </w:tr>
      <w:tr>
        <w:trPr>
          <w:trHeight w:val="189"/>
        </w:trPr>
        <w:tc>
          <w:tcPr>
            <w:tcW w:w="320" w:type="dxa"/>
            <w:vAlign w:val="bottom"/>
            <w:shd w:val="clear" w:color="auto" w:fill="DBDBDB"/>
          </w:tcPr>
          <w:p>
            <w:pPr>
              <w:spacing w:after="0"/>
              <w:rPr>
                <w:sz w:val="16"/>
                <w:szCs w:val="16"/>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79.7</w:t>
            </w:r>
          </w:p>
        </w:tc>
      </w:tr>
      <w:tr>
        <w:trPr>
          <w:trHeight w:val="189"/>
        </w:trPr>
        <w:tc>
          <w:tcPr>
            <w:tcW w:w="320" w:type="dxa"/>
            <w:vAlign w:val="bottom"/>
            <w:shd w:val="clear" w:color="auto" w:fill="DBDBDB"/>
          </w:tcPr>
          <w:p>
            <w:pPr>
              <w:spacing w:after="0"/>
              <w:rPr>
                <w:sz w:val="16"/>
                <w:szCs w:val="16"/>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57.2</w:t>
            </w:r>
          </w:p>
        </w:tc>
      </w:tr>
      <w:tr>
        <w:trPr>
          <w:trHeight w:val="189"/>
        </w:trPr>
        <w:tc>
          <w:tcPr>
            <w:tcW w:w="320" w:type="dxa"/>
            <w:vAlign w:val="bottom"/>
            <w:shd w:val="clear" w:color="auto" w:fill="DBDBDB"/>
          </w:tcPr>
          <w:p>
            <w:pPr>
              <w:spacing w:after="0"/>
              <w:rPr>
                <w:sz w:val="16"/>
                <w:szCs w:val="16"/>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44.8</w:t>
            </w:r>
          </w:p>
        </w:tc>
      </w:tr>
      <w:tr>
        <w:trPr>
          <w:trHeight w:val="188"/>
        </w:trPr>
        <w:tc>
          <w:tcPr>
            <w:tcW w:w="320" w:type="dxa"/>
            <w:vAlign w:val="bottom"/>
            <w:tcBorders>
              <w:bottom w:val="single" w:sz="8" w:color="auto"/>
            </w:tcBorders>
            <w:shd w:val="clear" w:color="auto" w:fill="DBDBDB"/>
          </w:tcPr>
          <w:p>
            <w:pPr>
              <w:spacing w:after="0"/>
              <w:rPr>
                <w:sz w:val="16"/>
                <w:szCs w:val="16"/>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84.0</w:t>
            </w:r>
          </w:p>
        </w:tc>
      </w:tr>
      <w:tr>
        <w:trPr>
          <w:trHeight w:val="184"/>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455.0</w:t>
            </w:r>
          </w:p>
        </w:tc>
      </w:tr>
      <w:tr>
        <w:trPr>
          <w:trHeight w:val="188"/>
        </w:trPr>
        <w:tc>
          <w:tcPr>
            <w:tcW w:w="320" w:type="dxa"/>
            <w:vAlign w:val="bottom"/>
            <w:tcBorders>
              <w:bottom w:val="single" w:sz="8" w:color="auto"/>
            </w:tcBorders>
            <w:shd w:val="clear" w:color="auto" w:fill="DBDBDB"/>
          </w:tcPr>
          <w:p>
            <w:pPr>
              <w:spacing w:after="0"/>
              <w:rPr>
                <w:sz w:val="16"/>
                <w:szCs w:val="16"/>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35.5</w:t>
            </w:r>
          </w:p>
        </w:tc>
      </w:tr>
      <w:tr>
        <w:trPr>
          <w:trHeight w:val="208"/>
        </w:trPr>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419.5</w:t>
            </w:r>
          </w:p>
        </w:tc>
      </w:tr>
      <w:tr>
        <w:trPr>
          <w:trHeight w:val="20"/>
        </w:trPr>
        <w:tc>
          <w:tcPr>
            <w:tcW w:w="320" w:type="dxa"/>
            <w:vAlign w:val="bottom"/>
            <w:tcBorders>
              <w:top w:val="single" w:sz="8" w:color="DBDBDB"/>
              <w:bottom w:val="single" w:sz="8" w:color="auto"/>
            </w:tcBorders>
          </w:tcPr>
          <w:p>
            <w:pPr>
              <w:spacing w:after="0" w:line="20" w:lineRule="exact"/>
              <w:rPr>
                <w:sz w:val="1"/>
                <w:szCs w:val="1"/>
                <w:color w:val="auto"/>
              </w:rPr>
            </w:pPr>
          </w:p>
        </w:tc>
        <w:tc>
          <w:tcPr>
            <w:tcW w:w="2400" w:type="dxa"/>
            <w:vAlign w:val="bottom"/>
            <w:tcBorders>
              <w:top w:val="single" w:sz="8" w:color="DBDBDB"/>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7800" w:space="720"/>
            <w:col w:w="2720"/>
          </w:cols>
          <w:pgMar w:left="320" w:top="144" w:right="339"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37"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2021</w:t>
            </w:r>
          </w:p>
        </w:tc>
        <w:tc>
          <w:tcPr>
            <w:tcW w:w="640" w:type="dxa"/>
            <w:vAlign w:val="bottom"/>
            <w:tcBorders>
              <w:top w:val="single" w:sz="8" w:color="auto"/>
              <w:bottom w:val="single" w:sz="8" w:color="auto"/>
            </w:tcBorders>
            <w:shd w:val="clear" w:color="auto" w:fill="DDDDDD"/>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2020</w:t>
            </w:r>
          </w:p>
        </w:tc>
      </w:tr>
      <w:tr>
        <w:trPr>
          <w:trHeight w:val="184"/>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42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5.43</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6.30</w:t>
            </w:r>
          </w:p>
        </w:tc>
      </w:tr>
      <w:tr>
        <w:trPr>
          <w:trHeight w:val="188"/>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142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2.9 %</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2.9 %</w:t>
            </w:r>
          </w:p>
        </w:tc>
      </w:tr>
    </w:tbl>
    <w:p>
      <w:pPr>
        <w:spacing w:after="0" w:line="107"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 provided by operating activities in our consolidated statements of cash flow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60" w:type="dxa"/>
            <w:vAlign w:val="bottom"/>
            <w:tcBorders>
              <w:bottom w:val="single" w:sz="8" w:color="auto"/>
            </w:tcBorders>
            <w:shd w:val="clear" w:color="auto" w:fill="DDDDDD"/>
          </w:tcPr>
          <w:p>
            <w:pPr>
              <w:spacing w:after="0"/>
              <w:rPr>
                <w:sz w:val="15"/>
                <w:szCs w:val="15"/>
                <w:color w:val="auto"/>
              </w:rPr>
            </w:pPr>
          </w:p>
        </w:tc>
        <w:tc>
          <w:tcPr>
            <w:tcW w:w="1520" w:type="dxa"/>
            <w:vAlign w:val="bottom"/>
            <w:tcBorders>
              <w:bottom w:val="single" w:sz="8" w:color="auto"/>
            </w:tcBorders>
            <w:shd w:val="clear" w:color="auto" w:fill="DDDDDD"/>
          </w:tcPr>
          <w:p>
            <w:pPr>
              <w:jc w:val="right"/>
              <w:ind w:right="768"/>
              <w:spacing w:after="0"/>
              <w:rPr>
                <w:sz w:val="20"/>
                <w:szCs w:val="20"/>
                <w:color w:val="auto"/>
              </w:rPr>
            </w:pPr>
            <w:r>
              <w:rPr>
                <w:rFonts w:ascii="Arial" w:cs="Arial" w:eastAsia="Arial" w:hAnsi="Arial"/>
                <w:sz w:val="14"/>
                <w:szCs w:val="14"/>
                <w:b w:val="1"/>
                <w:bCs w:val="1"/>
                <w:color w:val="257ACB"/>
              </w:rPr>
              <w:t>2021</w:t>
            </w: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105.8</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189"/>
        </w:trPr>
        <w:tc>
          <w:tcPr>
            <w:tcW w:w="7200" w:type="dxa"/>
            <w:vAlign w:val="bottom"/>
            <w:gridSpan w:val="2"/>
          </w:tcPr>
          <w:p>
            <w:pPr>
              <w:ind w:left="20"/>
              <w:spacing w:after="0"/>
              <w:rPr>
                <w:sz w:val="20"/>
                <w:szCs w:val="20"/>
                <w:color w:val="auto"/>
              </w:rPr>
            </w:pPr>
            <w:r>
              <w:rPr>
                <w:rFonts w:ascii="Arial" w:cs="Arial" w:eastAsia="Arial" w:hAnsi="Arial"/>
                <w:sz w:val="14"/>
                <w:szCs w:val="14"/>
                <w:color w:val="auto"/>
              </w:rPr>
              <w:t>Operating lease assets obtained in exchange for lease obligations</w:t>
            </w:r>
          </w:p>
        </w:tc>
        <w:tc>
          <w:tcPr>
            <w:tcW w:w="460" w:type="dxa"/>
            <w:vAlign w:val="bottom"/>
            <w:shd w:val="clear" w:color="auto" w:fill="DBDBDB"/>
          </w:tcPr>
          <w:p>
            <w:pPr>
              <w:spacing w:after="0"/>
              <w:rPr>
                <w:sz w:val="16"/>
                <w:szCs w:val="16"/>
                <w:color w:val="auto"/>
              </w:rPr>
            </w:pPr>
          </w:p>
        </w:tc>
        <w:tc>
          <w:tcPr>
            <w:tcW w:w="1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59.0</w:t>
            </w:r>
          </w:p>
        </w:tc>
      </w:tr>
    </w:tbl>
    <w:p>
      <w:pPr>
        <w:spacing w:after="0" w:line="238" w:lineRule="exact"/>
        <w:rPr>
          <w:sz w:val="20"/>
          <w:szCs w:val="20"/>
          <w:color w:val="auto"/>
        </w:rPr>
      </w:pPr>
    </w:p>
    <w:p>
      <w:pPr>
        <w:ind w:left="600" w:hanging="592"/>
        <w:spacing w:after="0"/>
        <w:tabs>
          <w:tab w:leader="none" w:pos="600" w:val="left"/>
        </w:tabs>
        <w:numPr>
          <w:ilvl w:val="0"/>
          <w:numId w:val="104"/>
        </w:numPr>
        <w:rPr>
          <w:rFonts w:ascii="Arial" w:cs="Arial" w:eastAsia="Arial" w:hAnsi="Arial"/>
          <w:sz w:val="22"/>
          <w:szCs w:val="22"/>
          <w:b w:val="1"/>
          <w:bCs w:val="1"/>
          <w:color w:val="578196"/>
        </w:rPr>
      </w:pPr>
      <w:r>
        <w:rPr>
          <w:rFonts w:ascii="Arial" w:cs="Arial" w:eastAsia="Arial" w:hAnsi="Arial"/>
          <w:sz w:val="22"/>
          <w:szCs w:val="22"/>
          <w:b w:val="1"/>
          <w:bCs w:val="1"/>
          <w:color w:val="578196"/>
        </w:rPr>
        <w:t>INDEBTEDNESS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indebtedness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6"/>
                <w:szCs w:val="16"/>
                <w:color w:val="auto"/>
              </w:rPr>
            </w:pPr>
          </w:p>
        </w:tc>
      </w:tr>
      <w:tr>
        <w:trPr>
          <w:trHeight w:val="183"/>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86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3"/>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Current portion:</w:t>
            </w:r>
          </w:p>
        </w:tc>
        <w:tc>
          <w:tcPr>
            <w:tcW w:w="120" w:type="dxa"/>
            <w:vAlign w:val="bottom"/>
            <w:shd w:val="clear" w:color="auto" w:fill="DDDDDD"/>
          </w:tcPr>
          <w:p>
            <w:pPr>
              <w:spacing w:after="0"/>
              <w:rPr>
                <w:sz w:val="15"/>
                <w:szCs w:val="15"/>
                <w:color w:val="auto"/>
              </w:rPr>
            </w:pPr>
          </w:p>
        </w:tc>
        <w:tc>
          <w:tcPr>
            <w:tcW w:w="18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3.625%</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999.1</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7180" w:type="dxa"/>
            <w:vAlign w:val="bottom"/>
            <w:gridSpan w:val="3"/>
          </w:tcPr>
          <w:p>
            <w:pPr>
              <w:ind w:left="360"/>
              <w:spacing w:after="0"/>
              <w:rPr>
                <w:sz w:val="20"/>
                <w:szCs w:val="20"/>
                <w:color w:val="auto"/>
              </w:rPr>
            </w:pPr>
            <w:r>
              <w:rPr>
                <w:rFonts w:ascii="Arial" w:cs="Arial" w:eastAsia="Arial" w:hAnsi="Arial"/>
                <w:sz w:val="14"/>
                <w:szCs w:val="14"/>
                <w:color w:val="auto"/>
              </w:rPr>
              <w:t>Current portion of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999.1</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5"/>
        </w:trPr>
        <w:tc>
          <w:tcPr>
            <w:tcW w:w="7180" w:type="dxa"/>
            <w:vAlign w:val="bottom"/>
            <w:gridSpan w:val="3"/>
          </w:tcPr>
          <w:p>
            <w:pPr>
              <w:ind w:left="20"/>
              <w:spacing w:after="0" w:line="155" w:lineRule="exact"/>
              <w:rPr>
                <w:sz w:val="20"/>
                <w:szCs w:val="20"/>
                <w:color w:val="auto"/>
              </w:rPr>
            </w:pPr>
            <w:r>
              <w:rPr>
                <w:rFonts w:ascii="Arial" w:cs="Arial" w:eastAsia="Arial" w:hAnsi="Arial"/>
                <w:sz w:val="14"/>
                <w:szCs w:val="14"/>
                <w:i w:val="1"/>
                <w:iCs w:val="1"/>
                <w:color w:val="auto"/>
              </w:rPr>
              <w:t>Non-current portion:</w:t>
            </w:r>
          </w:p>
        </w:tc>
        <w:tc>
          <w:tcPr>
            <w:tcW w:w="120" w:type="dxa"/>
            <w:vAlign w:val="bottom"/>
            <w:tcBorders>
              <w:top w:val="single" w:sz="8" w:color="auto"/>
            </w:tcBorders>
            <w:shd w:val="clear" w:color="auto" w:fill="DBDBDB"/>
          </w:tcPr>
          <w:p>
            <w:pPr>
              <w:spacing w:after="0"/>
              <w:rPr>
                <w:sz w:val="13"/>
                <w:szCs w:val="13"/>
                <w:color w:val="auto"/>
              </w:rPr>
            </w:pPr>
          </w:p>
        </w:tc>
        <w:tc>
          <w:tcPr>
            <w:tcW w:w="186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3.625%</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2022</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997.9</w:t>
            </w:r>
          </w:p>
        </w:tc>
      </w:tr>
      <w:tr>
        <w:trPr>
          <w:trHeight w:val="191"/>
        </w:trPr>
        <w:tc>
          <w:tcPr>
            <w:tcW w:w="740" w:type="dxa"/>
            <w:vAlign w:val="bottom"/>
          </w:tcPr>
          <w:p>
            <w:pPr>
              <w:jc w:val="right"/>
              <w:spacing w:after="0"/>
              <w:rPr>
                <w:sz w:val="20"/>
                <w:szCs w:val="20"/>
                <w:color w:val="auto"/>
              </w:rPr>
            </w:pPr>
            <w:r>
              <w:rPr>
                <w:rFonts w:ascii="Arial" w:cs="Arial" w:eastAsia="Arial" w:hAnsi="Arial"/>
                <w:sz w:val="14"/>
                <w:szCs w:val="14"/>
                <w:color w:val="auto"/>
              </w:rPr>
              <w:t>4.050%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1,742.9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1,741.2</w:t>
            </w: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2.250%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1,492.0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1,491.1</w:t>
            </w: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5.200%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r>
              <w:rPr>
                <w:rFonts w:ascii="Arial" w:cs="Arial" w:eastAsia="Arial" w:hAnsi="Arial"/>
                <w:sz w:val="9"/>
                <w:szCs w:val="9"/>
                <w:color w:val="auto"/>
              </w:rPr>
              <w:t>(1)</w:t>
            </w: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1,099.9</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1,723.4</w:t>
            </w:r>
          </w:p>
        </w:tc>
      </w:tr>
      <w:tr>
        <w:trPr>
          <w:trHeight w:val="189"/>
        </w:trPr>
        <w:tc>
          <w:tcPr>
            <w:tcW w:w="740" w:type="dxa"/>
            <w:vAlign w:val="bottom"/>
          </w:tcPr>
          <w:p>
            <w:pPr>
              <w:jc w:val="right"/>
              <w:spacing w:after="0"/>
              <w:rPr>
                <w:sz w:val="20"/>
                <w:szCs w:val="20"/>
                <w:color w:val="auto"/>
              </w:rPr>
            </w:pPr>
            <w:r>
              <w:rPr>
                <w:rFonts w:ascii="Arial" w:cs="Arial" w:eastAsia="Arial" w:hAnsi="Arial"/>
                <w:sz w:val="14"/>
                <w:szCs w:val="14"/>
                <w:color w:val="auto"/>
              </w:rPr>
              <w:t>3.150%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1,473.2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1,472.6</w:t>
            </w:r>
          </w:p>
        </w:tc>
      </w:tr>
      <w:tr>
        <w:trPr>
          <w:trHeight w:val="188"/>
        </w:trPr>
        <w:tc>
          <w:tcPr>
            <w:tcW w:w="740" w:type="dxa"/>
            <w:vAlign w:val="bottom"/>
          </w:tcPr>
          <w:p>
            <w:pPr>
              <w:jc w:val="right"/>
              <w:spacing w:after="0"/>
              <w:rPr>
                <w:sz w:val="20"/>
                <w:szCs w:val="20"/>
                <w:color w:val="auto"/>
              </w:rPr>
            </w:pPr>
            <w:r>
              <w:rPr>
                <w:rFonts w:ascii="Arial" w:cs="Arial" w:eastAsia="Arial" w:hAnsi="Arial"/>
                <w:sz w:val="14"/>
                <w:szCs w:val="14"/>
                <w:color w:val="auto"/>
              </w:rPr>
              <w:t>3.250%</w:t>
            </w:r>
          </w:p>
        </w:tc>
        <w:tc>
          <w:tcPr>
            <w:tcW w:w="644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r>
              <w:rPr>
                <w:rFonts w:ascii="Arial" w:cs="Arial" w:eastAsia="Arial" w:hAnsi="Arial"/>
                <w:sz w:val="9"/>
                <w:szCs w:val="9"/>
                <w:color w:val="auto"/>
              </w:rPr>
              <w:t>(1)</w:t>
            </w:r>
          </w:p>
        </w:tc>
        <w:tc>
          <w:tcPr>
            <w:tcW w:w="120" w:type="dxa"/>
            <w:vAlign w:val="bottom"/>
            <w:tcBorders>
              <w:bottom w:val="single" w:sz="8" w:color="auto"/>
            </w:tcBorders>
            <w:shd w:val="clear" w:color="auto" w:fill="DBDBDB"/>
          </w:tcPr>
          <w:p>
            <w:pPr>
              <w:spacing w:after="0"/>
              <w:rPr>
                <w:sz w:val="16"/>
                <w:szCs w:val="16"/>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466.0</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180" w:type="dxa"/>
            <w:vAlign w:val="bottom"/>
            <w:gridSpan w:val="3"/>
          </w:tcPr>
          <w:p>
            <w:pPr>
              <w:ind w:left="360"/>
              <w:spacing w:after="0"/>
              <w:rPr>
                <w:sz w:val="20"/>
                <w:szCs w:val="20"/>
                <w:color w:val="auto"/>
              </w:rPr>
            </w:pPr>
            <w:r>
              <w:rPr>
                <w:rFonts w:ascii="Arial" w:cs="Arial" w:eastAsia="Arial" w:hAnsi="Arial"/>
                <w:sz w:val="14"/>
                <w:szCs w:val="14"/>
                <w:color w:val="auto"/>
              </w:rPr>
              <w:t>Non-current portion of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6,274.0</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7,426.2</w:t>
            </w:r>
          </w:p>
        </w:tc>
      </w:tr>
      <w:tr>
        <w:trPr>
          <w:trHeight w:val="20"/>
        </w:trPr>
        <w:tc>
          <w:tcPr>
            <w:tcW w:w="7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7774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36" w:lineRule="exact"/>
        <w:rPr>
          <w:sz w:val="20"/>
          <w:szCs w:val="20"/>
          <w:color w:val="auto"/>
        </w:rPr>
      </w:pPr>
    </w:p>
    <w:p>
      <w:pPr>
        <w:ind w:right="100" w:firstLine="8"/>
        <w:spacing w:after="0" w:line="232" w:lineRule="auto"/>
        <w:tabs>
          <w:tab w:leader="none" w:pos="154" w:val="left"/>
        </w:tabs>
        <w:numPr>
          <w:ilvl w:val="0"/>
          <w:numId w:val="105"/>
        </w:numPr>
        <w:rPr>
          <w:rFonts w:ascii="Arial" w:cs="Arial" w:eastAsia="Arial" w:hAnsi="Arial"/>
          <w:sz w:val="17"/>
          <w:szCs w:val="17"/>
          <w:color w:val="auto"/>
          <w:vertAlign w:val="superscript"/>
        </w:rPr>
      </w:pPr>
      <w:r>
        <w:rPr>
          <w:rFonts w:ascii="Arial" w:cs="Arial" w:eastAsia="Arial" w:hAnsi="Arial"/>
          <w:sz w:val="13"/>
          <w:szCs w:val="13"/>
          <w:color w:val="auto"/>
        </w:rPr>
        <w:t>In February 2021 we completed our Exchange Offer of our tendered 2045 Senior Notes, whereby approximately $624.6 million of our 2045 Senior Notes were exchanged for approximately $700.7 million of our 2051 Senior Notes.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1" w:name="page142"/>
    <w:bookmarkEnd w:id="1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Exchange Offer</w:t>
      </w:r>
    </w:p>
    <w:p>
      <w:pPr>
        <w:spacing w:after="0" w:line="193"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In February 2021 we completed our Exchange Offer of our tendered 2045 Senior Notes for our 2051 Senior Notes and cash, and an offer to purchase our tendered 2045 Senior Notes for cash.</w:t>
      </w:r>
    </w:p>
    <w:p>
      <w:pPr>
        <w:spacing w:after="0" w:line="14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An aggregate principal amount of approximately $624.6 million of our 2045 Senior Notes was exchanged for an aggregate principal amount of approximately $700.7 million of our 2051 Senior Notes and aggregate cash payments of approximately $151.8 million. Our Exchange Offer has been accounted for as a debt modification; as such, the cash component has been reflected as additional debt discount and is amortized as an adjustment to interest expense over the term of our 2051 Senior Notes.</w:t>
      </w:r>
    </w:p>
    <w:p>
      <w:pPr>
        <w:spacing w:after="0" w:line="150"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In addition, we redeemed an aggregate principal amount of approximately $ 8.9 million of our 2045 Senior Notes for aggregate cash payments of approximately $ 12.1 million, excluding accrued and unpaid interest. The redemption has been accounted for as a debt extinguishment; as such, we recognized a pre-tax charge of $3.2 million upon the extinguishment of such 2045 Senior Notes. This charge, which was recognized in interest expense in other income (expense), net in our consolidated statements of income for the year ended December 31, 2021, reflects the payment of an early call premium and the write-off of the remaining unamortized original debt issuance costs and discount balances associated with such 2045 Senior Notes.</w:t>
      </w:r>
    </w:p>
    <w:p>
      <w:pPr>
        <w:spacing w:after="0" w:line="15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Upon settlement, we also made aggregate cash payments of approximately $13.8 million to settle all accrued and unpaid interest from the last interest payment date on our 2045 Senior Notes that were exchanged or redeemed. We incurred approximately $6.1 million of costs associated with our Exchange Offer, which was recognized in interest expense in other income (expense), net in our consolidated statements of income for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2020 Senior Notes</w:t>
      </w:r>
    </w:p>
    <w:p>
      <w:pPr>
        <w:spacing w:after="0" w:line="193"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On April 30, 2020, we issued senior unsecured notes for an aggregate principal amount of $3.0 billion (2020 Senior Notes), consisting of the following:</w:t>
      </w:r>
    </w:p>
    <w:p>
      <w:pPr>
        <w:spacing w:after="0" w:line="144" w:lineRule="exact"/>
        <w:rPr>
          <w:sz w:val="20"/>
          <w:szCs w:val="20"/>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7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2020 Senior Notes are senior unsecured obligations and may be redeemed at our option at any time at 100.0% of the principal amount plus accrued interest and, until a specified period before maturity, a specified make-whole amount. Our 2020 Senior Notes contain a change-of-control provision that, under certain circumstances, may require us to purchase our 2020 Senior Notes at a price equal to 101.0% of the principal amount plus accrued and unpaid interest to the date of repurchase.</w:t>
      </w:r>
    </w:p>
    <w:p>
      <w:pPr>
        <w:spacing w:after="0" w:line="15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incurred approximately $24.4 million of costs associated with this offering, which have been recorded as a reduction to the carrying amount of the debt on our consolidated balance sheet.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 Interest on our 2020 Senior Notes is payable May 1 and November 1 of each year, commencing November 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2015 Senior Notes</w:t>
      </w:r>
    </w:p>
    <w:p>
      <w:pPr>
        <w:spacing w:after="0" w:line="126"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The following is a summary of our currently outstanding senior secured notes issued in 2015 (the 2015 Senior Notes), consisting of the following:</w:t>
      </w:r>
    </w:p>
    <w:p>
      <w:pPr>
        <w:spacing w:after="0" w:line="144" w:lineRule="exact"/>
        <w:rPr>
          <w:sz w:val="20"/>
          <w:szCs w:val="20"/>
          <w:color w:val="auto"/>
        </w:rPr>
      </w:pPr>
    </w:p>
    <w:p>
      <w:pPr>
        <w:ind w:left="700" w:hanging="28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 valued at 99.920% of par;</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valued at 99.764% of par; and</w:t>
      </w:r>
    </w:p>
    <w:p>
      <w:pPr>
        <w:spacing w:after="0" w:line="171" w:lineRule="exact"/>
        <w:rPr>
          <w:rFonts w:ascii="Arial" w:cs="Arial" w:eastAsia="Arial" w:hAnsi="Arial"/>
          <w:sz w:val="18"/>
          <w:szCs w:val="18"/>
          <w:color w:val="auto"/>
        </w:rPr>
      </w:pPr>
    </w:p>
    <w:p>
      <w:pPr>
        <w:ind w:left="700" w:hanging="28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 valued at 99.294% of par.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original costs associated with this offering of approximately $ 47.5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w:t>
      </w:r>
    </w:p>
    <w:p>
      <w:pPr>
        <w:spacing w:after="0" w:line="148"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Our 2015 Senior Notes are senior unsecured obligations and may be redeemed at our option at any time at 100.0% of the principal amount plus accrued interest and a specified make-whole amount. Our 2015 Senior Notes contain a change of control provision that may require us to purchase the notes at a price equal to 101.0% of the principal amount plus accrued and unpaid interest to the date of purchase under certain circumstances.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15, 2015, we issued $1.5 billion aggregate principal amount of 2.90% Senior Notes due September 15, 2020,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99.792% of par. Our 2.90% Senior Notes were senior unsecured obligations. In connection with the 2.90% Senior Notes, we entered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contracts where we received a fixed rate and paid a variable rate. In May 2020 we used the net proceeds from the sale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2020 Senior Notes to redeem our 2.90% Senior Notes prior to their maturity and recognized a net pre-tax charge of $9.4 million upon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these notes. This charge, which was recognized in interest expense in other income (expense), net in our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for the year ended December 31, 2020, reflects the payment of a $12.7 million early call premium and the write off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remaining unamortized original debt issuance costs and discount balances, partially offset by a $3.3 million gain related to the settlement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associated interest rate swap contracts. For additional information on our interest rate contracts, please read </w:t>
      </w:r>
      <w:r>
        <w:rPr>
          <w:rFonts w:ascii="Arial" w:cs="Arial" w:eastAsia="Arial" w:hAnsi="Arial"/>
          <w:sz w:val="18"/>
          <w:szCs w:val="18"/>
          <w:i w:val="1"/>
          <w:iCs w:val="1"/>
          <w:color w:val="auto"/>
        </w:rPr>
        <w:t>Note 9, Derivative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to these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2020 Credit Facility</w:t>
      </w:r>
    </w:p>
    <w:p>
      <w:pPr>
        <w:spacing w:after="0" w:line="12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August 2015. As of December 31, 2021, we had no outstanding borrowings and were in compliance with all covenants under this facility.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Maturity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gross payments due under our debt arrangements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6"/>
                <w:szCs w:val="16"/>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2021</w:t>
            </w:r>
          </w:p>
        </w:tc>
      </w:tr>
      <w:tr>
        <w:trPr>
          <w:trHeight w:val="183"/>
        </w:trPr>
        <w:tc>
          <w:tcPr>
            <w:tcW w:w="8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1,000.0</w:t>
            </w:r>
          </w:p>
        </w:tc>
      </w:tr>
      <w:tr>
        <w:trPr>
          <w:trHeight w:val="190"/>
        </w:trPr>
        <w:tc>
          <w:tcPr>
            <w:tcW w:w="882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1,750.0</w:t>
            </w:r>
          </w:p>
        </w:tc>
      </w:tr>
      <w:tr>
        <w:trPr>
          <w:trHeight w:val="189"/>
        </w:trPr>
        <w:tc>
          <w:tcPr>
            <w:tcW w:w="8820" w:type="dxa"/>
            <w:vAlign w:val="bottom"/>
          </w:tcPr>
          <w:p>
            <w:pPr>
              <w:ind w:left="20"/>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188"/>
        </w:trPr>
        <w:tc>
          <w:tcPr>
            <w:tcW w:w="8920" w:type="dxa"/>
            <w:vAlign w:val="bottom"/>
            <w:gridSpan w:val="2"/>
          </w:tcPr>
          <w:p>
            <w:pPr>
              <w:ind w:left="20"/>
              <w:spacing w:after="0"/>
              <w:rPr>
                <w:sz w:val="20"/>
                <w:szCs w:val="20"/>
                <w:color w:val="auto"/>
              </w:rPr>
            </w:pPr>
            <w:r>
              <w:rPr>
                <w:rFonts w:ascii="Arial" w:cs="Arial" w:eastAsia="Arial" w:hAnsi="Arial"/>
                <w:sz w:val="14"/>
                <w:szCs w:val="14"/>
                <w:color w:val="auto"/>
              </w:rPr>
              <w:t>2027 and thereafter</w:t>
            </w:r>
          </w:p>
        </w:tc>
        <w:tc>
          <w:tcPr>
            <w:tcW w:w="180" w:type="dxa"/>
            <w:vAlign w:val="bottom"/>
            <w:tcBorders>
              <w:bottom w:val="single" w:sz="8" w:color="auto"/>
            </w:tcBorders>
            <w:shd w:val="clear" w:color="auto" w:fill="DBDBDB"/>
          </w:tcPr>
          <w:p>
            <w:pPr>
              <w:spacing w:after="0"/>
              <w:rPr>
                <w:sz w:val="16"/>
                <w:szCs w:val="16"/>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4,817.3</w:t>
            </w:r>
          </w:p>
        </w:tc>
      </w:tr>
      <w:tr>
        <w:trPr>
          <w:trHeight w:val="208"/>
        </w:trPr>
        <w:tc>
          <w:tcPr>
            <w:tcW w:w="892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7,567.3</w:t>
            </w: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fair value of our debt is disclosed in </w:t>
      </w:r>
      <w:r>
        <w:rPr>
          <w:rFonts w:ascii="Arial" w:cs="Arial" w:eastAsia="Arial" w:hAnsi="Arial"/>
          <w:sz w:val="18"/>
          <w:szCs w:val="18"/>
          <w:i w:val="1"/>
          <w:iCs w:val="1"/>
          <w:color w:val="auto"/>
        </w:rPr>
        <w:t>Note 7, Fair Value Measurements,</w:t>
      </w:r>
      <w:r>
        <w:rPr>
          <w:rFonts w:ascii="Arial" w:cs="Arial" w:eastAsia="Arial" w:hAnsi="Arial"/>
          <w:sz w:val="18"/>
          <w:szCs w:val="18"/>
          <w:color w:val="auto"/>
        </w:rPr>
        <w:t xml:space="preserve"> to these consolidated financial statements.</w:t>
      </w:r>
    </w:p>
    <w:p>
      <w:pPr>
        <w:spacing w:after="0" w:line="171"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22"/>
          <w:szCs w:val="22"/>
          <w:b w:val="1"/>
          <w:bCs w:val="1"/>
          <w:color w:val="578196"/>
        </w:rPr>
      </w:pPr>
      <w:r>
        <w:rPr>
          <w:rFonts w:ascii="Arial" w:cs="Arial" w:eastAsia="Arial" w:hAnsi="Arial"/>
          <w:sz w:val="22"/>
          <w:szCs w:val="22"/>
          <w:b w:val="1"/>
          <w:bCs w:val="1"/>
          <w:color w:val="578196"/>
        </w:rPr>
        <w:t>EQUITY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Preferred Stock</w:t>
      </w:r>
    </w:p>
    <w:p>
      <w:pPr>
        <w:spacing w:after="0" w:line="12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2021, 2020 and 2019.</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3" w:name="page144"/>
    <w:bookmarkEnd w:id="1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Common Stock</w:t>
      </w:r>
    </w:p>
    <w:p>
      <w:pPr>
        <w:spacing w:after="0" w:line="12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describes the number of shares authorized, issued and outstanding of our common stock as of December 31, 2021, 2020 and 2019:</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3120" w:type="dxa"/>
            <w:vAlign w:val="bottom"/>
            <w:tcBorders>
              <w:bottom w:val="single" w:sz="8" w:color="auto"/>
            </w:tcBorders>
            <w:gridSpan w:val="5"/>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As of December 31, 2021</w:t>
            </w:r>
          </w:p>
        </w:tc>
        <w:tc>
          <w:tcPr>
            <w:tcW w:w="10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As of December 31, 2019</w:t>
            </w:r>
          </w:p>
        </w:tc>
      </w:tr>
      <w:tr>
        <w:trPr>
          <w:trHeight w:val="183"/>
        </w:trPr>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DBDBDB"/>
            </w:tcBorders>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DBDBDB"/>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r>
      <w:tr>
        <w:trPr>
          <w:trHeight w:val="183"/>
        </w:trPr>
        <w:tc>
          <w:tcPr>
            <w:tcW w:w="15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1,000.0</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170.8</w:t>
            </w:r>
          </w:p>
        </w:tc>
        <w:tc>
          <w:tcPr>
            <w:tcW w:w="120" w:type="dxa"/>
            <w:vAlign w:val="bottom"/>
            <w:shd w:val="clear" w:color="auto" w:fill="DBDBDB"/>
          </w:tcPr>
          <w:p>
            <w:pPr>
              <w:spacing w:after="0"/>
              <w:rPr>
                <w:sz w:val="15"/>
                <w:szCs w:val="15"/>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176.2</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174.2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Share Repurchases</w:t>
      </w:r>
    </w:p>
    <w:p>
      <w:pPr>
        <w:spacing w:after="0" w:line="12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 Under our 2020 Share Repurchase Program, we repurchased and retired approximately 6.0 million and 1.6 million shares of our common stock at a cost of approximately $1.8 billion and $400.0 million during the years ended December 31, 2021 and 2020, respectively. Approximately $2.8 billion remained available under our 2020 Share Repurchase Program as of December 31, 2021.</w:t>
      </w:r>
    </w:p>
    <w:p>
      <w:pPr>
        <w:spacing w:after="0" w:line="84"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16.7 million shares of our common stock at a cost of approximately $5.0 billion during the year ended December 31, 2020.</w:t>
      </w:r>
    </w:p>
    <w:p>
      <w:pPr>
        <w:spacing w:after="0" w:line="150"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and 14.7 million shares of our common stock at a cost of approximately $1.3 billion and $3.7 billion during the years ended December 31, 2020 and 2019, respectively.</w:t>
      </w:r>
    </w:p>
    <w:p>
      <w:pPr>
        <w:spacing w:after="0" w:line="151"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August 2018 our Board of Directors authorized a program to repurchase up to $3.5 billion of our common stock (2018 Share Repurchase Program), which was completed as of June 30, 2019. All share repurchases under our 2018 Share Repurchase Program were retired. Under our 2018 Share Repurchase Program, we repurchased and retired approximately 8.9 million shares of our common stock at a cost of approximately $2.1 billion during the year ended December 31, 2019.</w:t>
      </w:r>
    </w:p>
    <w:p>
      <w:pPr>
        <w:spacing w:after="0" w:line="150"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Amounts paid to repurchase shares in excess of their par value are allocated between additional paid-in capital and retained earnings, with payments in excess of our additional paid-in-capital balance recorded as a reduction to retained earnings.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Accumulated Other Comprehensive Income (Loss)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changes in accumulated other comprehensive income (loss), net of tax by component: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Unfunded Status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Gains (Losses) on</w:t>
            </w: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1440" w:type="dxa"/>
            <w:vAlign w:val="bottom"/>
            <w:gridSpan w:val="3"/>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of Postretirement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Available for Sale,</w:t>
            </w: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Flow Hedges, Net</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Net Investment</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Benefit Plans, Net</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DDDD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DDDDD"/>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00" w:type="dxa"/>
            <w:vAlign w:val="bottom"/>
            <w:tcBorders>
              <w:bottom w:val="single" w:sz="8" w:color="DDDDDD"/>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of Tax</w:t>
            </w:r>
          </w:p>
        </w:tc>
        <w:tc>
          <w:tcPr>
            <w:tcW w:w="100" w:type="dxa"/>
            <w:vAlign w:val="bottom"/>
            <w:tcBorders>
              <w:bottom w:val="single" w:sz="8" w:color="DDDDD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Balance, December 31, 2020</w:t>
            </w: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center"/>
              <w:ind w:left="868"/>
              <w:spacing w:after="0"/>
              <w:rPr>
                <w:sz w:val="20"/>
                <w:szCs w:val="20"/>
                <w:color w:val="auto"/>
              </w:rPr>
            </w:pPr>
            <w:r>
              <w:rPr>
                <w:rFonts w:ascii="Arial" w:cs="Arial" w:eastAsia="Arial" w:hAnsi="Arial"/>
                <w:sz w:val="14"/>
                <w:szCs w:val="14"/>
                <w:color w:val="2573BA"/>
              </w:rPr>
              <w:t>1.4</w:t>
            </w:r>
          </w:p>
        </w:tc>
        <w:tc>
          <w:tcPr>
            <w:tcW w:w="380" w:type="dxa"/>
            <w:vAlign w:val="bottom"/>
            <w:gridSpan w:val="2"/>
            <w:shd w:val="clear" w:color="auto" w:fill="DDDDDD"/>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(179.0)</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(8.5)</w:t>
            </w:r>
          </w:p>
        </w:tc>
        <w:tc>
          <w:tcPr>
            <w:tcW w:w="100" w:type="dxa"/>
            <w:vAlign w:val="bottom"/>
            <w:shd w:val="clear" w:color="auto" w:fill="DDDDDD"/>
          </w:tcPr>
          <w:p>
            <w:pPr>
              <w:spacing w:after="0"/>
              <w:rPr>
                <w:sz w:val="15"/>
                <w:szCs w:val="15"/>
                <w:color w:val="auto"/>
              </w:rPr>
            </w:pPr>
          </w:p>
        </w:tc>
        <w:tc>
          <w:tcPr>
            <w:tcW w:w="440" w:type="dxa"/>
            <w:vAlign w:val="bottom"/>
            <w:shd w:val="clear" w:color="auto" w:fill="DDDDDD"/>
          </w:tcPr>
          <w:p>
            <w:pPr>
              <w:jc w:val="right"/>
              <w:ind w:right="268"/>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(66.3)</w:t>
            </w:r>
          </w:p>
        </w:tc>
        <w:tc>
          <w:tcPr>
            <w:tcW w:w="100" w:type="dxa"/>
            <w:vAlign w:val="bottom"/>
            <w:shd w:val="clear" w:color="auto" w:fill="DDDDDD"/>
          </w:tcPr>
          <w:p>
            <w:pPr>
              <w:spacing w:after="0"/>
              <w:rPr>
                <w:sz w:val="15"/>
                <w:szCs w:val="15"/>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(46.6)</w:t>
            </w: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(299.0)</w:t>
            </w:r>
          </w:p>
        </w:tc>
        <w:tc>
          <w:tcPr>
            <w:tcW w:w="0" w:type="dxa"/>
            <w:vAlign w:val="bottom"/>
          </w:tcPr>
          <w:p>
            <w:pPr>
              <w:spacing w:after="0"/>
              <w:rPr>
                <w:sz w:val="1"/>
                <w:szCs w:val="1"/>
                <w:color w:val="auto"/>
              </w:rPr>
            </w:pPr>
          </w:p>
        </w:tc>
      </w:tr>
      <w:tr>
        <w:trPr>
          <w:trHeight w:val="153"/>
        </w:trPr>
        <w:tc>
          <w:tcPr>
            <w:tcW w:w="30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center"/>
              <w:ind w:left="848"/>
              <w:spacing w:after="0"/>
              <w:rPr>
                <w:sz w:val="20"/>
                <w:szCs w:val="20"/>
                <w:color w:val="auto"/>
              </w:rPr>
            </w:pPr>
            <w:r>
              <w:rPr>
                <w:rFonts w:ascii="Arial" w:cs="Arial" w:eastAsia="Arial" w:hAnsi="Arial"/>
                <w:sz w:val="14"/>
                <w:szCs w:val="14"/>
                <w:color w:val="2573BA"/>
              </w:rPr>
              <w:t>(6.6)</w:t>
            </w:r>
          </w:p>
        </w:tc>
        <w:tc>
          <w:tcPr>
            <w:tcW w:w="1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178.2</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33.4</w:t>
            </w:r>
          </w:p>
        </w:tc>
        <w:tc>
          <w:tcPr>
            <w:tcW w:w="1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90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21.5</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(92.4)</w:t>
            </w:r>
          </w:p>
        </w:tc>
        <w:tc>
          <w:tcPr>
            <w:tcW w:w="1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134.1</w:t>
            </w:r>
          </w:p>
        </w:tc>
        <w:tc>
          <w:tcPr>
            <w:tcW w:w="0" w:type="dxa"/>
            <w:vAlign w:val="bottom"/>
          </w:tcPr>
          <w:p>
            <w:pPr>
              <w:spacing w:after="0"/>
              <w:rPr>
                <w:sz w:val="1"/>
                <w:szCs w:val="1"/>
                <w:color w:val="auto"/>
              </w:rPr>
            </w:pPr>
          </w:p>
        </w:tc>
      </w:tr>
      <w:tr>
        <w:trPr>
          <w:trHeight w:val="171"/>
        </w:trPr>
        <w:tc>
          <w:tcPr>
            <w:tcW w:w="3020" w:type="dxa"/>
            <w:vAlign w:val="bottom"/>
            <w:gridSpan w:val="2"/>
          </w:tcPr>
          <w:p>
            <w:pPr>
              <w:ind w:left="220"/>
              <w:spacing w:after="0"/>
              <w:rPr>
                <w:sz w:val="20"/>
                <w:szCs w:val="20"/>
                <w:color w:val="auto"/>
              </w:rPr>
            </w:pPr>
            <w:r>
              <w:rPr>
                <w:rFonts w:ascii="Arial" w:cs="Arial" w:eastAsia="Arial" w:hAnsi="Arial"/>
                <w:sz w:val="14"/>
                <w:szCs w:val="14"/>
                <w:color w:val="auto"/>
              </w:rPr>
              <w:t>before reclassifications</w:t>
            </w:r>
          </w:p>
        </w:tc>
        <w:tc>
          <w:tcPr>
            <w:tcW w:w="100" w:type="dxa"/>
            <w:vAlign w:val="bottom"/>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160" w:type="dxa"/>
            <w:vAlign w:val="bottom"/>
            <w:vMerge w:val="continue"/>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02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Amounts reclassified from accumulated</w:t>
            </w:r>
          </w:p>
        </w:tc>
        <w:tc>
          <w:tcPr>
            <w:tcW w:w="10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center"/>
              <w:ind w:left="868"/>
              <w:spacing w:after="0"/>
              <w:rPr>
                <w:sz w:val="20"/>
                <w:szCs w:val="20"/>
                <w:color w:val="auto"/>
              </w:rPr>
            </w:pPr>
            <w:r>
              <w:rPr>
                <w:rFonts w:ascii="Arial" w:cs="Arial" w:eastAsia="Arial" w:hAnsi="Arial"/>
                <w:sz w:val="14"/>
                <w:szCs w:val="14"/>
                <w:color w:val="2573BA"/>
              </w:rPr>
              <w:t>3.0</w:t>
            </w:r>
          </w:p>
        </w:tc>
        <w:tc>
          <w:tcPr>
            <w:tcW w:w="10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54.6</w:t>
            </w: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0.6</w:t>
            </w:r>
          </w:p>
        </w:tc>
        <w:tc>
          <w:tcPr>
            <w:tcW w:w="1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3"/>
                <w:szCs w:val="13"/>
                <w:color w:val="auto"/>
              </w:rPr>
            </w:pPr>
          </w:p>
        </w:tc>
        <w:tc>
          <w:tcPr>
            <w:tcW w:w="1280" w:type="dxa"/>
            <w:vAlign w:val="bottom"/>
            <w:gridSpan w:val="2"/>
            <w:vMerge w:val="restart"/>
            <w:shd w:val="clear" w:color="auto" w:fill="DBDBDB"/>
          </w:tcPr>
          <w:p>
            <w:pPr>
              <w:ind w:left="96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BDBDB"/>
          </w:tcPr>
          <w:p>
            <w:pPr>
              <w:spacing w:after="0"/>
              <w:rPr>
                <w:sz w:val="13"/>
                <w:szCs w:val="13"/>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58.2</w:t>
            </w:r>
          </w:p>
        </w:tc>
        <w:tc>
          <w:tcPr>
            <w:tcW w:w="0" w:type="dxa"/>
            <w:vAlign w:val="bottom"/>
          </w:tcPr>
          <w:p>
            <w:pPr>
              <w:spacing w:after="0"/>
              <w:rPr>
                <w:sz w:val="1"/>
                <w:szCs w:val="1"/>
                <w:color w:val="auto"/>
              </w:rPr>
            </w:pPr>
          </w:p>
        </w:tc>
      </w:tr>
      <w:tr>
        <w:trPr>
          <w:trHeight w:val="171"/>
        </w:trPr>
        <w:tc>
          <w:tcPr>
            <w:tcW w:w="3020" w:type="dxa"/>
            <w:vAlign w:val="bottom"/>
            <w:gridSpan w:val="2"/>
          </w:tcPr>
          <w:p>
            <w:pPr>
              <w:ind w:left="2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104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22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100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280" w:type="dxa"/>
            <w:vAlign w:val="bottom"/>
            <w:gridSpan w:val="2"/>
            <w:vMerge w:val="continue"/>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8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gridSpan w:val="2"/>
          </w:tcPr>
          <w:p>
            <w:pPr>
              <w:ind w:left="140"/>
              <w:spacing w:after="0" w:line="133" w:lineRule="exact"/>
              <w:rPr>
                <w:sz w:val="20"/>
                <w:szCs w:val="20"/>
                <w:color w:val="auto"/>
              </w:rPr>
            </w:pPr>
            <w:r>
              <w:rPr>
                <w:rFonts w:ascii="Arial" w:cs="Arial" w:eastAsia="Arial" w:hAnsi="Arial"/>
                <w:sz w:val="14"/>
                <w:szCs w:val="14"/>
                <w:color w:val="auto"/>
              </w:rPr>
              <w:t>Net current period other comprehensive</w:t>
            </w:r>
          </w:p>
        </w:tc>
        <w:tc>
          <w:tcPr>
            <w:tcW w:w="100" w:type="dxa"/>
            <w:vAlign w:val="bottom"/>
            <w:tcBorders>
              <w:top w:val="single" w:sz="8" w:color="auto"/>
            </w:tcBorders>
            <w:shd w:val="clear" w:color="auto" w:fill="DBDBDB"/>
          </w:tcPr>
          <w:p>
            <w:pPr>
              <w:spacing w:after="0"/>
              <w:rPr>
                <w:sz w:val="11"/>
                <w:szCs w:val="11"/>
                <w:color w:val="auto"/>
              </w:rPr>
            </w:pPr>
          </w:p>
        </w:tc>
        <w:tc>
          <w:tcPr>
            <w:tcW w:w="1260" w:type="dxa"/>
            <w:vAlign w:val="bottom"/>
            <w:tcBorders>
              <w:top w:val="single" w:sz="8" w:color="auto"/>
            </w:tcBorders>
            <w:vMerge w:val="restart"/>
            <w:shd w:val="clear" w:color="auto" w:fill="DBDBDB"/>
          </w:tcPr>
          <w:p>
            <w:pPr>
              <w:jc w:val="center"/>
              <w:ind w:left="848"/>
              <w:spacing w:after="0"/>
              <w:rPr>
                <w:sz w:val="20"/>
                <w:szCs w:val="20"/>
                <w:color w:val="auto"/>
              </w:rPr>
            </w:pPr>
            <w:r>
              <w:rPr>
                <w:rFonts w:ascii="Arial" w:cs="Arial" w:eastAsia="Arial" w:hAnsi="Arial"/>
                <w:sz w:val="14"/>
                <w:szCs w:val="14"/>
                <w:color w:val="2573BA"/>
              </w:rPr>
              <w:t>(3.6)</w:t>
            </w:r>
          </w:p>
        </w:tc>
        <w:tc>
          <w:tcPr>
            <w:tcW w:w="100" w:type="dxa"/>
            <w:vAlign w:val="bottom"/>
            <w:tcBorders>
              <w:top w:val="single" w:sz="8" w:color="DBDBDB"/>
            </w:tcBorders>
            <w:shd w:val="clear" w:color="auto" w:fill="DBDBDB"/>
          </w:tcPr>
          <w:p>
            <w:pPr>
              <w:spacing w:after="0"/>
              <w:rPr>
                <w:sz w:val="11"/>
                <w:szCs w:val="11"/>
                <w:color w:val="auto"/>
              </w:rPr>
            </w:pPr>
          </w:p>
        </w:tc>
        <w:tc>
          <w:tcPr>
            <w:tcW w:w="280" w:type="dxa"/>
            <w:vAlign w:val="bottom"/>
            <w:tcBorders>
              <w:top w:val="single" w:sz="8" w:color="auto"/>
            </w:tcBorders>
            <w:shd w:val="clear" w:color="auto" w:fill="DBDBDB"/>
          </w:tcPr>
          <w:p>
            <w:pPr>
              <w:spacing w:after="0"/>
              <w:rPr>
                <w:sz w:val="11"/>
                <w:szCs w:val="11"/>
                <w:color w:val="auto"/>
              </w:rPr>
            </w:pPr>
          </w:p>
        </w:tc>
        <w:tc>
          <w:tcPr>
            <w:tcW w:w="104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232.8</w:t>
            </w:r>
          </w:p>
        </w:tc>
        <w:tc>
          <w:tcPr>
            <w:tcW w:w="100" w:type="dxa"/>
            <w:vAlign w:val="bottom"/>
            <w:tcBorders>
              <w:top w:val="single" w:sz="8" w:color="DBDBDB"/>
            </w:tcBorders>
            <w:shd w:val="clear" w:color="auto" w:fill="DBDBDB"/>
          </w:tcPr>
          <w:p>
            <w:pPr>
              <w:spacing w:after="0"/>
              <w:rPr>
                <w:sz w:val="11"/>
                <w:szCs w:val="11"/>
                <w:color w:val="auto"/>
              </w:rPr>
            </w:pPr>
          </w:p>
        </w:tc>
        <w:tc>
          <w:tcPr>
            <w:tcW w:w="120" w:type="dxa"/>
            <w:vAlign w:val="bottom"/>
            <w:tcBorders>
              <w:top w:val="single" w:sz="8" w:color="auto"/>
            </w:tcBorders>
            <w:shd w:val="clear" w:color="auto" w:fill="DBDBDB"/>
          </w:tcPr>
          <w:p>
            <w:pPr>
              <w:spacing w:after="0"/>
              <w:rPr>
                <w:sz w:val="11"/>
                <w:szCs w:val="11"/>
                <w:color w:val="auto"/>
              </w:rPr>
            </w:pPr>
          </w:p>
        </w:tc>
        <w:tc>
          <w:tcPr>
            <w:tcW w:w="1220" w:type="dxa"/>
            <w:vAlign w:val="bottom"/>
            <w:tcBorders>
              <w:top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34.0</w:t>
            </w:r>
          </w:p>
        </w:tc>
        <w:tc>
          <w:tcPr>
            <w:tcW w:w="100" w:type="dxa"/>
            <w:vAlign w:val="bottom"/>
            <w:tcBorders>
              <w:top w:val="single" w:sz="8" w:color="DBDBDB"/>
            </w:tcBorders>
            <w:shd w:val="clear" w:color="auto" w:fill="DBDBDB"/>
          </w:tcPr>
          <w:p>
            <w:pPr>
              <w:spacing w:after="0"/>
              <w:rPr>
                <w:sz w:val="11"/>
                <w:szCs w:val="11"/>
                <w:color w:val="auto"/>
              </w:rPr>
            </w:pPr>
          </w:p>
        </w:tc>
        <w:tc>
          <w:tcPr>
            <w:tcW w:w="44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21.5</w:t>
            </w:r>
          </w:p>
        </w:tc>
        <w:tc>
          <w:tcPr>
            <w:tcW w:w="10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tcBorders>
            <w:shd w:val="clear" w:color="auto" w:fill="DBDBDB"/>
          </w:tcPr>
          <w:p>
            <w:pPr>
              <w:spacing w:after="0"/>
              <w:rPr>
                <w:sz w:val="11"/>
                <w:szCs w:val="11"/>
                <w:color w:val="auto"/>
              </w:rPr>
            </w:pPr>
          </w:p>
        </w:tc>
        <w:tc>
          <w:tcPr>
            <w:tcW w:w="116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(92.4)</w:t>
            </w:r>
          </w:p>
        </w:tc>
        <w:tc>
          <w:tcPr>
            <w:tcW w:w="120" w:type="dxa"/>
            <w:vAlign w:val="bottom"/>
            <w:tcBorders>
              <w:top w:val="single" w:sz="8" w:color="DBDBDB"/>
            </w:tcBorders>
            <w:shd w:val="clear" w:color="auto" w:fill="DBDBDB"/>
          </w:tcPr>
          <w:p>
            <w:pPr>
              <w:spacing w:after="0"/>
              <w:rPr>
                <w:sz w:val="11"/>
                <w:szCs w:val="11"/>
                <w:color w:val="auto"/>
              </w:rPr>
            </w:pPr>
          </w:p>
        </w:tc>
        <w:tc>
          <w:tcPr>
            <w:tcW w:w="220" w:type="dxa"/>
            <w:vAlign w:val="bottom"/>
            <w:tcBorders>
              <w:top w:val="single" w:sz="8" w:color="auto"/>
            </w:tcBorders>
            <w:shd w:val="clear" w:color="auto" w:fill="DBDBDB"/>
          </w:tcPr>
          <w:p>
            <w:pPr>
              <w:spacing w:after="0"/>
              <w:rPr>
                <w:sz w:val="11"/>
                <w:szCs w:val="11"/>
                <w:color w:val="auto"/>
              </w:rPr>
            </w:pPr>
          </w:p>
        </w:tc>
        <w:tc>
          <w:tcPr>
            <w:tcW w:w="8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4"/>
                <w:szCs w:val="14"/>
                <w:color w:val="2573BA"/>
              </w:rPr>
              <w:t>192.3</w:t>
            </w:r>
          </w:p>
        </w:tc>
        <w:tc>
          <w:tcPr>
            <w:tcW w:w="0" w:type="dxa"/>
            <w:vAlign w:val="bottom"/>
          </w:tcPr>
          <w:p>
            <w:pPr>
              <w:spacing w:after="0"/>
              <w:rPr>
                <w:sz w:val="1"/>
                <w:szCs w:val="1"/>
                <w:color w:val="auto"/>
              </w:rPr>
            </w:pPr>
          </w:p>
        </w:tc>
      </w:tr>
      <w:tr>
        <w:trPr>
          <w:trHeight w:val="171"/>
        </w:trPr>
        <w:tc>
          <w:tcPr>
            <w:tcW w:w="3020" w:type="dxa"/>
            <w:vAlign w:val="bottom"/>
            <w:gridSpan w:val="2"/>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tcBorders>
              <w:bottom w:val="single" w:sz="8" w:color="auto"/>
            </w:tcBorders>
            <w:shd w:val="clear" w:color="auto" w:fill="DBDBDB"/>
          </w:tcPr>
          <w:p>
            <w:pPr>
              <w:spacing w:after="0"/>
              <w:rPr>
                <w:sz w:val="14"/>
                <w:szCs w:val="14"/>
                <w:color w:val="auto"/>
              </w:rPr>
            </w:pPr>
          </w:p>
        </w:tc>
        <w:tc>
          <w:tcPr>
            <w:tcW w:w="126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auto"/>
            </w:tcBorders>
            <w:shd w:val="clear" w:color="auto" w:fill="DBDBDB"/>
          </w:tcPr>
          <w:p>
            <w:pPr>
              <w:spacing w:after="0"/>
              <w:rPr>
                <w:sz w:val="14"/>
                <w:szCs w:val="14"/>
                <w:color w:val="auto"/>
              </w:rPr>
            </w:pPr>
          </w:p>
        </w:tc>
        <w:tc>
          <w:tcPr>
            <w:tcW w:w="104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22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auto"/>
            </w:tcBorders>
            <w:shd w:val="clear" w:color="auto" w:fill="DBDBDB"/>
          </w:tcPr>
          <w:p>
            <w:pPr>
              <w:spacing w:after="0"/>
              <w:rPr>
                <w:sz w:val="14"/>
                <w:szCs w:val="14"/>
                <w:color w:val="auto"/>
              </w:rPr>
            </w:pPr>
          </w:p>
        </w:tc>
        <w:tc>
          <w:tcPr>
            <w:tcW w:w="900" w:type="dxa"/>
            <w:vAlign w:val="bottom"/>
            <w:tcBorders>
              <w:bottom w:val="single" w:sz="8" w:color="auto"/>
            </w:tcBorders>
            <w:vMerge w:val="continue"/>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1160" w:type="dxa"/>
            <w:vAlign w:val="bottom"/>
            <w:tcBorders>
              <w:bottom w:val="single" w:sz="8" w:color="auto"/>
            </w:tcBorders>
            <w:vMerge w:val="continue"/>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800" w:type="dxa"/>
            <w:vAlign w:val="bottom"/>
            <w:tcBorders>
              <w:bottom w:val="single" w:sz="8" w:color="auto"/>
            </w:tcBorders>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Balance, December 31, 2021</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60" w:type="dxa"/>
            <w:vAlign w:val="bottom"/>
            <w:tcBorders>
              <w:bottom w:val="single" w:sz="8" w:color="auto"/>
            </w:tcBorders>
            <w:shd w:val="clear" w:color="auto" w:fill="DBDBDB"/>
          </w:tcPr>
          <w:p>
            <w:pPr>
              <w:jc w:val="center"/>
              <w:ind w:left="848"/>
              <w:spacing w:after="0"/>
              <w:rPr>
                <w:sz w:val="20"/>
                <w:szCs w:val="20"/>
                <w:color w:val="auto"/>
              </w:rPr>
            </w:pPr>
            <w:r>
              <w:rPr>
                <w:rFonts w:ascii="Arial" w:cs="Arial" w:eastAsia="Arial" w:hAnsi="Arial"/>
                <w:sz w:val="14"/>
                <w:szCs w:val="14"/>
                <w:color w:val="2573BA"/>
              </w:rPr>
              <w:t>(2.2)</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53.8</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25.5</w:t>
            </w:r>
          </w:p>
        </w:tc>
        <w:tc>
          <w:tcPr>
            <w:tcW w:w="100" w:type="dxa"/>
            <w:vAlign w:val="bottom"/>
            <w:tcBorders>
              <w:bottom w:val="single" w:sz="8" w:color="DBDBDB"/>
            </w:tcBorders>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color w:val="2573BA"/>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(44.8)</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(139.0)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(106.7)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rPr>
              <w:t>Unrealized Gains</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Unfunded Status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(Losses) on</w:t>
            </w:r>
          </w:p>
        </w:tc>
        <w:tc>
          <w:tcPr>
            <w:tcW w:w="1420" w:type="dxa"/>
            <w:vAlign w:val="bottom"/>
            <w:gridSpan w:val="3"/>
            <w:vMerge w:val="continue"/>
          </w:tcPr>
          <w:p>
            <w:pPr>
              <w:spacing w:after="0"/>
              <w:rPr>
                <w:sz w:val="11"/>
                <w:szCs w:val="11"/>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Gains (Losses) on</w:t>
            </w: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Securities</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1440" w:type="dxa"/>
            <w:vAlign w:val="bottom"/>
            <w:gridSpan w:val="3"/>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of Postretirement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rPr>
              <w:t>Available for Sale,</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Flow Hedges, Net</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Net Investment</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Benefit Plans, Net</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gridSpan w:val="3"/>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152"/>
        </w:trPr>
        <w:tc>
          <w:tcPr>
            <w:tcW w:w="3020" w:type="dxa"/>
            <w:vAlign w:val="bottom"/>
            <w:gridSpan w:val="3"/>
          </w:tcPr>
          <w:p>
            <w:pPr>
              <w:ind w:left="220"/>
              <w:spacing w:after="0" w:line="152" w:lineRule="exact"/>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72"/>
        </w:trPr>
        <w:tc>
          <w:tcPr>
            <w:tcW w:w="3020" w:type="dxa"/>
            <w:vAlign w:val="bottom"/>
            <w:gridSpan w:val="3"/>
          </w:tcPr>
          <w:p>
            <w:pPr>
              <w:ind w:left="220"/>
              <w:spacing w:after="0"/>
              <w:rPr>
                <w:sz w:val="20"/>
                <w:szCs w:val="20"/>
                <w:color w:val="auto"/>
              </w:rPr>
            </w:pPr>
            <w:r>
              <w:rPr>
                <w:rFonts w:ascii="Arial" w:cs="Arial" w:eastAsia="Arial" w:hAnsi="Arial"/>
                <w:sz w:val="14"/>
                <w:szCs w:val="14"/>
                <w:color w:val="auto"/>
              </w:rPr>
              <w:t>before reclassifications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20" w:type="dxa"/>
            <w:vAlign w:val="bottom"/>
            <w:gridSpan w:val="3"/>
          </w:tcPr>
          <w:p>
            <w:pPr>
              <w:ind w:left="220"/>
              <w:spacing w:after="0" w:line="152" w:lineRule="exact"/>
              <w:rPr>
                <w:sz w:val="20"/>
                <w:szCs w:val="20"/>
                <w:color w:val="auto"/>
              </w:rPr>
            </w:pPr>
            <w:r>
              <w:rPr>
                <w:rFonts w:ascii="Arial" w:cs="Arial" w:eastAsia="Arial" w:hAnsi="Arial"/>
                <w:sz w:val="14"/>
                <w:szCs w:val="14"/>
                <w:color w:val="auto"/>
              </w:rPr>
              <w:t>Amounts reclassified from 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1"/>
        </w:trPr>
        <w:tc>
          <w:tcPr>
            <w:tcW w:w="3020" w:type="dxa"/>
            <w:vAlign w:val="bottom"/>
            <w:gridSpan w:val="3"/>
          </w:tcPr>
          <w:p>
            <w:pPr>
              <w:ind w:left="220"/>
              <w:spacing w:after="0"/>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gridSpan w:val="3"/>
          </w:tcPr>
          <w:p>
            <w:pPr>
              <w:ind w:left="140"/>
              <w:spacing w:after="0" w:line="133" w:lineRule="exact"/>
              <w:rPr>
                <w:sz w:val="20"/>
                <w:szCs w:val="20"/>
                <w:color w:val="auto"/>
              </w:rPr>
            </w:pPr>
            <w:r>
              <w:rPr>
                <w:rFonts w:ascii="Arial" w:cs="Arial" w:eastAsia="Arial" w:hAnsi="Arial"/>
                <w:sz w:val="14"/>
                <w:szCs w:val="14"/>
                <w:color w:val="auto"/>
              </w:rPr>
              <w:t>Net current period other comprehensive</w:t>
            </w: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w:t>
            </w: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92.9</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171"/>
        </w:trPr>
        <w:tc>
          <w:tcPr>
            <w:tcW w:w="3020" w:type="dxa"/>
            <w:vAlign w:val="bottom"/>
            <w:gridSpan w:val="3"/>
          </w:tcPr>
          <w:p>
            <w:pPr>
              <w:ind w:left="140"/>
              <w:spacing w:after="0"/>
              <w:rPr>
                <w:sz w:val="20"/>
                <w:szCs w:val="20"/>
                <w:color w:val="auto"/>
              </w:rPr>
            </w:pPr>
            <w:r>
              <w:rPr>
                <w:rFonts w:ascii="Arial" w:cs="Arial" w:eastAsia="Arial" w:hAnsi="Arial"/>
                <w:sz w:val="14"/>
                <w:szCs w:val="14"/>
                <w:color w:val="auto"/>
              </w:rPr>
              <w:t>income (loss)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gridSpan w:val="3"/>
          </w:tcPr>
          <w:p>
            <w:pPr>
              <w:ind w:left="20"/>
              <w:spacing w:after="0"/>
              <w:rPr>
                <w:sz w:val="20"/>
                <w:szCs w:val="20"/>
                <w:color w:val="auto"/>
              </w:rPr>
            </w:pPr>
            <w:r>
              <w:rPr>
                <w:rFonts w:ascii="Arial" w:cs="Arial" w:eastAsia="Arial" w:hAnsi="Arial"/>
                <w:sz w:val="14"/>
                <w:szCs w:val="14"/>
                <w:color w:val="auto"/>
              </w:rPr>
              <w:t>Balance, December 31, 2020</w:t>
            </w: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120"/>
              <w:spacing w:after="0" w:line="142" w:lineRule="exact"/>
              <w:rPr>
                <w:sz w:val="20"/>
                <w:szCs w:val="20"/>
                <w:color w:val="auto"/>
              </w:rPr>
            </w:pPr>
            <w:r>
              <w:rPr>
                <w:rFonts w:ascii="Arial" w:cs="Arial" w:eastAsia="Arial" w:hAnsi="Arial"/>
                <w:sz w:val="14"/>
                <w:szCs w:val="14"/>
                <w:b w:val="1"/>
                <w:bCs w:val="1"/>
                <w:color w:val="auto"/>
              </w:rPr>
              <w:t>Unrealized Gains</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Unfunded Status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(Losses) on</w:t>
            </w:r>
          </w:p>
        </w:tc>
        <w:tc>
          <w:tcPr>
            <w:tcW w:w="1420" w:type="dxa"/>
            <w:vAlign w:val="bottom"/>
            <w:gridSpan w:val="3"/>
            <w:vMerge w:val="continue"/>
          </w:tcPr>
          <w:p>
            <w:pPr>
              <w:spacing w:after="0"/>
              <w:rPr>
                <w:sz w:val="11"/>
                <w:szCs w:val="11"/>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Gains (Losses) on</w:t>
            </w:r>
          </w:p>
        </w:tc>
        <w:tc>
          <w:tcPr>
            <w:tcW w:w="14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rPr>
              <w:t>Securities</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1440" w:type="dxa"/>
            <w:vAlign w:val="bottom"/>
            <w:gridSpan w:val="3"/>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of Postretirement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rPr>
              <w:t>Available for Sale,</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Flow Hedges, Net</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Net Investment</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Benefit Plans, Net</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94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Net of Tax</w:t>
            </w:r>
          </w:p>
        </w:tc>
        <w:tc>
          <w:tcPr>
            <w:tcW w:w="120" w:type="dxa"/>
            <w:vAlign w:val="bottom"/>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6"/>
              </w:rPr>
              <w:t>of Tax</w:t>
            </w:r>
          </w:p>
        </w:tc>
        <w:tc>
          <w:tcPr>
            <w:tcW w:w="10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Hedge, Net of Tax</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rPr>
              <w:t>of Tax</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gridSpan w:val="3"/>
          </w:tcPr>
          <w:p>
            <w:pPr>
              <w:ind w:left="20"/>
              <w:spacing w:after="0"/>
              <w:rPr>
                <w:sz w:val="20"/>
                <w:szCs w:val="20"/>
                <w:color w:val="auto"/>
              </w:rPr>
            </w:pPr>
            <w:r>
              <w:rPr>
                <w:rFonts w:ascii="Arial" w:cs="Arial" w:eastAsia="Arial" w:hAnsi="Arial"/>
                <w:sz w:val="14"/>
                <w:szCs w:val="14"/>
                <w:color w:val="auto"/>
              </w:rPr>
              <w:t>Balance, December 31, 2018</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(243.3)</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152"/>
        </w:trPr>
        <w:tc>
          <w:tcPr>
            <w:tcW w:w="3020" w:type="dxa"/>
            <w:vAlign w:val="bottom"/>
            <w:gridSpan w:val="3"/>
          </w:tcPr>
          <w:p>
            <w:pPr>
              <w:ind w:left="220"/>
              <w:spacing w:after="0" w:line="152" w:lineRule="exact"/>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172"/>
        </w:trPr>
        <w:tc>
          <w:tcPr>
            <w:tcW w:w="3020" w:type="dxa"/>
            <w:vAlign w:val="bottom"/>
            <w:gridSpan w:val="3"/>
          </w:tcPr>
          <w:p>
            <w:pPr>
              <w:ind w:left="220"/>
              <w:spacing w:after="0"/>
              <w:rPr>
                <w:sz w:val="20"/>
                <w:szCs w:val="20"/>
                <w:color w:val="auto"/>
              </w:rPr>
            </w:pPr>
            <w:r>
              <w:rPr>
                <w:rFonts w:ascii="Arial" w:cs="Arial" w:eastAsia="Arial" w:hAnsi="Arial"/>
                <w:sz w:val="14"/>
                <w:szCs w:val="14"/>
                <w:color w:val="auto"/>
              </w:rPr>
              <w:t>before reclassifications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20" w:type="dxa"/>
            <w:vAlign w:val="bottom"/>
            <w:gridSpan w:val="3"/>
          </w:tcPr>
          <w:p>
            <w:pPr>
              <w:ind w:left="220"/>
              <w:spacing w:after="0" w:line="152" w:lineRule="exact"/>
              <w:rPr>
                <w:sz w:val="20"/>
                <w:szCs w:val="20"/>
                <w:color w:val="auto"/>
              </w:rPr>
            </w:pPr>
            <w:r>
              <w:rPr>
                <w:rFonts w:ascii="Arial" w:cs="Arial" w:eastAsia="Arial" w:hAnsi="Arial"/>
                <w:sz w:val="14"/>
                <w:szCs w:val="14"/>
                <w:color w:val="auto"/>
              </w:rPr>
              <w:t>Amounts reclassified from accumulated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71"/>
        </w:trPr>
        <w:tc>
          <w:tcPr>
            <w:tcW w:w="3020" w:type="dxa"/>
            <w:vAlign w:val="bottom"/>
            <w:gridSpan w:val="3"/>
          </w:tcPr>
          <w:p>
            <w:pPr>
              <w:ind w:left="220"/>
              <w:spacing w:after="0"/>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020" w:type="dxa"/>
            <w:vAlign w:val="bottom"/>
            <w:gridSpan w:val="3"/>
          </w:tcPr>
          <w:p>
            <w:pPr>
              <w:ind w:left="140"/>
              <w:spacing w:after="0" w:line="133" w:lineRule="exact"/>
              <w:rPr>
                <w:sz w:val="20"/>
                <w:szCs w:val="20"/>
                <w:color w:val="auto"/>
              </w:rPr>
            </w:pPr>
            <w:r>
              <w:rPr>
                <w:rFonts w:ascii="Arial" w:cs="Arial" w:eastAsia="Arial" w:hAnsi="Arial"/>
                <w:sz w:val="14"/>
                <w:szCs w:val="14"/>
                <w:color w:val="auto"/>
              </w:rPr>
              <w:t>Net current period other comprehensive</w:t>
            </w: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71"/>
        </w:trPr>
        <w:tc>
          <w:tcPr>
            <w:tcW w:w="3020" w:type="dxa"/>
            <w:vAlign w:val="bottom"/>
            <w:gridSpan w:val="3"/>
          </w:tcPr>
          <w:p>
            <w:pPr>
              <w:ind w:left="140"/>
              <w:spacing w:after="0"/>
              <w:rPr>
                <w:sz w:val="20"/>
                <w:szCs w:val="20"/>
                <w:color w:val="auto"/>
              </w:rPr>
            </w:pPr>
            <w:r>
              <w:rPr>
                <w:rFonts w:ascii="Arial" w:cs="Arial" w:eastAsia="Arial" w:hAnsi="Arial"/>
                <w:sz w:val="14"/>
                <w:szCs w:val="14"/>
                <w:color w:val="auto"/>
              </w:rPr>
              <w:t>income (loss)</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gridSpan w:val="3"/>
          </w:tcPr>
          <w:p>
            <w:pPr>
              <w:ind w:left="20"/>
              <w:spacing w:after="0"/>
              <w:rPr>
                <w:sz w:val="20"/>
                <w:szCs w:val="20"/>
                <w:color w:val="auto"/>
              </w:rPr>
            </w:pPr>
            <w:r>
              <w:rPr>
                <w:rFonts w:ascii="Arial" w:cs="Arial" w:eastAsia="Arial" w:hAnsi="Arial"/>
                <w:sz w:val="14"/>
                <w:szCs w:val="14"/>
                <w:color w:val="auto"/>
              </w:rPr>
              <w:t>Balance, December 31, 2019</w:t>
            </w:r>
          </w:p>
        </w:tc>
        <w:tc>
          <w:tcPr>
            <w:tcW w:w="2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amounts reclassified from accumulated other comprehensive income (loss):</w:t>
      </w:r>
    </w:p>
    <w:p>
      <w:pPr>
        <w:spacing w:after="0" w:line="178"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Amounts Reclassified from</w:t>
      </w:r>
    </w:p>
    <w:p>
      <w:pPr>
        <w:jc w:val="center"/>
        <w:ind w:left="7140"/>
        <w:spacing w:after="0"/>
        <w:rPr>
          <w:sz w:val="20"/>
          <w:szCs w:val="20"/>
          <w:color w:val="auto"/>
        </w:rPr>
      </w:pPr>
      <w:r>
        <w:rPr>
          <w:rFonts w:ascii="Arial" w:cs="Arial" w:eastAsia="Arial" w:hAnsi="Arial"/>
          <w:sz w:val="14"/>
          <w:szCs w:val="14"/>
          <w:b w:val="1"/>
          <w:bCs w:val="1"/>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6350</wp:posOffset>
            </wp:positionV>
            <wp:extent cx="25888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r>
      <w:tr>
        <w:trPr>
          <w:trHeight w:val="196"/>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100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118.6</w:t>
            </w:r>
          </w:p>
        </w:tc>
      </w:tr>
      <w:tr>
        <w:trPr>
          <w:trHeight w:val="191"/>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Operating expense</w:t>
            </w: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189"/>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188"/>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97"/>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net investment hedge</w:t>
            </w:r>
          </w:p>
        </w:tc>
        <w:tc>
          <w:tcPr>
            <w:tcW w:w="3160" w:type="dxa"/>
            <w:vAlign w:val="bottom"/>
            <w:gridSpan w:val="2"/>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DBDBDB"/>
            </w:tcBorders>
            <w:shd w:val="clear" w:color="auto" w:fill="DBDBDB"/>
          </w:tcPr>
          <w:p>
            <w:pPr>
              <w:spacing w:after="0"/>
              <w:rPr>
                <w:sz w:val="24"/>
                <w:szCs w:val="24"/>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Total reclassifications, net of tax</w:t>
            </w: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(58.2)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125.6</w:t>
            </w: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22"/>
          <w:szCs w:val="22"/>
          <w:b w:val="1"/>
          <w:bCs w:val="1"/>
          <w:color w:val="578196"/>
        </w:rPr>
      </w:pPr>
      <w:r>
        <w:rPr>
          <w:rFonts w:ascii="Arial" w:cs="Arial" w:eastAsia="Arial" w:hAnsi="Arial"/>
          <w:sz w:val="22"/>
          <w:szCs w:val="22"/>
          <w:b w:val="1"/>
          <w:bCs w:val="1"/>
          <w:color w:val="578196"/>
        </w:rPr>
        <w:t>EARNINGS PER SHARE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40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1,556.1</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4,000.6</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5,888.5</w:t>
            </w:r>
          </w:p>
        </w:tc>
      </w:tr>
      <w:tr>
        <w:trPr>
          <w:trHeight w:val="157"/>
        </w:trPr>
        <w:tc>
          <w:tcPr>
            <w:tcW w:w="60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400" w:type="dxa"/>
            <w:vAlign w:val="bottom"/>
            <w:tcBorders>
              <w:top w:val="single" w:sz="8" w:color="auto"/>
            </w:tcBorders>
            <w:shd w:val="clear" w:color="auto" w:fill="DBDBDB"/>
          </w:tcPr>
          <w:p>
            <w:pPr>
              <w:spacing w:after="0"/>
              <w:rPr>
                <w:sz w:val="13"/>
                <w:szCs w:val="13"/>
                <w:color w:val="auto"/>
              </w:rPr>
            </w:pPr>
          </w:p>
        </w:tc>
        <w:tc>
          <w:tcPr>
            <w:tcW w:w="128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149.1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160.9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187.1</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0"/>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40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40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6000" w:type="dxa"/>
            <w:vAlign w:val="bottom"/>
            <w:gridSpan w:val="2"/>
          </w:tcPr>
          <w:p>
            <w:pPr>
              <w:ind w:left="360"/>
              <w:spacing w:after="0"/>
              <w:rPr>
                <w:sz w:val="20"/>
                <w:szCs w:val="20"/>
                <w:color w:val="auto"/>
              </w:rPr>
            </w:pPr>
            <w:r>
              <w:rPr>
                <w:rFonts w:ascii="Arial" w:cs="Arial" w:eastAsia="Arial" w:hAnsi="Arial"/>
                <w:sz w:val="14"/>
                <w:szCs w:val="14"/>
                <w:color w:val="auto"/>
              </w:rPr>
              <w:t>Shares used in calculating diluted earnings per share</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149.6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171"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 xml:space="preserve">Earnings per share for the years ended December 31, 2021, 2020 and 2019, reflects the repurchase of approximately 6.0 million shares, 22.4 million shares and 23.6 million shares of our common stock, respectively, under our share repurchase programs. For additional information on our share repurchase programs, please read </w:t>
      </w:r>
      <w:r>
        <w:rPr>
          <w:rFonts w:ascii="Arial" w:cs="Arial" w:eastAsia="Arial" w:hAnsi="Arial"/>
          <w:sz w:val="18"/>
          <w:szCs w:val="18"/>
          <w:i w:val="1"/>
          <w:iCs w:val="1"/>
          <w:color w:val="auto"/>
        </w:rPr>
        <w:t>Note 13, Equity</w:t>
      </w:r>
      <w:r>
        <w:rPr>
          <w:rFonts w:ascii="Arial" w:cs="Arial" w:eastAsia="Arial" w:hAnsi="Arial"/>
          <w:sz w:val="18"/>
          <w:szCs w:val="18"/>
          <w:color w:val="auto"/>
        </w:rPr>
        <w:t>, to these consolidated financial statements.</w:t>
      </w:r>
    </w:p>
    <w:p>
      <w:pPr>
        <w:spacing w:after="0" w:line="130" w:lineRule="exact"/>
        <w:rPr>
          <w:sz w:val="20"/>
          <w:szCs w:val="20"/>
          <w:color w:val="auto"/>
        </w:rPr>
      </w:pPr>
    </w:p>
    <w:p>
      <w:pPr>
        <w:ind w:left="600" w:hanging="592"/>
        <w:spacing w:after="0"/>
        <w:tabs>
          <w:tab w:leader="none" w:pos="600" w:val="left"/>
        </w:tabs>
        <w:numPr>
          <w:ilvl w:val="0"/>
          <w:numId w:val="110"/>
        </w:numPr>
        <w:rPr>
          <w:rFonts w:ascii="Arial" w:cs="Arial" w:eastAsia="Arial" w:hAnsi="Arial"/>
          <w:sz w:val="22"/>
          <w:szCs w:val="22"/>
          <w:b w:val="1"/>
          <w:bCs w:val="1"/>
          <w:color w:val="578196"/>
        </w:rPr>
      </w:pPr>
      <w:r>
        <w:rPr>
          <w:rFonts w:ascii="Arial" w:cs="Arial" w:eastAsia="Arial" w:hAnsi="Arial"/>
          <w:sz w:val="22"/>
          <w:szCs w:val="22"/>
          <w:b w:val="1"/>
          <w:bCs w:val="1"/>
          <w:color w:val="578196"/>
        </w:rPr>
        <w:t>SHARE-BASED PAYMENTS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Share-Based Compensation Expense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share-based compensation expense included in our consolidated statements of income: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89.3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77.1</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169.5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225.4</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216.5</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8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(46.7)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r>
      <w:tr>
        <w:trPr>
          <w:trHeight w:val="203"/>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204.1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180.8</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Market stock units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45.6</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30.4</w:t>
            </w:r>
          </w:p>
        </w:tc>
      </w:tr>
      <w:tr>
        <w:trPr>
          <w:trHeight w:val="19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134.0</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Cash settled performance units</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units</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NST stock options</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18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tcBorders>
              <w:top w:val="single" w:sz="8" w:color="auto"/>
            </w:tcBorders>
            <w:shd w:val="clear" w:color="auto" w:fill="DBDBDB"/>
          </w:tcPr>
          <w:p>
            <w:pPr>
              <w:spacing w:after="0"/>
              <w:rPr>
                <w:sz w:val="16"/>
                <w:szCs w:val="16"/>
                <w:color w:val="auto"/>
              </w:rPr>
            </w:pPr>
          </w:p>
        </w:tc>
        <w:tc>
          <w:tcPr>
            <w:tcW w:w="12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258.8</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225.4</w:t>
            </w:r>
          </w:p>
        </w:tc>
      </w:tr>
      <w:tr>
        <w:trPr>
          <w:trHeight w:val="18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r>
      <w:tr>
        <w:trPr>
          <w:trHeight w:val="203"/>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250.8</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205.1</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216.5</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firstLine="445"/>
        <w:spacing w:after="0" w:line="291" w:lineRule="auto"/>
        <w:rPr>
          <w:sz w:val="20"/>
          <w:szCs w:val="20"/>
          <w:color w:val="auto"/>
        </w:rPr>
      </w:pPr>
      <w:r>
        <w:rPr>
          <w:rFonts w:ascii="Arial" w:cs="Arial" w:eastAsia="Arial" w:hAnsi="Arial"/>
          <w:sz w:val="17"/>
          <w:szCs w:val="17"/>
          <w:color w:val="auto"/>
        </w:rPr>
        <w:t>As of December 31, 2021, unrecognized compensation cost related to unvested share-based compensation was approximately $235.5 million, net of estimated forfeitures. We expect to recognize the cost of these unvested awards over a weighted-average period of 1.9 years.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Share-Based Compensation Plans</w:t>
      </w:r>
    </w:p>
    <w:p>
      <w:pPr>
        <w:spacing w:after="0" w:line="126"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We have three share-based compensation plans pursuant to which awards are currently being made: (i) the Biogen Inc. 2006 Non-Employee Directors Equity Plan (2006 Directors Plan); (ii) the Biogen Inc. 2017 Omnibus Equity Plan (2017 Omnibus Equity Plan); and (iii) the Biogen Inc. 2015 Employee Stock Purchase Plan (2015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Directors Plan</w:t>
      </w:r>
    </w:p>
    <w:p>
      <w:pPr>
        <w:spacing w:after="0" w:line="108" w:lineRule="exact"/>
        <w:rPr>
          <w:sz w:val="20"/>
          <w:szCs w:val="20"/>
          <w:color w:val="auto"/>
        </w:rPr>
      </w:pPr>
    </w:p>
    <w:p>
      <w:pPr>
        <w:ind w:right="40" w:firstLine="445"/>
        <w:spacing w:after="0" w:line="250" w:lineRule="auto"/>
        <w:rPr>
          <w:sz w:val="20"/>
          <w:szCs w:val="20"/>
          <w:color w:val="auto"/>
        </w:rPr>
      </w:pPr>
      <w:r>
        <w:rPr>
          <w:rFonts w:ascii="Arial" w:cs="Arial" w:eastAsia="Arial" w:hAnsi="Arial"/>
          <w:sz w:val="18"/>
          <w:szCs w:val="18"/>
          <w:color w:val="auto"/>
        </w:rPr>
        <w:t>In May 2006 our shareholders approved the 2006 Directors Plan for share-based awards to our directors. Awards granted from the 2006 Directors Plan may include stock options, shares of restricted stock, RSUs, stock appreciation rights and other awards in such amounts and with such terms and conditions as may be determined by a committee of our Board of Directors, subject to the provisions of the 2006 Directors Plan. We have reserved a total of 1.6 million shares of common stock for issuance under the 2006 Directors Plan. The</w:t>
      </w:r>
    </w:p>
    <w:p>
      <w:pPr>
        <w:spacing w:after="0" w:line="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2006 Directors Plan provides that awards other than stock options and stock appreciation rights will be counted against the total number of shares reserved under the plan in a 1.5-to-1 ratio. In June 2015 our shareholders approved an amendment to extend the term of the 2006 Directors Plan until June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Omnibus Plan</w:t>
      </w:r>
    </w:p>
    <w:p>
      <w:pPr>
        <w:spacing w:after="0" w:line="122"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June 2017 our shareholders approved the 2017 Omnibus Equity Plan for share-based awards to our employees. Awards granted from the 2017 Omnibus Equity Plan may include stock options, shares of restricted stock, RSUs, performance shares, stock appreciation rights and other awards in such amounts and with such terms and conditions as may be determined by a committee of our Board of Directors, subject to the provisions of the 2017 Omnibus Equity Plan. Shares of common stock available for grant under the 2017 Omnibus Equity Plan consist of 8.0 million shares reserved for this purpose, plus shares of common stock that remained available for grant under the Biogen Idec Inc. 2008 Omnibus Equity Plan (2008 Omnibus Equity Plan) as of June 7, 2017, or that could again become available for grant if outstanding awards under the 2008 Omnibus Equity Plan as of June 7, 2017, are cancelled, surrendered or terminated in whole or in part. The 2017 Omnibus Equity Plan provides that awards other than stock options and stock appreciation rights will be counted against the total number of shares available under the plan in a 1.5-to-1 ratio.</w:t>
      </w:r>
    </w:p>
    <w:p>
      <w:pPr>
        <w:spacing w:after="0" w:line="158"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We have not made any awards pursuant to the 2008 Omnibus Equity Plan since our shareholders approved the 2017 Omnibus Equity Plan, and do not intend to make any awards pursuant to the 2008 Omnibus Equity Plan in the future, except that unused shares under the 2008 Omnibus Equity Plan have been carried over for use under the 2017 Omnibus Equity Plan.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Stock Options</w:t>
      </w:r>
    </w:p>
    <w:p>
      <w:pPr>
        <w:spacing w:after="0" w:line="12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currently do not grant stock options to our employees or directors. Outstanding stock options previously granted to our employees and directors generally have a 10-year term and vest over a period of between one and four years, provided the individual continues to serve at Biogen through the vesting dates. Options granted under all plans are exercisable at a price per share not less than the fair market value of the underlying common stock on the date of grant. All outstanding options were exercised as of December 31, 2020.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values of options exercised in 2020 and 2019 totaled $2.9 million and $4.2 million, respectively.</w:t>
      </w:r>
    </w:p>
    <w:p>
      <w:pPr>
        <w:spacing w:after="0" w:line="171" w:lineRule="exact"/>
        <w:rPr>
          <w:sz w:val="20"/>
          <w:szCs w:val="20"/>
          <w:color w:val="auto"/>
        </w:rPr>
      </w:pPr>
    </w:p>
    <w:p>
      <w:pPr>
        <w:ind w:right="580" w:firstLine="445"/>
        <w:spacing w:after="0" w:line="261" w:lineRule="auto"/>
        <w:rPr>
          <w:sz w:val="20"/>
          <w:szCs w:val="20"/>
          <w:color w:val="auto"/>
        </w:rPr>
      </w:pPr>
      <w:r>
        <w:rPr>
          <w:rFonts w:ascii="Arial" w:cs="Arial" w:eastAsia="Arial" w:hAnsi="Arial"/>
          <w:sz w:val="18"/>
          <w:szCs w:val="18"/>
          <w:color w:val="auto"/>
        </w:rPr>
        <w:t>The following table summarizes the amount of tax benefit realized for stock options and cash received from the exercise of stock options: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For the Years Ended December 31,</w:t>
            </w:r>
          </w:p>
        </w:tc>
      </w:tr>
      <w:tr>
        <w:trPr>
          <w:trHeight w:val="18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184"/>
        </w:trPr>
        <w:tc>
          <w:tcPr>
            <w:tcW w:w="7840" w:type="dxa"/>
            <w:vAlign w:val="bottom"/>
            <w:gridSpan w:val="2"/>
          </w:tcPr>
          <w:p>
            <w:pPr>
              <w:ind w:left="20"/>
              <w:spacing w:after="0"/>
              <w:rPr>
                <w:sz w:val="20"/>
                <w:szCs w:val="20"/>
                <w:color w:val="auto"/>
              </w:rPr>
            </w:pPr>
            <w:r>
              <w:rPr>
                <w:rFonts w:ascii="Arial" w:cs="Arial" w:eastAsia="Arial" w:hAnsi="Arial"/>
                <w:sz w:val="14"/>
                <w:szCs w:val="14"/>
                <w:color w:val="auto"/>
              </w:rPr>
              <w:t>Tax benefit realized for stock options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840" w:type="dxa"/>
            <w:vAlign w:val="bottom"/>
            <w:gridSpan w:val="2"/>
          </w:tcPr>
          <w:p>
            <w:pPr>
              <w:ind w:left="20"/>
              <w:spacing w:after="0"/>
              <w:rPr>
                <w:sz w:val="20"/>
                <w:szCs w:val="20"/>
                <w:color w:val="auto"/>
              </w:rPr>
            </w:pPr>
            <w:r>
              <w:rPr>
                <w:rFonts w:ascii="Arial" w:cs="Arial" w:eastAsia="Arial" w:hAnsi="Arial"/>
                <w:sz w:val="14"/>
                <w:szCs w:val="14"/>
                <w:color w:val="auto"/>
              </w:rPr>
              <w:t>Cash received from the exercise of stock options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Market Stock Units (MSUs)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MSUs awarded to employees prior to 2014 vested in four equal annual increments beginning on the first anniversary of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ultimately earn between zero and 150.0% of the target number of units granted based on actual stock performance.</w:t>
      </w:r>
    </w:p>
    <w:p>
      <w:pPr>
        <w:spacing w:after="0" w:line="171"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MSUs awarded to employees in 2014 and thereafter vest in three equal annual increments beginning on the first anniversary of the grant date, and participants may ultimately earn between zero and 200.0% of the target number of units granted based on actual stock performance.</w:t>
      </w:r>
    </w:p>
    <w:p>
      <w:pPr>
        <w:spacing w:after="0" w:line="148"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MSU activity:</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4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right"/>
              <w:ind w:right="40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668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3"/>
        </w:trPr>
        <w:tc>
          <w:tcPr>
            <w:tcW w:w="6680" w:type="dxa"/>
            <w:vAlign w:val="bottom"/>
          </w:tcPr>
          <w:p>
            <w:pPr>
              <w:spacing w:after="0"/>
              <w:rPr>
                <w:sz w:val="20"/>
                <w:szCs w:val="20"/>
                <w:color w:val="auto"/>
              </w:rPr>
            </w:pPr>
            <w:r>
              <w:rPr>
                <w:rFonts w:ascii="Arial" w:cs="Arial" w:eastAsia="Arial" w:hAnsi="Arial"/>
                <w:sz w:val="14"/>
                <w:szCs w:val="14"/>
                <w:color w:val="auto"/>
              </w:rPr>
              <w:t>Unvested at December 31, 2020</w:t>
            </w:r>
          </w:p>
        </w:tc>
        <w:tc>
          <w:tcPr>
            <w:tcW w:w="1460" w:type="dxa"/>
            <w:vAlign w:val="bottom"/>
            <w:shd w:val="clear" w:color="auto" w:fill="DDDDDD"/>
          </w:tcPr>
          <w:p>
            <w:pPr>
              <w:spacing w:after="0"/>
              <w:rPr>
                <w:sz w:val="15"/>
                <w:szCs w:val="15"/>
                <w:color w:val="auto"/>
              </w:rPr>
            </w:pPr>
          </w:p>
        </w:tc>
        <w:tc>
          <w:tcPr>
            <w:tcW w:w="720" w:type="dxa"/>
            <w:vAlign w:val="bottom"/>
            <w:shd w:val="clear" w:color="auto" w:fill="DDDDDD"/>
          </w:tcPr>
          <w:p>
            <w:pPr>
              <w:ind w:left="140"/>
              <w:spacing w:after="0"/>
              <w:rPr>
                <w:sz w:val="20"/>
                <w:szCs w:val="20"/>
                <w:color w:val="auto"/>
              </w:rPr>
            </w:pPr>
            <w:r>
              <w:rPr>
                <w:rFonts w:ascii="Arial" w:cs="Arial" w:eastAsia="Arial" w:hAnsi="Arial"/>
                <w:sz w:val="14"/>
                <w:szCs w:val="14"/>
                <w:color w:val="2573BA"/>
              </w:rPr>
              <w:t>201,000</w:t>
            </w:r>
          </w:p>
        </w:tc>
        <w:tc>
          <w:tcPr>
            <w:tcW w:w="340" w:type="dxa"/>
            <w:vAlign w:val="bottom"/>
            <w:gridSpan w:val="2"/>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388.98</w:t>
            </w:r>
          </w:p>
        </w:tc>
        <w:tc>
          <w:tcPr>
            <w:tcW w:w="0" w:type="dxa"/>
            <w:vAlign w:val="bottom"/>
          </w:tcPr>
          <w:p>
            <w:pPr>
              <w:spacing w:after="0"/>
              <w:rPr>
                <w:sz w:val="1"/>
                <w:szCs w:val="1"/>
                <w:color w:val="auto"/>
              </w:rPr>
            </w:pPr>
          </w:p>
        </w:tc>
      </w:tr>
      <w:tr>
        <w:trPr>
          <w:trHeight w:val="189"/>
        </w:trPr>
        <w:tc>
          <w:tcPr>
            <w:tcW w:w="668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151,000</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358.77</w:t>
            </w:r>
          </w:p>
        </w:tc>
        <w:tc>
          <w:tcPr>
            <w:tcW w:w="0" w:type="dxa"/>
            <w:vAlign w:val="bottom"/>
          </w:tcPr>
          <w:p>
            <w:pPr>
              <w:spacing w:after="0"/>
              <w:rPr>
                <w:sz w:val="1"/>
                <w:szCs w:val="1"/>
                <w:color w:val="auto"/>
              </w:rPr>
            </w:pPr>
          </w:p>
        </w:tc>
      </w:tr>
      <w:tr>
        <w:trPr>
          <w:trHeight w:val="189"/>
        </w:trPr>
        <w:tc>
          <w:tcPr>
            <w:tcW w:w="6680" w:type="dxa"/>
            <w:vAlign w:val="bottom"/>
          </w:tcPr>
          <w:p>
            <w:pPr>
              <w:ind w:left="120"/>
              <w:spacing w:after="0"/>
              <w:rPr>
                <w:sz w:val="20"/>
                <w:szCs w:val="20"/>
                <w:color w:val="auto"/>
              </w:rPr>
            </w:pPr>
            <w:r>
              <w:rPr>
                <w:rFonts w:ascii="Arial" w:cs="Arial" w:eastAsia="Arial" w:hAnsi="Arial"/>
                <w:sz w:val="14"/>
                <w:szCs w:val="14"/>
                <w:color w:val="auto"/>
              </w:rPr>
              <w:t>Vested</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ind w:left="160"/>
              <w:spacing w:after="0"/>
              <w:rPr>
                <w:sz w:val="20"/>
                <w:szCs w:val="20"/>
                <w:color w:val="auto"/>
              </w:rPr>
            </w:pPr>
            <w:r>
              <w:rPr>
                <w:rFonts w:ascii="Arial" w:cs="Arial" w:eastAsia="Arial" w:hAnsi="Arial"/>
                <w:sz w:val="14"/>
                <w:szCs w:val="14"/>
                <w:color w:val="2573BA"/>
              </w:rPr>
              <w:t>(80,000)</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382.95</w:t>
            </w:r>
          </w:p>
        </w:tc>
        <w:tc>
          <w:tcPr>
            <w:tcW w:w="0" w:type="dxa"/>
            <w:vAlign w:val="bottom"/>
          </w:tcPr>
          <w:p>
            <w:pPr>
              <w:spacing w:after="0"/>
              <w:rPr>
                <w:sz w:val="1"/>
                <w:szCs w:val="1"/>
                <w:color w:val="auto"/>
              </w:rPr>
            </w:pPr>
          </w:p>
        </w:tc>
      </w:tr>
      <w:tr>
        <w:trPr>
          <w:trHeight w:val="189"/>
        </w:trPr>
        <w:tc>
          <w:tcPr>
            <w:tcW w:w="668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4"/>
                <w:szCs w:val="14"/>
                <w:color w:val="2573BA"/>
              </w:rPr>
              <w:t>(15,000)</w:t>
            </w: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19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383.72</w:t>
            </w:r>
          </w:p>
        </w:tc>
        <w:tc>
          <w:tcPr>
            <w:tcW w:w="0" w:type="dxa"/>
            <w:vAlign w:val="bottom"/>
          </w:tcPr>
          <w:p>
            <w:pPr>
              <w:spacing w:after="0"/>
              <w:rPr>
                <w:sz w:val="1"/>
                <w:szCs w:val="1"/>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4"/>
                <w:szCs w:val="14"/>
                <w:color w:val="auto"/>
              </w:rPr>
              <w:t>Unvested at December 31, 2021</w:t>
            </w:r>
          </w:p>
        </w:tc>
        <w:tc>
          <w:tcPr>
            <w:tcW w:w="14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2573BA"/>
              </w:rPr>
              <w:t>257,000</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372.08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2" w:lineRule="exact"/>
        <w:rPr>
          <w:sz w:val="20"/>
          <w:szCs w:val="20"/>
          <w:color w:val="auto"/>
        </w:rPr>
      </w:pPr>
    </w:p>
    <w:p>
      <w:pPr>
        <w:ind w:right="180" w:firstLine="8"/>
        <w:spacing w:after="0" w:line="239" w:lineRule="auto"/>
        <w:tabs>
          <w:tab w:leader="none" w:pos="173" w:val="left"/>
        </w:tabs>
        <w:numPr>
          <w:ilvl w:val="0"/>
          <w:numId w:val="111"/>
        </w:numPr>
        <w:rPr>
          <w:rFonts w:ascii="Arial" w:cs="Arial" w:eastAsia="Arial" w:hAnsi="Arial"/>
          <w:sz w:val="20"/>
          <w:szCs w:val="20"/>
          <w:color w:val="auto"/>
          <w:vertAlign w:val="superscript"/>
        </w:rPr>
      </w:pPr>
      <w:r>
        <w:rPr>
          <w:rFonts w:ascii="Arial" w:cs="Arial" w:eastAsia="Arial" w:hAnsi="Arial"/>
          <w:sz w:val="15"/>
          <w:szCs w:val="15"/>
          <w:color w:val="auto"/>
        </w:rPr>
        <w:t>MSUs granted during 2021 include awards granted in conjunction with our annual awards made in February 2021 and MSUs granted in conjunction with the hiring of employees. These grants reflect the target number of shares eligible to be earned at the time of grant. MSUs granted in 2021 also reflect an adjustment based upon the final performance multiplier in relation to shares granted in 2020, 2019 and 2018.</w:t>
      </w:r>
    </w:p>
    <w:p>
      <w:pPr>
        <w:spacing w:after="0" w:line="154"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We value grants of MSUs using a lattice model with a Monte Carlo simulation. This valuation methodology utilizes several key assumptions, the 30 calendar day average closing stock price on the date of grant for MSUs, expected volatility of our stock price, risk-free rates of return and expected dividend yield.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2"/>
        </w:trPr>
        <w:tc>
          <w:tcPr>
            <w:tcW w:w="4920" w:type="dxa"/>
            <w:vAlign w:val="bottom"/>
          </w:tcPr>
          <w:p>
            <w:pPr>
              <w:spacing w:after="0"/>
              <w:rPr>
                <w:sz w:val="15"/>
                <w:szCs w:val="15"/>
                <w:color w:val="auto"/>
              </w:rPr>
            </w:pPr>
          </w:p>
        </w:tc>
        <w:tc>
          <w:tcPr>
            <w:tcW w:w="1780" w:type="dxa"/>
            <w:vAlign w:val="bottom"/>
            <w:tcBorders>
              <w:bottom w:val="single" w:sz="8" w:color="auto"/>
            </w:tcBorders>
            <w:gridSpan w:val="2"/>
            <w:shd w:val="clear" w:color="auto" w:fill="DDDDDD"/>
          </w:tcPr>
          <w:p>
            <w:pPr>
              <w:jc w:val="center"/>
              <w:ind w:left="188"/>
              <w:spacing w:after="0"/>
              <w:rPr>
                <w:sz w:val="20"/>
                <w:szCs w:val="20"/>
                <w:color w:val="auto"/>
              </w:rPr>
            </w:pPr>
            <w:r>
              <w:rPr>
                <w:rFonts w:ascii="Arial" w:cs="Arial" w:eastAsia="Arial" w:hAnsi="Arial"/>
                <w:sz w:val="14"/>
                <w:szCs w:val="14"/>
                <w:b w:val="1"/>
                <w:bCs w:val="1"/>
                <w:color w:val="2573BA"/>
              </w:rPr>
              <w:t>2021</w:t>
            </w:r>
          </w:p>
        </w:tc>
        <w:tc>
          <w:tcPr>
            <w:tcW w:w="26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center"/>
              <w:ind w:right="188"/>
              <w:spacing w:after="0"/>
              <w:rPr>
                <w:sz w:val="20"/>
                <w:szCs w:val="20"/>
                <w:color w:val="auto"/>
              </w:rPr>
            </w:pPr>
            <w:r>
              <w:rPr>
                <w:rFonts w:ascii="Arial" w:cs="Arial" w:eastAsia="Arial" w:hAnsi="Arial"/>
                <w:sz w:val="14"/>
                <w:szCs w:val="14"/>
                <w:b w:val="1"/>
                <w:bCs w:val="1"/>
                <w:color w:val="auto"/>
              </w:rPr>
              <w:t>2019</w:t>
            </w:r>
          </w:p>
        </w:tc>
      </w:tr>
      <w:tr>
        <w:trPr>
          <w:trHeight w:val="184"/>
        </w:trPr>
        <w:tc>
          <w:tcPr>
            <w:tcW w:w="492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780" w:type="dxa"/>
            <w:vAlign w:val="bottom"/>
            <w:gridSpan w:val="2"/>
            <w:shd w:val="clear" w:color="auto" w:fill="DBDBDB"/>
          </w:tcPr>
          <w:p>
            <w:pPr>
              <w:jc w:val="center"/>
              <w:ind w:left="188"/>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jc w:val="center"/>
              <w:ind w:right="3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center"/>
              <w:ind w:right="168"/>
              <w:spacing w:after="0"/>
              <w:rPr>
                <w:sz w:val="20"/>
                <w:szCs w:val="20"/>
                <w:color w:val="auto"/>
              </w:rPr>
            </w:pPr>
            <w:r>
              <w:rPr>
                <w:rFonts w:ascii="Arial" w:cs="Arial" w:eastAsia="Arial" w:hAnsi="Arial"/>
                <w:sz w:val="14"/>
                <w:szCs w:val="14"/>
                <w:color w:val="auto"/>
                <w:w w:val="98"/>
              </w:rPr>
              <w:t>—%</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54.8%</w:t>
            </w:r>
          </w:p>
        </w:tc>
        <w:tc>
          <w:tcPr>
            <w:tcW w:w="80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- 61.6%</w:t>
            </w:r>
          </w:p>
        </w:tc>
        <w:tc>
          <w:tcPr>
            <w:tcW w:w="260" w:type="dxa"/>
            <w:vAlign w:val="bottom"/>
            <w:shd w:val="clear" w:color="auto" w:fill="DBDBDB"/>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37.8%</w:t>
            </w:r>
          </w:p>
        </w:tc>
        <w:tc>
          <w:tcPr>
            <w:tcW w:w="1040" w:type="dxa"/>
            <w:vAlign w:val="bottom"/>
          </w:tcPr>
          <w:p>
            <w:pPr>
              <w:ind w:left="20"/>
              <w:spacing w:after="0"/>
              <w:rPr>
                <w:sz w:val="20"/>
                <w:szCs w:val="20"/>
                <w:color w:val="auto"/>
              </w:rPr>
            </w:pPr>
            <w:r>
              <w:rPr>
                <w:rFonts w:ascii="Arial" w:cs="Arial" w:eastAsia="Arial" w:hAnsi="Arial"/>
                <w:sz w:val="14"/>
                <w:szCs w:val="14"/>
                <w:color w:val="auto"/>
              </w:rPr>
              <w:t>- 44.1%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31.2%</w:t>
            </w:r>
          </w:p>
        </w:tc>
        <w:tc>
          <w:tcPr>
            <w:tcW w:w="1060" w:type="dxa"/>
            <w:vAlign w:val="bottom"/>
          </w:tcPr>
          <w:p>
            <w:pPr>
              <w:ind w:left="20"/>
              <w:spacing w:after="0"/>
              <w:rPr>
                <w:sz w:val="20"/>
                <w:szCs w:val="20"/>
                <w:color w:val="auto"/>
              </w:rPr>
            </w:pPr>
            <w:r>
              <w:rPr>
                <w:rFonts w:ascii="Arial" w:cs="Arial" w:eastAsia="Arial" w:hAnsi="Arial"/>
                <w:sz w:val="14"/>
                <w:szCs w:val="14"/>
                <w:color w:val="auto"/>
              </w:rPr>
              <w:t>- 33.6%</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0.06%</w:t>
            </w:r>
          </w:p>
        </w:tc>
        <w:tc>
          <w:tcPr>
            <w:tcW w:w="80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- 0.21%</w:t>
            </w:r>
          </w:p>
        </w:tc>
        <w:tc>
          <w:tcPr>
            <w:tcW w:w="260" w:type="dxa"/>
            <w:vAlign w:val="bottom"/>
            <w:shd w:val="clear" w:color="auto" w:fill="DBDBDB"/>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1.41%</w:t>
            </w:r>
          </w:p>
        </w:tc>
        <w:tc>
          <w:tcPr>
            <w:tcW w:w="1040" w:type="dxa"/>
            <w:vAlign w:val="bottom"/>
          </w:tcPr>
          <w:p>
            <w:pPr>
              <w:ind w:left="20"/>
              <w:spacing w:after="0"/>
              <w:rPr>
                <w:sz w:val="20"/>
                <w:szCs w:val="20"/>
                <w:color w:val="auto"/>
              </w:rPr>
            </w:pPr>
            <w:r>
              <w:rPr>
                <w:rFonts w:ascii="Arial" w:cs="Arial" w:eastAsia="Arial" w:hAnsi="Arial"/>
                <w:sz w:val="14"/>
                <w:szCs w:val="14"/>
                <w:color w:val="auto"/>
              </w:rPr>
              <w:t>- 1.48%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060" w:type="dxa"/>
            <w:vAlign w:val="bottom"/>
          </w:tcPr>
          <w:p>
            <w:pPr>
              <w:ind w:left="20"/>
              <w:spacing w:after="0"/>
              <w:rPr>
                <w:sz w:val="20"/>
                <w:szCs w:val="20"/>
                <w:color w:val="auto"/>
              </w:rPr>
            </w:pPr>
            <w:r>
              <w:rPr>
                <w:rFonts w:ascii="Arial" w:cs="Arial" w:eastAsia="Arial" w:hAnsi="Arial"/>
                <w:sz w:val="14"/>
                <w:szCs w:val="14"/>
                <w:color w:val="auto"/>
              </w:rPr>
              <w:t>- 2.53%</w:t>
            </w:r>
          </w:p>
        </w:tc>
      </w:tr>
      <w:tr>
        <w:trPr>
          <w:trHeight w:val="189"/>
        </w:trPr>
        <w:tc>
          <w:tcPr>
            <w:tcW w:w="492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$262.23</w:t>
            </w:r>
          </w:p>
        </w:tc>
        <w:tc>
          <w:tcPr>
            <w:tcW w:w="800" w:type="dxa"/>
            <w:vAlign w:val="bottom"/>
            <w:shd w:val="clear" w:color="auto" w:fill="DBDBDB"/>
          </w:tcPr>
          <w:p>
            <w:pPr>
              <w:ind w:left="20"/>
              <w:spacing w:after="0"/>
              <w:rPr>
                <w:sz w:val="20"/>
                <w:szCs w:val="20"/>
                <w:color w:val="auto"/>
              </w:rPr>
            </w:pPr>
            <w:r>
              <w:rPr>
                <w:rFonts w:ascii="Arial" w:cs="Arial" w:eastAsia="Arial" w:hAnsi="Arial"/>
                <w:sz w:val="14"/>
                <w:szCs w:val="14"/>
                <w:color w:val="2573BA"/>
              </w:rPr>
              <w:t>- $360.31</w:t>
            </w:r>
          </w:p>
        </w:tc>
        <w:tc>
          <w:tcPr>
            <w:tcW w:w="260" w:type="dxa"/>
            <w:vAlign w:val="bottom"/>
            <w:shd w:val="clear" w:color="auto" w:fill="DBDBDB"/>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$257.83</w:t>
            </w:r>
          </w:p>
        </w:tc>
        <w:tc>
          <w:tcPr>
            <w:tcW w:w="1040" w:type="dxa"/>
            <w:vAlign w:val="bottom"/>
          </w:tcPr>
          <w:p>
            <w:pPr>
              <w:ind w:left="20"/>
              <w:spacing w:after="0"/>
              <w:rPr>
                <w:sz w:val="20"/>
                <w:szCs w:val="20"/>
                <w:color w:val="auto"/>
              </w:rPr>
            </w:pPr>
            <w:r>
              <w:rPr>
                <w:rFonts w:ascii="Arial" w:cs="Arial" w:eastAsia="Arial" w:hAnsi="Arial"/>
                <w:sz w:val="14"/>
                <w:szCs w:val="14"/>
                <w:color w:val="auto"/>
              </w:rPr>
              <w:t>- $325.40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$228.59</w:t>
            </w:r>
          </w:p>
        </w:tc>
        <w:tc>
          <w:tcPr>
            <w:tcW w:w="1060" w:type="dxa"/>
            <w:vAlign w:val="bottom"/>
          </w:tcPr>
          <w:p>
            <w:pPr>
              <w:ind w:left="20"/>
              <w:spacing w:after="0"/>
              <w:rPr>
                <w:sz w:val="20"/>
                <w:szCs w:val="20"/>
                <w:color w:val="auto"/>
              </w:rPr>
            </w:pPr>
            <w:r>
              <w:rPr>
                <w:rFonts w:ascii="Arial" w:cs="Arial" w:eastAsia="Arial" w:hAnsi="Arial"/>
                <w:sz w:val="14"/>
                <w:szCs w:val="14"/>
                <w:color w:val="auto"/>
              </w:rPr>
              <w:t>- $331.18</w:t>
            </w:r>
          </w:p>
        </w:tc>
      </w:tr>
      <w:tr>
        <w:trPr>
          <w:trHeight w:val="188"/>
        </w:trPr>
        <w:tc>
          <w:tcPr>
            <w:tcW w:w="492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1780" w:type="dxa"/>
            <w:vAlign w:val="bottom"/>
            <w:gridSpan w:val="2"/>
            <w:shd w:val="clear" w:color="auto" w:fill="DBDBDB"/>
          </w:tcPr>
          <w:p>
            <w:pPr>
              <w:jc w:val="center"/>
              <w:ind w:left="188"/>
              <w:spacing w:after="0"/>
              <w:rPr>
                <w:sz w:val="20"/>
                <w:szCs w:val="20"/>
                <w:color w:val="auto"/>
              </w:rPr>
            </w:pPr>
            <w:r>
              <w:rPr>
                <w:rFonts w:ascii="Arial" w:cs="Arial" w:eastAsia="Arial" w:hAnsi="Arial"/>
                <w:sz w:val="14"/>
                <w:szCs w:val="14"/>
                <w:color w:val="2573BA"/>
              </w:rPr>
              <w:t>$358.77</w:t>
            </w:r>
          </w:p>
        </w:tc>
        <w:tc>
          <w:tcPr>
            <w:tcW w:w="260" w:type="dxa"/>
            <w:vAlign w:val="bottom"/>
            <w:shd w:val="clear" w:color="auto" w:fill="DBDBDB"/>
          </w:tcPr>
          <w:p>
            <w:pPr>
              <w:spacing w:after="0"/>
              <w:rPr>
                <w:sz w:val="16"/>
                <w:szCs w:val="16"/>
                <w:color w:val="auto"/>
              </w:rPr>
            </w:pPr>
          </w:p>
        </w:tc>
        <w:tc>
          <w:tcPr>
            <w:tcW w:w="2120" w:type="dxa"/>
            <w:vAlign w:val="bottom"/>
            <w:gridSpan w:val="3"/>
          </w:tcPr>
          <w:p>
            <w:pPr>
              <w:jc w:val="center"/>
              <w:ind w:left="48"/>
              <w:spacing w:after="0"/>
              <w:rPr>
                <w:sz w:val="20"/>
                <w:szCs w:val="20"/>
                <w:color w:val="auto"/>
              </w:rPr>
            </w:pPr>
            <w:r>
              <w:rPr>
                <w:rFonts w:ascii="Arial" w:cs="Arial" w:eastAsia="Arial" w:hAnsi="Arial"/>
                <w:sz w:val="14"/>
                <w:szCs w:val="14"/>
                <w:color w:val="auto"/>
              </w:rPr>
              <w:t>$398.61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188"/>
              <w:spacing w:after="0"/>
              <w:rPr>
                <w:sz w:val="20"/>
                <w:szCs w:val="20"/>
                <w:color w:val="auto"/>
              </w:rPr>
            </w:pPr>
            <w:r>
              <w:rPr>
                <w:rFonts w:ascii="Arial" w:cs="Arial" w:eastAsia="Arial" w:hAnsi="Arial"/>
                <w:sz w:val="14"/>
                <w:szCs w:val="14"/>
                <w:color w:val="auto"/>
              </w:rPr>
              <w:t>$378.08</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MSUs vested in 2021, 2020 and 2019 totaled $22.5 million, $26.9 million and $32.5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Cash Settled Performance Units (CSPUs)</w:t>
      </w:r>
    </w:p>
    <w:p>
      <w:pPr>
        <w:spacing w:after="0" w:line="11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CSPUs awarded to employees vest in three equal annual increments beginning on the first anniversary of the grant date. The vesting of these awards is subject to the respective employee’s continued employment with such awards settled in cash. The number of CSPUs granted represents the target number of units that are eligible to be earned based on the attainment of certain performance measures established at the beginning of the performance period, which ends on December 31 of each year. Participants may ultimately earn between zero and 200.0% of the target number of units granted based on the degree of actual performance metric achievement. Accordingly, additional CSPUs may be issued or currently outstanding CSPUs may be cancelled upon final determination of the number of units earned. CSPUs are classified as liability awards and will be settled in cash based on the 30 calendar day average closing stock price through each vesting date, once the actual vested and earned number of units is known. Since no shares are issued, these awards do not dilute equity. All remaining CSPUs were fully vested as of December 31, 2020.</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paid in settlement of CSPUs vested in 2020 and 2019 totaled $3.8 million and $10.6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Performance-vested Restricted Stock Units (PUs)</w:t>
      </w:r>
    </w:p>
    <w:p>
      <w:pPr>
        <w:spacing w:after="0" w:line="126"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PUs are granted to certain employees in the form of RSUs that may be settled in cash or shares of our common stock at the sole discretion of the Compensation and Management Development Committee of our Board of Directors. These awards are structured and accounted for the same way as the CSPUs, and vest in three equal annual increments beginning on the first anniversary of the grant date. The number of PUs granted represents the target number of units that are eligible to be earned based on the attainment of certain performance measures established at the beginning of the performance period, which ends on December 31 of each year. Participants may ultimately earn between zero and 200.0% of the target number of units granted based on the degree of actual performance metric achievement. Accordingly, additional PUs may be issued or currently outstanding PUs may be cancelled upon final determination of the number of units earned. PUs settling in cash are based on the 30 calendar day average closing stock price through each vesting date once the actual vested and earned number of units is known. All remaining PUs were fully vested as of December 31, 2020.</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PUs that vested in 2020 and 2019 were settled in cash totaling $3.4 million and $10.4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Performance Stock Units (PSUs)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00823B"/>
        </w:rPr>
        <w:t>PSUs Settled in Stock</w:t>
      </w:r>
    </w:p>
    <w:p>
      <w:pPr>
        <w:spacing w:after="0" w:line="122"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During the first quarter of 2018 we began granting awards for performance-vested RSUs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7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PSUs that settle in stock activity:</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120" w:type="dxa"/>
            <w:vAlign w:val="bottom"/>
          </w:tcPr>
          <w:p>
            <w:pPr>
              <w:spacing w:after="0"/>
              <w:rPr>
                <w:sz w:val="11"/>
                <w:szCs w:val="11"/>
                <w:color w:val="auto"/>
              </w:rPr>
            </w:pPr>
          </w:p>
        </w:tc>
        <w:tc>
          <w:tcPr>
            <w:tcW w:w="15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1"/>
                <w:szCs w:val="11"/>
                <w:color w:val="auto"/>
              </w:rPr>
            </w:pPr>
          </w:p>
        </w:tc>
        <w:tc>
          <w:tcPr>
            <w:tcW w:w="126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12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8120" w:type="dxa"/>
            <w:vAlign w:val="bottom"/>
          </w:tcPr>
          <w:p>
            <w:pPr>
              <w:spacing w:after="0"/>
              <w:rPr>
                <w:sz w:val="20"/>
                <w:szCs w:val="20"/>
                <w:color w:val="auto"/>
              </w:rPr>
            </w:pPr>
            <w:r>
              <w:rPr>
                <w:rFonts w:ascii="Arial" w:cs="Arial" w:eastAsia="Arial" w:hAnsi="Arial"/>
                <w:sz w:val="14"/>
                <w:szCs w:val="14"/>
                <w:color w:val="auto"/>
              </w:rPr>
              <w:t>Unvested at December 31, 2020</w:t>
            </w:r>
          </w:p>
        </w:tc>
        <w:tc>
          <w:tcPr>
            <w:tcW w:w="15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3BA"/>
              </w:rPr>
              <w:t>155,000</w:t>
            </w:r>
          </w:p>
        </w:tc>
        <w:tc>
          <w:tcPr>
            <w:tcW w:w="3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304.19</w:t>
            </w:r>
          </w:p>
        </w:tc>
        <w:tc>
          <w:tcPr>
            <w:tcW w:w="0" w:type="dxa"/>
            <w:vAlign w:val="bottom"/>
          </w:tcPr>
          <w:p>
            <w:pPr>
              <w:spacing w:after="0"/>
              <w:rPr>
                <w:sz w:val="1"/>
                <w:szCs w:val="1"/>
                <w:color w:val="auto"/>
              </w:rPr>
            </w:pPr>
          </w:p>
        </w:tc>
      </w:tr>
      <w:tr>
        <w:trPr>
          <w:trHeight w:val="189"/>
        </w:trPr>
        <w:tc>
          <w:tcPr>
            <w:tcW w:w="812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110,000</w:t>
            </w:r>
          </w:p>
        </w:tc>
        <w:tc>
          <w:tcPr>
            <w:tcW w:w="3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276.61</w:t>
            </w:r>
          </w:p>
        </w:tc>
        <w:tc>
          <w:tcPr>
            <w:tcW w:w="0" w:type="dxa"/>
            <w:vAlign w:val="bottom"/>
          </w:tcPr>
          <w:p>
            <w:pPr>
              <w:spacing w:after="0"/>
              <w:rPr>
                <w:sz w:val="1"/>
                <w:szCs w:val="1"/>
                <w:color w:val="auto"/>
              </w:rPr>
            </w:pPr>
          </w:p>
        </w:tc>
      </w:tr>
      <w:tr>
        <w:trPr>
          <w:trHeight w:val="189"/>
        </w:trPr>
        <w:tc>
          <w:tcPr>
            <w:tcW w:w="8120" w:type="dxa"/>
            <w:vAlign w:val="bottom"/>
          </w:tcPr>
          <w:p>
            <w:pPr>
              <w:ind w:left="120"/>
              <w:spacing w:after="0"/>
              <w:rPr>
                <w:sz w:val="20"/>
                <w:szCs w:val="20"/>
                <w:color w:val="auto"/>
              </w:rPr>
            </w:pPr>
            <w:r>
              <w:rPr>
                <w:rFonts w:ascii="Arial" w:cs="Arial" w:eastAsia="Arial" w:hAnsi="Arial"/>
                <w:sz w:val="14"/>
                <w:szCs w:val="14"/>
                <w:color w:val="auto"/>
              </w:rPr>
              <w:t>Vested</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(56,000)</w:t>
            </w:r>
          </w:p>
        </w:tc>
        <w:tc>
          <w:tcPr>
            <w:tcW w:w="3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316.66</w:t>
            </w:r>
          </w:p>
        </w:tc>
        <w:tc>
          <w:tcPr>
            <w:tcW w:w="0" w:type="dxa"/>
            <w:vAlign w:val="bottom"/>
          </w:tcPr>
          <w:p>
            <w:pPr>
              <w:spacing w:after="0"/>
              <w:rPr>
                <w:sz w:val="1"/>
                <w:szCs w:val="1"/>
                <w:color w:val="auto"/>
              </w:rPr>
            </w:pPr>
          </w:p>
        </w:tc>
      </w:tr>
      <w:tr>
        <w:trPr>
          <w:trHeight w:val="189"/>
        </w:trPr>
        <w:tc>
          <w:tcPr>
            <w:tcW w:w="812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(13,000)</w:t>
            </w:r>
          </w:p>
        </w:tc>
        <w:tc>
          <w:tcPr>
            <w:tcW w:w="34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287.55</w:t>
            </w:r>
          </w:p>
        </w:tc>
        <w:tc>
          <w:tcPr>
            <w:tcW w:w="0" w:type="dxa"/>
            <w:vAlign w:val="bottom"/>
          </w:tcPr>
          <w:p>
            <w:pPr>
              <w:spacing w:after="0"/>
              <w:rPr>
                <w:sz w:val="1"/>
                <w:szCs w:val="1"/>
                <w:color w:val="auto"/>
              </w:rPr>
            </w:pPr>
          </w:p>
        </w:tc>
      </w:tr>
      <w:tr>
        <w:trPr>
          <w:trHeight w:val="208"/>
        </w:trPr>
        <w:tc>
          <w:tcPr>
            <w:tcW w:w="8120" w:type="dxa"/>
            <w:vAlign w:val="bottom"/>
          </w:tcPr>
          <w:p>
            <w:pPr>
              <w:spacing w:after="0"/>
              <w:rPr>
                <w:sz w:val="20"/>
                <w:szCs w:val="20"/>
                <w:color w:val="auto"/>
              </w:rPr>
            </w:pPr>
            <w:r>
              <w:rPr>
                <w:rFonts w:ascii="Arial" w:cs="Arial" w:eastAsia="Arial" w:hAnsi="Arial"/>
                <w:sz w:val="14"/>
                <w:szCs w:val="14"/>
                <w:color w:val="auto"/>
              </w:rPr>
              <w:t>Unvested at December 31, 2021</w:t>
            </w: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196,000</w:t>
            </w:r>
          </w:p>
        </w:tc>
        <w:tc>
          <w:tcPr>
            <w:tcW w:w="3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289.94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5" w:lineRule="exact"/>
        <w:rPr>
          <w:sz w:val="20"/>
          <w:szCs w:val="20"/>
          <w:color w:val="auto"/>
        </w:rPr>
      </w:pPr>
    </w:p>
    <w:p>
      <w:pPr>
        <w:ind w:right="120" w:firstLine="8"/>
        <w:spacing w:after="0" w:line="258" w:lineRule="auto"/>
        <w:tabs>
          <w:tab w:leader="none" w:pos="154" w:val="left"/>
        </w:tabs>
        <w:numPr>
          <w:ilvl w:val="0"/>
          <w:numId w:val="112"/>
        </w:numPr>
        <w:rPr>
          <w:rFonts w:ascii="Arial" w:cs="Arial" w:eastAsia="Arial" w:hAnsi="Arial"/>
          <w:sz w:val="9"/>
          <w:szCs w:val="9"/>
          <w:color w:val="auto"/>
        </w:rPr>
      </w:pPr>
      <w:r>
        <w:rPr>
          <w:rFonts w:ascii="Arial" w:cs="Arial" w:eastAsia="Arial" w:hAnsi="Arial"/>
          <w:sz w:val="14"/>
          <w:szCs w:val="14"/>
          <w:color w:val="auto"/>
        </w:rPr>
        <w:t>PSUs settled in stock granted in 2021 include awards granted in conjunction with our annual awards made in February 2021 and PSUs granted in conjunction with the hiring of employees. These grants reflect the target number of shares eligible to be earned at the time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00823B"/>
        </w:rPr>
        <w:t>PSUs Settled in Cash</w:t>
      </w:r>
    </w:p>
    <w:p>
      <w:pPr>
        <w:spacing w:after="0" w:line="122" w:lineRule="exact"/>
        <w:rPr>
          <w:sz w:val="20"/>
          <w:szCs w:val="20"/>
          <w:color w:val="auto"/>
        </w:rPr>
      </w:pPr>
    </w:p>
    <w:p>
      <w:pPr>
        <w:ind w:right="260" w:firstLine="445"/>
        <w:spacing w:after="0" w:line="253" w:lineRule="auto"/>
        <w:rPr>
          <w:sz w:val="20"/>
          <w:szCs w:val="20"/>
          <w:color w:val="auto"/>
        </w:rPr>
      </w:pPr>
      <w:r>
        <w:rPr>
          <w:rFonts w:ascii="Arial" w:cs="Arial" w:eastAsia="Arial" w:hAnsi="Arial"/>
          <w:sz w:val="18"/>
          <w:szCs w:val="18"/>
          <w:color w:val="auto"/>
        </w:rPr>
        <w:t>During the first quarter of 2018 we began granting awards for performance-vested restricted stock units that will settle in cash. PSUs awarded to employees have three performance periods and vest on the third anniversary of the grant date. The vesting of these awards is subject to the respective employee’s continued employment. The number of PSUs granted represents the target number of units that are eligible to be earned based on the achievement of three annual performance measures established when the performance objectives are defined, which will be at the beginning of each year and will end on December 31 of such year.</w:t>
      </w:r>
    </w:p>
    <w:p>
      <w:pPr>
        <w:spacing w:after="0" w:line="151"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 PSUs are classified as liability awards and will be settled in cash based on the 30 calendar day average closing stock price through the vesting date, once the actual vested and earned number of PSUs is determined. Since no shares are issued, these awards do not dilute equity.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PSUs that settle in cash activity: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9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Shares</w:t>
            </w:r>
          </w:p>
        </w:tc>
      </w:tr>
      <w:tr>
        <w:trPr>
          <w:trHeight w:val="183"/>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2020</w:t>
            </w: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120,000</w:t>
            </w:r>
          </w:p>
        </w:tc>
      </w:tr>
      <w:tr>
        <w:trPr>
          <w:trHeight w:val="189"/>
        </w:trPr>
        <w:tc>
          <w:tcPr>
            <w:tcW w:w="9340" w:type="dxa"/>
            <w:vAlign w:val="bottom"/>
            <w:gridSpan w:val="2"/>
          </w:tcPr>
          <w:p>
            <w:pPr>
              <w:ind w:left="14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60,000</w:t>
            </w:r>
          </w:p>
        </w:tc>
      </w:tr>
      <w:tr>
        <w:trPr>
          <w:trHeight w:val="191"/>
        </w:trPr>
        <w:tc>
          <w:tcPr>
            <w:tcW w:w="934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(37,000)</w:t>
            </w:r>
          </w:p>
        </w:tc>
      </w:tr>
      <w:tr>
        <w:trPr>
          <w:trHeight w:val="188"/>
        </w:trPr>
        <w:tc>
          <w:tcPr>
            <w:tcW w:w="934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(9,000)</w:t>
            </w:r>
          </w:p>
        </w:tc>
      </w:tr>
      <w:tr>
        <w:trPr>
          <w:trHeight w:val="207"/>
        </w:trPr>
        <w:tc>
          <w:tcPr>
            <w:tcW w:w="934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2021</w:t>
            </w: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134,000</w:t>
            </w:r>
          </w:p>
        </w:tc>
      </w:tr>
      <w:tr>
        <w:trPr>
          <w:trHeight w:val="20"/>
        </w:trPr>
        <w:tc>
          <w:tcPr>
            <w:tcW w:w="4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00" w:type="dxa"/>
            <w:vAlign w:val="bottom"/>
            <w:tcBorders>
              <w:top w:val="single" w:sz="8" w:color="DBDBDB"/>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4960" w:type="dxa"/>
            <w:vAlign w:val="bottom"/>
          </w:tcPr>
          <w:p>
            <w:pPr>
              <w:spacing w:after="0"/>
              <w:rPr>
                <w:sz w:val="13"/>
                <w:szCs w:val="13"/>
                <w:color w:val="auto"/>
              </w:rPr>
            </w:pPr>
          </w:p>
        </w:tc>
        <w:tc>
          <w:tcPr>
            <w:tcW w:w="1900" w:type="dxa"/>
            <w:vAlign w:val="bottom"/>
          </w:tcPr>
          <w:p>
            <w:pPr>
              <w:spacing w:after="0"/>
              <w:rPr>
                <w:sz w:val="13"/>
                <w:szCs w:val="13"/>
                <w:color w:val="auto"/>
              </w:rPr>
            </w:pPr>
          </w:p>
        </w:tc>
      </w:tr>
    </w:tbl>
    <w:p>
      <w:pPr>
        <w:spacing w:after="0" w:line="86" w:lineRule="exact"/>
        <w:rPr>
          <w:sz w:val="20"/>
          <w:szCs w:val="20"/>
          <w:color w:val="auto"/>
        </w:rPr>
      </w:pPr>
    </w:p>
    <w:p>
      <w:pPr>
        <w:ind w:right="160" w:firstLine="8"/>
        <w:spacing w:after="0" w:line="258" w:lineRule="auto"/>
        <w:tabs>
          <w:tab w:leader="none" w:pos="154" w:val="left"/>
        </w:tabs>
        <w:numPr>
          <w:ilvl w:val="0"/>
          <w:numId w:val="113"/>
        </w:numPr>
        <w:rPr>
          <w:rFonts w:ascii="Arial" w:cs="Arial" w:eastAsia="Arial" w:hAnsi="Arial"/>
          <w:sz w:val="9"/>
          <w:szCs w:val="9"/>
          <w:color w:val="auto"/>
        </w:rPr>
      </w:pPr>
      <w:r>
        <w:rPr>
          <w:rFonts w:ascii="Arial" w:cs="Arial" w:eastAsia="Arial" w:hAnsi="Arial"/>
          <w:sz w:val="14"/>
          <w:szCs w:val="14"/>
          <w:color w:val="auto"/>
        </w:rPr>
        <w:t>PSUs settled in cash granted in 2021 include awards granted in conjunction with our annual awards made in February 2021 and PSUs granted in conjunction with the hiring of employees. These grants reflect the target number of shares eligible to be earned at the time of grant.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Time-Vested Restricted Stock Units (RSUs)</w:t>
      </w:r>
    </w:p>
    <w:p>
      <w:pPr>
        <w:spacing w:after="0" w:line="126"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RSU activity:</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ind w:right="10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460" w:type="dxa"/>
            <w:vAlign w:val="bottom"/>
          </w:tcPr>
          <w:p>
            <w:pPr>
              <w:spacing w:after="0"/>
              <w:rPr>
                <w:sz w:val="11"/>
                <w:szCs w:val="11"/>
                <w:color w:val="auto"/>
              </w:rPr>
            </w:pPr>
          </w:p>
        </w:tc>
        <w:tc>
          <w:tcPr>
            <w:tcW w:w="17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7460" w:type="dxa"/>
            <w:vAlign w:val="bottom"/>
          </w:tcPr>
          <w:p>
            <w:pPr>
              <w:spacing w:after="0"/>
              <w:rPr>
                <w:sz w:val="20"/>
                <w:szCs w:val="20"/>
                <w:color w:val="auto"/>
              </w:rPr>
            </w:pPr>
            <w:r>
              <w:rPr>
                <w:rFonts w:ascii="Arial" w:cs="Arial" w:eastAsia="Arial" w:hAnsi="Arial"/>
                <w:sz w:val="14"/>
                <w:szCs w:val="14"/>
                <w:color w:val="auto"/>
              </w:rPr>
              <w:t>Unvested at December 31, 2020</w:t>
            </w:r>
          </w:p>
        </w:tc>
        <w:tc>
          <w:tcPr>
            <w:tcW w:w="178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1,018,000</w:t>
            </w:r>
          </w:p>
        </w:tc>
        <w:tc>
          <w:tcPr>
            <w:tcW w:w="30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3BA"/>
              </w:rPr>
              <w:t>$</w:t>
            </w:r>
          </w:p>
        </w:tc>
        <w:tc>
          <w:tcPr>
            <w:tcW w:w="1640" w:type="dxa"/>
            <w:vAlign w:val="bottom"/>
            <w:shd w:val="clear" w:color="auto" w:fill="DDDDDD"/>
          </w:tcPr>
          <w:p>
            <w:pPr>
              <w:jc w:val="right"/>
              <w:spacing w:after="0"/>
              <w:rPr>
                <w:sz w:val="20"/>
                <w:szCs w:val="20"/>
                <w:color w:val="auto"/>
              </w:rPr>
            </w:pPr>
            <w:r>
              <w:rPr>
                <w:rFonts w:ascii="Arial" w:cs="Arial" w:eastAsia="Arial" w:hAnsi="Arial"/>
                <w:sz w:val="14"/>
                <w:szCs w:val="14"/>
                <w:color w:val="2573BA"/>
              </w:rPr>
              <w:t>314.46</w:t>
            </w:r>
          </w:p>
        </w:tc>
        <w:tc>
          <w:tcPr>
            <w:tcW w:w="0" w:type="dxa"/>
            <w:vAlign w:val="bottom"/>
          </w:tcPr>
          <w:p>
            <w:pPr>
              <w:spacing w:after="0"/>
              <w:rPr>
                <w:sz w:val="1"/>
                <w:szCs w:val="1"/>
                <w:color w:val="auto"/>
              </w:rPr>
            </w:pPr>
          </w:p>
        </w:tc>
      </w:tr>
      <w:tr>
        <w:trPr>
          <w:trHeight w:val="189"/>
        </w:trPr>
        <w:tc>
          <w:tcPr>
            <w:tcW w:w="746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826,000</w:t>
            </w: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276.90</w:t>
            </w:r>
          </w:p>
        </w:tc>
        <w:tc>
          <w:tcPr>
            <w:tcW w:w="0" w:type="dxa"/>
            <w:vAlign w:val="bottom"/>
          </w:tcPr>
          <w:p>
            <w:pPr>
              <w:spacing w:after="0"/>
              <w:rPr>
                <w:sz w:val="1"/>
                <w:szCs w:val="1"/>
                <w:color w:val="auto"/>
              </w:rPr>
            </w:pPr>
          </w:p>
        </w:tc>
      </w:tr>
      <w:tr>
        <w:trPr>
          <w:trHeight w:val="189"/>
        </w:trPr>
        <w:tc>
          <w:tcPr>
            <w:tcW w:w="7460" w:type="dxa"/>
            <w:vAlign w:val="bottom"/>
          </w:tcPr>
          <w:p>
            <w:pPr>
              <w:ind w:left="120"/>
              <w:spacing w:after="0"/>
              <w:rPr>
                <w:sz w:val="20"/>
                <w:szCs w:val="20"/>
                <w:color w:val="auto"/>
              </w:rPr>
            </w:pPr>
            <w:r>
              <w:rPr>
                <w:rFonts w:ascii="Arial" w:cs="Arial" w:eastAsia="Arial" w:hAnsi="Arial"/>
                <w:sz w:val="14"/>
                <w:szCs w:val="14"/>
                <w:color w:val="auto"/>
              </w:rPr>
              <w:t>Vested</w:t>
            </w: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(466,000)</w:t>
            </w: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313.99</w:t>
            </w:r>
          </w:p>
        </w:tc>
        <w:tc>
          <w:tcPr>
            <w:tcW w:w="0" w:type="dxa"/>
            <w:vAlign w:val="bottom"/>
          </w:tcPr>
          <w:p>
            <w:pPr>
              <w:spacing w:after="0"/>
              <w:rPr>
                <w:sz w:val="1"/>
                <w:szCs w:val="1"/>
                <w:color w:val="auto"/>
              </w:rPr>
            </w:pPr>
          </w:p>
        </w:tc>
      </w:tr>
      <w:tr>
        <w:trPr>
          <w:trHeight w:val="189"/>
        </w:trPr>
        <w:tc>
          <w:tcPr>
            <w:tcW w:w="746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(176,000)</w:t>
            </w:r>
          </w:p>
        </w:tc>
        <w:tc>
          <w:tcPr>
            <w:tcW w:w="1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294.34</w:t>
            </w:r>
          </w:p>
        </w:tc>
        <w:tc>
          <w:tcPr>
            <w:tcW w:w="0" w:type="dxa"/>
            <w:vAlign w:val="bottom"/>
          </w:tcPr>
          <w:p>
            <w:pPr>
              <w:spacing w:after="0"/>
              <w:rPr>
                <w:sz w:val="1"/>
                <w:szCs w:val="1"/>
                <w:color w:val="auto"/>
              </w:rPr>
            </w:pPr>
          </w:p>
        </w:tc>
      </w:tr>
      <w:tr>
        <w:trPr>
          <w:trHeight w:val="208"/>
        </w:trPr>
        <w:tc>
          <w:tcPr>
            <w:tcW w:w="7460" w:type="dxa"/>
            <w:vAlign w:val="bottom"/>
          </w:tcPr>
          <w:p>
            <w:pPr>
              <w:spacing w:after="0"/>
              <w:rPr>
                <w:sz w:val="20"/>
                <w:szCs w:val="20"/>
                <w:color w:val="auto"/>
              </w:rPr>
            </w:pPr>
            <w:r>
              <w:rPr>
                <w:rFonts w:ascii="Arial" w:cs="Arial" w:eastAsia="Arial" w:hAnsi="Arial"/>
                <w:sz w:val="14"/>
                <w:szCs w:val="14"/>
                <w:color w:val="auto"/>
              </w:rPr>
              <w:t>Unvested at December 31, 2021</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1,202,000</w:t>
            </w:r>
          </w:p>
        </w:tc>
        <w:tc>
          <w:tcPr>
            <w:tcW w:w="12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291.54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7774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5" w:lineRule="exact"/>
        <w:rPr>
          <w:sz w:val="20"/>
          <w:szCs w:val="20"/>
          <w:color w:val="auto"/>
        </w:rPr>
      </w:pPr>
    </w:p>
    <w:p>
      <w:pPr>
        <w:ind w:right="20" w:firstLine="8"/>
        <w:spacing w:after="0" w:line="258" w:lineRule="auto"/>
        <w:tabs>
          <w:tab w:leader="none" w:pos="154" w:val="left"/>
        </w:tabs>
        <w:numPr>
          <w:ilvl w:val="0"/>
          <w:numId w:val="114"/>
        </w:numPr>
        <w:rPr>
          <w:rFonts w:ascii="Arial" w:cs="Arial" w:eastAsia="Arial" w:hAnsi="Arial"/>
          <w:sz w:val="9"/>
          <w:szCs w:val="9"/>
          <w:color w:val="auto"/>
        </w:rPr>
      </w:pPr>
      <w:r>
        <w:rPr>
          <w:rFonts w:ascii="Arial" w:cs="Arial" w:eastAsia="Arial" w:hAnsi="Arial"/>
          <w:sz w:val="14"/>
          <w:szCs w:val="14"/>
          <w:color w:val="auto"/>
        </w:rPr>
        <w:t>RSUs granted in 2021 primarily represent RSUs granted in conjunction with our annual awards made in February 2021 and awards made in conjunction with the hiring of new employees. RSUs granted in 2021 also include approximately 10,000 RSUs granted to our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RSUs granted in 2020 and 2019 had weighted average grant date fair values of $318.87 and $304.44, respectively.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RSUs vested in 2021, 2020 and 2019 totaled $132.2 million, $140.5 million and $131.5 million,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Employee Stock Purchase Plan (ESPP)</w:t>
      </w:r>
    </w:p>
    <w:p>
      <w:pPr>
        <w:spacing w:after="0" w:line="126"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In June 2015 our shareholders approved the 2015 ESPP. The maximum aggregate number of shares of our common stock that may be purchased under the 2015 ESPP is 6.2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ESPP activity: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184"/>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2015 ESPP</w:t>
            </w:r>
          </w:p>
        </w:tc>
        <w:tc>
          <w:tcPr>
            <w:tcW w:w="3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248,000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204,000</w:t>
            </w:r>
          </w:p>
        </w:tc>
      </w:tr>
      <w:tr>
        <w:trPr>
          <w:trHeight w:val="188"/>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2015 ESPP</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54.4</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40.4</w:t>
            </w:r>
          </w:p>
        </w:tc>
      </w:tr>
    </w:tbl>
    <w:p>
      <w:pPr>
        <w:spacing w:after="0" w:line="224"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22"/>
          <w:szCs w:val="22"/>
          <w:b w:val="1"/>
          <w:bCs w:val="1"/>
          <w:color w:val="578196"/>
        </w:rPr>
      </w:pPr>
      <w:r>
        <w:rPr>
          <w:rFonts w:ascii="Arial" w:cs="Arial" w:eastAsia="Arial" w:hAnsi="Arial"/>
          <w:sz w:val="22"/>
          <w:szCs w:val="22"/>
          <w:b w:val="1"/>
          <w:bCs w:val="1"/>
          <w:color w:val="578196"/>
        </w:rPr>
        <w:t>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Income Tax Expense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before income tax expense and the income tax expense consist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6"/>
                <w:szCs w:val="16"/>
                <w:color w:val="auto"/>
              </w:rPr>
            </w:pPr>
          </w:p>
        </w:tc>
      </w:tr>
      <w:tr>
        <w:trPr>
          <w:trHeight w:val="18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before income taxes (benefit):</w:t>
            </w:r>
          </w:p>
        </w:tc>
        <w:tc>
          <w:tcPr>
            <w:tcW w:w="380" w:type="dxa"/>
            <w:vAlign w:val="bottom"/>
            <w:shd w:val="clear" w:color="auto" w:fill="DDDDDD"/>
          </w:tcPr>
          <w:p>
            <w:pPr>
              <w:spacing w:after="0"/>
              <w:rPr>
                <w:sz w:val="15"/>
                <w:szCs w:val="15"/>
                <w:color w:val="auto"/>
              </w:rPr>
            </w:pPr>
          </w:p>
        </w:tc>
        <w:tc>
          <w:tcPr>
            <w:tcW w:w="126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448.3</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3,290.0</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4,725.3</w:t>
            </w: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1,296.9</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1,757.5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2,400.6</w:t>
            </w:r>
          </w:p>
        </w:tc>
      </w:tr>
      <w:tr>
        <w:trPr>
          <w:trHeight w:val="22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1,745.2</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5,047.5</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7,125.9</w:t>
            </w:r>
          </w:p>
        </w:tc>
      </w:tr>
      <w:tr>
        <w:trPr>
          <w:trHeight w:val="157"/>
        </w:trPr>
        <w:tc>
          <w:tcPr>
            <w:tcW w:w="606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Income tax expense (benefit):</w:t>
            </w:r>
          </w:p>
        </w:tc>
        <w:tc>
          <w:tcPr>
            <w:tcW w:w="380" w:type="dxa"/>
            <w:vAlign w:val="bottom"/>
            <w:tcBorders>
              <w:top w:val="single" w:sz="8" w:color="auto"/>
            </w:tcBorders>
            <w:shd w:val="clear" w:color="auto" w:fill="DBDBDB"/>
          </w:tcPr>
          <w:p>
            <w:pPr>
              <w:spacing w:after="0"/>
              <w:rPr>
                <w:sz w:val="13"/>
                <w:szCs w:val="13"/>
                <w:color w:val="auto"/>
              </w:rPr>
            </w:pPr>
          </w:p>
        </w:tc>
        <w:tc>
          <w:tcPr>
            <w:tcW w:w="126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88"/>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319.1</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647.0</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947.4</w:t>
            </w:r>
          </w:p>
        </w:tc>
      </w:tr>
      <w:tr>
        <w:trPr>
          <w:trHeight w:val="19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59.1</w:t>
            </w:r>
          </w:p>
        </w:tc>
      </w:tr>
      <w:tr>
        <w:trPr>
          <w:trHeight w:val="188"/>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w:t>
            </w:r>
          </w:p>
        </w:tc>
      </w:tr>
      <w:tr>
        <w:trPr>
          <w:trHeight w:val="18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479.3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843.3</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1,090.9</w:t>
            </w:r>
          </w:p>
        </w:tc>
      </w:tr>
      <w:tr>
        <w:trPr>
          <w:trHeight w:val="169"/>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BDBDB"/>
          </w:tcPr>
          <w:p>
            <w:pPr>
              <w:spacing w:after="0"/>
              <w:rPr>
                <w:sz w:val="14"/>
                <w:szCs w:val="14"/>
                <w:color w:val="auto"/>
              </w:rPr>
            </w:pPr>
          </w:p>
        </w:tc>
        <w:tc>
          <w:tcPr>
            <w:tcW w:w="1260" w:type="dxa"/>
            <w:vAlign w:val="bottom"/>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9"/>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(242.5)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(1,749.9)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1,143.9</w:t>
            </w:r>
          </w:p>
        </w:tc>
      </w:tr>
      <w:tr>
        <w:trPr>
          <w:trHeight w:val="191"/>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7"/>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1,905.7</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(1,074.5)</w:t>
            </w:r>
          </w:p>
        </w:tc>
      </w:tr>
      <w:tr>
        <w:trPr>
          <w:trHeight w:val="183"/>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BDBDB"/>
          </w:tcPr>
          <w:p>
            <w:pPr>
              <w:spacing w:after="0"/>
              <w:rPr>
                <w:sz w:val="15"/>
                <w:szCs w:val="15"/>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(426.8)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Total income tax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992.3</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1,158.0</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Transition Toll Tax</w:t>
      </w:r>
    </w:p>
    <w:p>
      <w:pPr>
        <w:spacing w:after="0" w:line="135"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color w:val="auto"/>
        </w:rPr>
        <w:t>The Tax Cuts and Jobs Act of 2017 eliminated the deferral of U.S. income tax on the historical unrepatriated earnings by imposing the one-time mandatory deemed repatriation tax on accumulated foreign subsidiaries' previously untaxed foreign earnings (the Transition Toll Tax). The Transition Toll Tax was assessed on our share of our foreign corporations' accumulated foreign earnings that were not previously taxed. Earnings in the form of cash and cash equivalents were taxed at a rate of 15.5% and all other earnings were taxed at a rate of 8.0%.</w:t>
      </w:r>
    </w:p>
    <w:p>
      <w:pPr>
        <w:spacing w:after="0" w:line="83"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As of December 31, 2021 and 2020, we have accrued income tax liabilities of $633.0 million and $697.0 million, respectively, under the Transition Toll Tax. Of the amounts accrued as of December 31, 2021, approximately $72.7 million is expected to be paid within one year. The Transition Toll Tax will be paid in installments over an eight--year period, which started in 2018, and will not accrue interest.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Unremitted Earnings</w:t>
      </w:r>
    </w:p>
    <w:p>
      <w:pPr>
        <w:spacing w:after="0" w:line="126"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At December 31, 2021, we considered our earnings not to be permanently reinvested outside the U.S. and therefore recorded deferred tax liabilities associated with an estimate of the total withholding taxes expected as a result of our repatriation of earnings. Other than for earnings, we are permanently reinvested for book/tax basis differences of approximately $1.5 billion as of December 31, 2021, primarily arising through the impacts of purchase accounting. These permanently reinvested basis differences could reverse through sales of the foreign subsidiaries, as well as various other events, none of which were considered probable as of December 31, 2021. The residual U.S. tax liability, if these differences reverse, would be between $300.0 million and $400.0 million as of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TECFIDERA</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2020 U.S. federal courts in West Virginia and Delaware entered judgments in favor of the defendants in patent infringement proceedings relating to TECFIDERA Orange-Book listed patents. We appealed both decisions. In late 2021 the U.S. Court of Appeals for the Federal Circuit (Federal Circuit) affirmed the judgment of the West Virginia federal court. The appeals in the Delaware cases were stayed and we expect will remain so until the decision in the West Virginia case becomes final. For additional information, please read </w:t>
      </w:r>
      <w:r>
        <w:rPr>
          <w:rFonts w:ascii="Arial" w:cs="Arial" w:eastAsia="Arial" w:hAnsi="Arial"/>
          <w:sz w:val="18"/>
          <w:szCs w:val="18"/>
          <w:i w:val="1"/>
          <w:iCs w:val="1"/>
          <w:color w:val="auto"/>
        </w:rPr>
        <w:t>Note 20,</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to these consolidated financial statements.</w:t>
      </w:r>
    </w:p>
    <w:p>
      <w:pPr>
        <w:spacing w:after="0" w:line="97" w:lineRule="exact"/>
        <w:rPr>
          <w:sz w:val="20"/>
          <w:szCs w:val="20"/>
          <w:color w:val="auto"/>
        </w:rPr>
      </w:pPr>
    </w:p>
    <w:p>
      <w:pPr>
        <w:jc w:val="both"/>
        <w:ind w:right="260" w:firstLine="405"/>
        <w:spacing w:after="0" w:line="256"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continue to have a substantial and increasing negative impact on our U.S. TECFIDERA revenue in the future.</w:t>
      </w:r>
    </w:p>
    <w:p>
      <w:pPr>
        <w:spacing w:after="0" w:line="8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As of December 31, 2020, we assessed the realizability of our deferred tax assets that are dependent on future expected sales of TECFIDERA in the U.S. and reduced the net value of certain deferred tax assets by approximately $1.7 billion and reduced the net value of deferred tax liabilities associated with GILTI and tax credits by approximately $1.6 billion. For the year ended December 31, 2020, the income tax expense associated with these reductions was approximately $90.3 million. We continue to assess the realizability of these deferred tax assets and have recorded an increase in these deferred tax assets of approximately $108.5 million and an increase in these deferred tax liabilities of approximately $103.9 million for the year ended December 31,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Deferred Tax Assets and Liabilities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6"/>
                <w:szCs w:val="16"/>
                <w:color w:val="auto"/>
              </w:rPr>
            </w:pPr>
          </w:p>
        </w:tc>
      </w:tr>
      <w:tr>
        <w:trPr>
          <w:trHeight w:val="18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20" w:type="dxa"/>
            <w:vAlign w:val="bottom"/>
            <w:tcBorders>
              <w:bottom w:val="single" w:sz="8" w:color="auto"/>
            </w:tcBorders>
            <w:shd w:val="clear" w:color="auto" w:fill="DDDDDD"/>
          </w:tcPr>
          <w:p>
            <w:pPr>
              <w:spacing w:after="0"/>
              <w:rPr>
                <w:sz w:val="15"/>
                <w:szCs w:val="15"/>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83"/>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42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121.0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113.4</w:t>
            </w:r>
          </w:p>
        </w:tc>
      </w:tr>
      <w:tr>
        <w:trPr>
          <w:trHeight w:val="190"/>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Inventory, other reserves and accruals</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199.4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165.9</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Intangibles, net</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1,477.5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1,546.0</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Neurimmune's tax basis in ADUHELM</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475.8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Net operating loss</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1,973.0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2,080.3</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31.7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208.8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103.1</w:t>
            </w:r>
          </w:p>
        </w:tc>
      </w:tr>
      <w:tr>
        <w:trPr>
          <w:trHeight w:val="188"/>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42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(1,961.3)</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(1,753.9)</w:t>
            </w:r>
          </w:p>
        </w:tc>
      </w:tr>
      <w:tr>
        <w:trPr>
          <w:trHeight w:val="223"/>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2,525.9</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2,278.1</w:t>
            </w:r>
          </w:p>
        </w:tc>
      </w:tr>
      <w:tr>
        <w:trPr>
          <w:trHeight w:val="155"/>
        </w:trPr>
        <w:tc>
          <w:tcPr>
            <w:tcW w:w="756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Deferred tax liabilities:</w:t>
            </w:r>
          </w:p>
        </w:tc>
        <w:tc>
          <w:tcPr>
            <w:tcW w:w="420" w:type="dxa"/>
            <w:vAlign w:val="bottom"/>
            <w:tcBorders>
              <w:top w:val="single" w:sz="8" w:color="auto"/>
            </w:tcBorders>
            <w:shd w:val="clear" w:color="auto" w:fill="DBDBDB"/>
          </w:tcPr>
          <w:p>
            <w:pPr>
              <w:spacing w:after="0"/>
              <w:rPr>
                <w:sz w:val="13"/>
                <w:szCs w:val="13"/>
                <w:color w:val="auto"/>
              </w:rPr>
            </w:pPr>
          </w:p>
        </w:tc>
        <w:tc>
          <w:tcPr>
            <w:tcW w:w="136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Purchased intangible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(256.6)</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(396.2)</w:t>
            </w:r>
          </w:p>
        </w:tc>
      </w:tr>
      <w:tr>
        <w:trPr>
          <w:trHeight w:val="190"/>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GILTI</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(1,037.6)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(1,143.7)</w:t>
            </w:r>
          </w:p>
        </w:tc>
      </w:tr>
      <w:tr>
        <w:trPr>
          <w:trHeight w:val="189"/>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(260.2)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(174.6)</w:t>
            </w:r>
          </w:p>
        </w:tc>
      </w:tr>
      <w:tr>
        <w:trPr>
          <w:trHeight w:val="188"/>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other</w:t>
            </w:r>
          </w:p>
        </w:tc>
        <w:tc>
          <w:tcPr>
            <w:tcW w:w="42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(250.9)</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(227.0)</w:t>
            </w:r>
          </w:p>
        </w:tc>
      </w:tr>
      <w:tr>
        <w:trPr>
          <w:trHeight w:val="203"/>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liabilities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(1,805.3)</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(1,941.5)</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change in the valuation allowance between December 31, 2021 and 2020, was primarily related to the establishment of a valuation allowance against the deferred tax asset related to Neurimmune SubOne AG's (Neurimmune) tax basis in ADUHELM, as discussed below, and the adjustment of a valuation against certain deferred tax assets, the realization of which is dependent on future sales of TECFIDERA in the U.S., as discussed above.</w:t>
      </w:r>
    </w:p>
    <w:p>
      <w:pPr>
        <w:spacing w:after="0" w:line="150"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2021 and 2020, the total deferred charges were $39.6 million and $142.2 million, respectively.</w:t>
      </w:r>
    </w:p>
    <w:p>
      <w:pPr>
        <w:spacing w:after="0" w:line="144"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As of December 31, 2021 and 2020, the carrying value of our investment in Samsung Bioepis totaled 713.3 billion South Korean won ($599.9 million) and 673.8 billion South Korean won ($620.2 million), respectively, which is classified as a component of investments and other assets within our consolidated balance sheets. As of December 31, 2021, we have not recorded deferred taxes related to this investment as it is not apparent that the basis difference will reverse in the foreseeable future.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Tax Rate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1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110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2021</w:t>
            </w:r>
          </w:p>
        </w:tc>
        <w:tc>
          <w:tcPr>
            <w:tcW w:w="440" w:type="dxa"/>
            <w:vAlign w:val="bottom"/>
            <w:tcBorders>
              <w:top w:val="single" w:sz="8" w:color="auto"/>
              <w:bottom w:val="single" w:sz="8" w:color="auto"/>
            </w:tcBorders>
            <w:shd w:val="clear" w:color="auto" w:fill="DDDDDD"/>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183"/>
        </w:trPr>
        <w:tc>
          <w:tcPr>
            <w:tcW w:w="5920" w:type="dxa"/>
            <w:vAlign w:val="bottom"/>
          </w:tcPr>
          <w:p>
            <w:pPr>
              <w:spacing w:after="0"/>
              <w:rPr>
                <w:sz w:val="20"/>
                <w:szCs w:val="20"/>
                <w:color w:val="auto"/>
              </w:rPr>
            </w:pPr>
            <w:r>
              <w:rPr>
                <w:rFonts w:ascii="Arial" w:cs="Arial" w:eastAsia="Arial" w:hAnsi="Arial"/>
                <w:sz w:val="14"/>
                <w:szCs w:val="14"/>
                <w:color w:val="auto"/>
              </w:rPr>
              <w:t>Statutory rate</w:t>
            </w:r>
          </w:p>
        </w:tc>
        <w:tc>
          <w:tcPr>
            <w:tcW w:w="1100" w:type="dxa"/>
            <w:vAlign w:val="bottom"/>
            <w:shd w:val="clear" w:color="auto" w:fill="DBDBDB"/>
          </w:tcPr>
          <w:p>
            <w:pPr>
              <w:spacing w:after="0"/>
              <w:rPr>
                <w:sz w:val="15"/>
                <w:szCs w:val="15"/>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190"/>
        </w:trPr>
        <w:tc>
          <w:tcPr>
            <w:tcW w:w="5920" w:type="dxa"/>
            <w:vAlign w:val="bottom"/>
          </w:tcPr>
          <w:p>
            <w:pPr>
              <w:spacing w:after="0"/>
              <w:rPr>
                <w:sz w:val="20"/>
                <w:szCs w:val="20"/>
                <w:color w:val="auto"/>
              </w:rPr>
            </w:pPr>
            <w:r>
              <w:rPr>
                <w:rFonts w:ascii="Arial" w:cs="Arial" w:eastAsia="Arial" w:hAnsi="Arial"/>
                <w:sz w:val="14"/>
                <w:szCs w:val="14"/>
                <w:color w:val="auto"/>
              </w:rPr>
              <w:t>State taxes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0.8</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(10.5)</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(4.5)</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Tax credits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(1.1)</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0.4</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Divestiture of Denmark manufacturing operations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1.0</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Internal reorganization of certain intellectual property rights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(2.1)</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TECFIDERA impairment</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GILTI</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Swiss tax reform</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(0.8)</w:t>
            </w:r>
          </w:p>
        </w:tc>
      </w:tr>
      <w:tr>
        <w:trPr>
          <w:trHeight w:val="189"/>
        </w:trPr>
        <w:tc>
          <w:tcPr>
            <w:tcW w:w="5920" w:type="dxa"/>
            <w:vAlign w:val="bottom"/>
          </w:tcPr>
          <w:p>
            <w:pPr>
              <w:spacing w:after="0"/>
              <w:rPr>
                <w:sz w:val="20"/>
                <w:szCs w:val="20"/>
                <w:color w:val="auto"/>
              </w:rPr>
            </w:pPr>
            <w:r>
              <w:rPr>
                <w:rFonts w:ascii="Arial" w:cs="Arial" w:eastAsia="Arial" w:hAnsi="Arial"/>
                <w:sz w:val="14"/>
                <w:szCs w:val="14"/>
                <w:color w:val="auto"/>
              </w:rPr>
              <w:t>Neurimmune tax impacts</w:t>
            </w:r>
          </w:p>
        </w:tc>
        <w:tc>
          <w:tcPr>
            <w:tcW w:w="1100" w:type="dxa"/>
            <w:vAlign w:val="bottom"/>
            <w:shd w:val="clear" w:color="auto" w:fill="DBDBDB"/>
          </w:tcPr>
          <w:p>
            <w:pPr>
              <w:spacing w:after="0"/>
              <w:rPr>
                <w:sz w:val="16"/>
                <w:szCs w:val="16"/>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w:t>
            </w:r>
          </w:p>
        </w:tc>
        <w:tc>
          <w:tcPr>
            <w:tcW w:w="160" w:type="dxa"/>
            <w:vAlign w:val="bottom"/>
            <w:shd w:val="clear" w:color="auto" w:fill="DBDBDB"/>
          </w:tcPr>
          <w:p>
            <w:pPr>
              <w:spacing w:after="0"/>
              <w:rPr>
                <w:sz w:val="16"/>
                <w:szCs w:val="16"/>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88"/>
        </w:trPr>
        <w:tc>
          <w:tcPr>
            <w:tcW w:w="5920" w:type="dxa"/>
            <w:vAlign w:val="bottom"/>
          </w:tcPr>
          <w:p>
            <w:pPr>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DBDBDB"/>
          </w:tcPr>
          <w:p>
            <w:pPr>
              <w:spacing w:after="0"/>
              <w:rPr>
                <w:sz w:val="16"/>
                <w:szCs w:val="16"/>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w:t>
            </w:r>
          </w:p>
        </w:tc>
      </w:tr>
      <w:tr>
        <w:trPr>
          <w:trHeight w:val="203"/>
        </w:trPr>
        <w:tc>
          <w:tcPr>
            <w:tcW w:w="5920" w:type="dxa"/>
            <w:vAlign w:val="bottom"/>
          </w:tcPr>
          <w:p>
            <w:pPr>
              <w:ind w:left="120"/>
              <w:spacing w:after="0"/>
              <w:rPr>
                <w:sz w:val="20"/>
                <w:szCs w:val="20"/>
                <w:color w:val="auto"/>
              </w:rPr>
            </w:pPr>
            <w:r>
              <w:rPr>
                <w:rFonts w:ascii="Arial" w:cs="Arial" w:eastAsia="Arial" w:hAnsi="Arial"/>
                <w:sz w:val="14"/>
                <w:szCs w:val="14"/>
                <w:color w:val="auto"/>
              </w:rPr>
              <w:t>Effective tax rate</w:t>
            </w:r>
          </w:p>
        </w:tc>
        <w:tc>
          <w:tcPr>
            <w:tcW w:w="1100" w:type="dxa"/>
            <w:vAlign w:val="bottom"/>
            <w:shd w:val="clear" w:color="auto" w:fill="DBDBDB"/>
          </w:tcPr>
          <w:p>
            <w:pPr>
              <w:spacing w:after="0"/>
              <w:rPr>
                <w:sz w:val="17"/>
                <w:szCs w:val="17"/>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19.7 %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16.3 %</w:t>
            </w:r>
          </w:p>
        </w:tc>
      </w:tr>
      <w:tr>
        <w:trPr>
          <w:trHeight w:val="20"/>
        </w:trPr>
        <w:tc>
          <w:tcPr>
            <w:tcW w:w="5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Changes in Tax Rate</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the year ended December 31, 2021, compared to 2020, the decrease in our effective tax rate, excluding the impact of the Neurimmune deferred tax asset, as discussed below, was primarily due to the change in the territorial mix of our profitability, which included the adverse effect of generic competition for TECFIDERA in the U.S. market, the tax impacts of the BIIB111 and BIIB112 impairment charges and the impact of the non-cash tax effects of changes in the value of our equity investments, where we recorded net unrealized losses in 2021 and net unrealized gains in 2020. Our 2020 effective tax rate also reflected an income tax expense related to the establishment of a valuation allowance against certain deferred tax assets, the realization of which is dependent on future sales of TECFIDERA in the U.S.</w:t>
      </w:r>
    </w:p>
    <w:p>
      <w:pPr>
        <w:spacing w:after="0" w:line="87"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In addition, for the year ended December 31, 2021, compared to 2020, the decrease in our effective tax rate was significantly impacted by a current year deferred tax benefit in Switzerland resulting from the accelerated approval of ADUHELM by the FDA in the U.S., recognized during the second quarter of 2021. We recorded a net deferred tax asset of approximately $490.0 million during the second quarter of 2021. The net deferred tax asset is comprised of approximately $945.0 million of gross deferred tax asset, reduced by approximately $455.0 million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unrecognized tax benefit, as discussed below. During the fourth quarter of 2021 we recorded a valuation allowance of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$390.0 million related to this deferred tax asset. The deferred tax benefit relates to Neurimmune's tax basis in ADUHELM, the realization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is dependent on future sales of ADUHELM and approval of the Swiss cantonal tax authorities, with an equal and offsetting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assigned to net income (loss) attributable to noncontrolling interests, net of tax in our consolidated statements of income, resulting in a zero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impact to net income attributable to Biogen Inc. For additional information on our collaboration arrangement with Neurimmune, please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read </w:t>
      </w:r>
      <w:r>
        <w:rPr>
          <w:rFonts w:ascii="Arial" w:cs="Arial" w:eastAsia="Arial" w:hAnsi="Arial"/>
          <w:sz w:val="18"/>
          <w:szCs w:val="18"/>
          <w:i w:val="1"/>
          <w:iCs w:val="1"/>
          <w:color w:val="auto"/>
        </w:rPr>
        <w:t>Note 19, Investments in Variable Interest Entities</w:t>
      </w:r>
      <w:r>
        <w:rPr>
          <w:rFonts w:ascii="Arial" w:cs="Arial" w:eastAsia="Arial" w:hAnsi="Arial"/>
          <w:sz w:val="18"/>
          <w:szCs w:val="18"/>
          <w:color w:val="auto"/>
        </w:rPr>
        <w:t>, to these consolidated financial statements.</w:t>
      </w:r>
    </w:p>
    <w:p>
      <w:pPr>
        <w:spacing w:after="0" w:line="9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 xml:space="preserve">For the year ended December 31, 2020, compared to 2019, the increase in our effective tax rate was primarily due to the income tax expense related to the establishment of a valuation allowance against certain deferred tax assets, the realization of which is dependent on future sales of TECFIDERA in the U.S., as discussed above, and partially offset by the benefit recognized on the effective settlement of certain tax matters. Additionally, our 2019 effective tax rate benefited from an internal reorganization of certain intellectual property rights and the enactment of a new taxing regime in the country and certain cantons of Switzerland, which we refer to as Swiss Tax Reform, partially offset by tax expense related to the divestiture of our Hillerød, Denmark manufacturing operations. Although we recognized a loss on the divestiture of our Hillerød, Denmark manufacturing operations, the divestiture required us to write-off certain deferred tax assets and resulted in a taxable gain in certain jurisdictions.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Tax Attributes</w:t>
      </w:r>
    </w:p>
    <w:p>
      <w:pPr>
        <w:spacing w:after="0" w:line="122"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As of December 31, 2021, we had net operating losses and general business credit carry forwards for U.S. federal income tax purposes of approximately $0.6 million and $4.8 million, respectively, which begin to expire in 2022 and 2027, respectively. For U.S. state income tax purposes, we had research and investment credit carry forwards of approximately $147.6 million that begin to expire in 2022. For foreign income tax purposes, we had $16.7 billion of Swiss federal net operating loss carryforwards that begin to expire in 2025 and $16.2 billion of Swiss cantonal net operating loss carryforwards that begin to expire in 2025.</w:t>
      </w:r>
    </w:p>
    <w:p>
      <w:pPr>
        <w:spacing w:after="0" w:line="151"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net of the recorded valuation allowance. In the event that actual results differ from our estimates or we adjust our estimates in future periods, we may need to adjust or establish a valuation allowance, which could materially impact our consolidated financial position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183"/>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75.7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129.9</w:t>
            </w:r>
          </w:p>
        </w:tc>
        <w:tc>
          <w:tcPr>
            <w:tcW w:w="12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114.2</w:t>
            </w:r>
          </w:p>
        </w:tc>
      </w:tr>
      <w:tr>
        <w:trPr>
          <w:trHeight w:val="190"/>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based on tax positions related to the current period</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for tax positions of prior periods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509.9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Reductions for tax positions of prior periods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89"/>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Settlement refund (payment)</w:t>
            </w:r>
          </w:p>
        </w:tc>
        <w:tc>
          <w:tcPr>
            <w:tcW w:w="34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02"/>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563.4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129.9</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During the year ended December 31, 2021, we increased our gross unrecognized tax benefits by approximately $455.0 million, related to a deferred tax asset for Swiss tax purposes for Neurimmune's tax basis in ADUHELM, as discussed above. This unrecognized tax benefit was recorded as a reduction to the gross deferred tax asset, resulting in the net deferred tax asset, as discussed above, and not as a separate liability on our consolidated balance sheets.</w:t>
      </w:r>
    </w:p>
    <w:p>
      <w:pPr>
        <w:spacing w:after="0" w:line="10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2020 activity reflects the impact of the effective settlement of certain tax matters. We and our subsidiaries are routinely examined by various taxing authorities. We file income tax returns in various U.S. states and in U.S. federal and other foreign jurisdictions. With few exceptions, we are no longer subject to U.S. federal tax examination for years before 2017 or state, local or non-U.S. income tax examinations for years before 2012.</w:t>
      </w:r>
    </w:p>
    <w:p>
      <w:pPr>
        <w:spacing w:after="0" w:line="8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148"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Included in the balance of unrecognized tax benefits as of December 31, 2021, 2020 and 2019, are $87.5 million, $68.8 million and $122.7 million (net of the federal benefit on state issues), respectively, of unrecognized tax benefits that, if recognized, would affect the effective income tax rate in future periods.</w:t>
      </w:r>
    </w:p>
    <w:p>
      <w:pPr>
        <w:spacing w:after="0" w:line="148"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We recognize potential interest and penalties related to unrecognized tax benefits in income tax expense. During the years ended December 31, 2021, 2020 and 2019 we recognized total interest and penalty expense of $2.7 million, $ 1.0 million and $ 4.7 million, respectively. We have accrued $24.8 million and $21.2 million for the payment of interest and penalties as of December 31, 2021 and 2020,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jc w:val="both"/>
        <w:ind w:right="520" w:firstLine="445"/>
        <w:spacing w:after="0" w:line="256"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spacing w:after="0" w:line="14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$475.0 million, including approximately $ 455.0 million related to the unrecognized tax benefits related to Neurimmune's tax basis in ADUHELM, as discussed above, in the next 12 months as a result of various audit closures, settlements and expiration of the statute of limitations.</w:t>
      </w:r>
    </w:p>
    <w:p>
      <w:pPr>
        <w:spacing w:after="0" w:line="13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22"/>
          <w:szCs w:val="22"/>
          <w:b w:val="1"/>
          <w:bCs w:val="1"/>
          <w:color w:val="578196"/>
        </w:rPr>
      </w:pPr>
      <w:r>
        <w:rPr>
          <w:rFonts w:ascii="Arial" w:cs="Arial" w:eastAsia="Arial" w:hAnsi="Arial"/>
          <w:sz w:val="22"/>
          <w:szCs w:val="22"/>
          <w:b w:val="1"/>
          <w:bCs w:val="1"/>
          <w:color w:val="578196"/>
        </w:rPr>
        <w:t>OTHER CONSOLIDATED FINANCIAL STATEMENT DETAIL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Supplemental Cash Flow Information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disclosure of cash flow information for the years ended December 31, 2021, 2020 and 2019,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18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4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18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paid during the year for:</w:t>
            </w:r>
          </w:p>
        </w:tc>
        <w:tc>
          <w:tcPr>
            <w:tcW w:w="400" w:type="dxa"/>
            <w:vAlign w:val="bottom"/>
            <w:shd w:val="clear" w:color="auto" w:fill="DDDDDD"/>
          </w:tcPr>
          <w:p>
            <w:pPr>
              <w:spacing w:after="0"/>
              <w:rPr>
                <w:sz w:val="15"/>
                <w:szCs w:val="15"/>
                <w:color w:val="auto"/>
              </w:rPr>
            </w:pPr>
          </w:p>
        </w:tc>
        <w:tc>
          <w:tcPr>
            <w:tcW w:w="134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280.8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272.7</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244.2</w:t>
            </w:r>
          </w:p>
        </w:tc>
      </w:tr>
      <w:tr>
        <w:trPr>
          <w:trHeight w:val="189"/>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Income taxes</w:t>
            </w:r>
          </w:p>
        </w:tc>
        <w:tc>
          <w:tcPr>
            <w:tcW w:w="40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906.7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1,064.5</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Non-cash Operating, Investing and Financing Activity</w:t>
      </w:r>
    </w:p>
    <w:p>
      <w:pPr>
        <w:spacing w:after="0" w:line="122"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In the fourth quarter of 2018 we accrued $300.0 million upon reaching $ 20.0 billion in total cumulative sales of FUMADERM and TECFIDERA (together, the Fumapharm Products), which was paid in the first quarter of 2019. These amounts, net of tax benefit, were accounted for as increases to goodwill in accordance with the accounting standard applicable to business combinations when we acquired Fumapharm AG.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Income (Expense), Net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40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120.0</w:t>
            </w:r>
          </w:p>
        </w:tc>
      </w:tr>
      <w:tr>
        <w:trPr>
          <w:trHeight w:val="191"/>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(187.4)</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Gain (loss) on investments, net</w:t>
            </w: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(824.9)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685.7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204.7</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187"/>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r>
      <w:tr>
        <w:trPr>
          <w:trHeight w:val="203"/>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Total other income (expense), net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(1,095.5)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497.4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83.3</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0" w:firstLine="243"/>
        <w:spacing w:after="0" w:line="256" w:lineRule="auto"/>
        <w:rPr>
          <w:sz w:val="20"/>
          <w:szCs w:val="20"/>
          <w:color w:val="auto"/>
        </w:rPr>
      </w:pPr>
      <w:r>
        <w:rPr>
          <w:rFonts w:ascii="Arial" w:cs="Arial" w:eastAsia="Arial" w:hAnsi="Arial"/>
          <w:sz w:val="18"/>
          <w:szCs w:val="18"/>
          <w:color w:val="auto"/>
        </w:rPr>
        <w:t>Gain (loss)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148" w:lineRule="exact"/>
        <w:rPr>
          <w:sz w:val="20"/>
          <w:szCs w:val="20"/>
          <w:color w:val="auto"/>
        </w:rPr>
      </w:pPr>
    </w:p>
    <w:p>
      <w:pPr>
        <w:ind w:right="360" w:firstLine="243"/>
        <w:spacing w:after="0" w:line="261" w:lineRule="auto"/>
        <w:rPr>
          <w:sz w:val="20"/>
          <w:szCs w:val="20"/>
          <w:color w:val="auto"/>
        </w:rPr>
      </w:pPr>
      <w:r>
        <w:rPr>
          <w:rFonts w:ascii="Arial" w:cs="Arial" w:eastAsia="Arial" w:hAnsi="Arial"/>
          <w:sz w:val="18"/>
          <w:szCs w:val="18"/>
          <w:color w:val="auto"/>
        </w:rPr>
        <w:t>The following table summarizes our gain (loss) on investments, net that relates to our equity securities held as of December 31, 2021, 2020 and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18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during the period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(821.1)</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693.9</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200.1</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during the period and on equity securities</w:t>
            </w:r>
          </w:p>
        </w:tc>
        <w:tc>
          <w:tcPr>
            <w:tcW w:w="38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10.3</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Unrealized gains (losses) recognized during the period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(831.4)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681.8</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150.1</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243"/>
        <w:spacing w:after="0" w:line="261" w:lineRule="auto"/>
        <w:rPr>
          <w:sz w:val="20"/>
          <w:szCs w:val="20"/>
          <w:color w:val="auto"/>
        </w:rPr>
      </w:pPr>
      <w:r>
        <w:rPr>
          <w:rFonts w:ascii="Arial" w:cs="Arial" w:eastAsia="Arial" w:hAnsi="Arial"/>
          <w:sz w:val="18"/>
          <w:szCs w:val="18"/>
          <w:color w:val="auto"/>
        </w:rPr>
        <w:t>The net unrealized losses recognized during the year ended December 31, 2021, primarily reflect decreases in the aggregate fair value of our investments in Denali, Sage, Sangamo and Ionis common stock of approximately $819.6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Accrued Expense and Other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 and other consists of the following:</w:t>
      </w:r>
    </w:p>
    <w:p>
      <w:pPr>
        <w:spacing w:after="0" w:line="118" w:lineRule="exact"/>
        <w:rPr>
          <w:sz w:val="20"/>
          <w:szCs w:val="20"/>
          <w:color w:val="auto"/>
        </w:rPr>
      </w:pPr>
    </w:p>
    <w:p>
      <w:pPr>
        <w:jc w:val="right"/>
        <w:ind w:right="1160"/>
        <w:spacing w:after="0"/>
        <w:rPr>
          <w:sz w:val="20"/>
          <w:szCs w:val="20"/>
          <w:color w:val="auto"/>
        </w:rPr>
      </w:pPr>
      <w:r>
        <w:rPr>
          <w:rFonts w:ascii="Arial" w:cs="Arial" w:eastAsia="Arial" w:hAnsi="Arial"/>
          <w:sz w:val="14"/>
          <w:szCs w:val="14"/>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760" w:type="dxa"/>
            <w:vAlign w:val="bottom"/>
            <w:tcBorders>
              <w:top w:val="single" w:sz="8" w:color="auto"/>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2021</w:t>
            </w: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-7620</wp:posOffset>
            </wp:positionV>
            <wp:extent cx="1122680" cy="9944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1">
                      <a:extLst>
                        <a:ext uri="{28A0092B-C50C-407E-A947-70E740481C1C}"/>
                      </a:extLst>
                    </a:blip>
                    <a:srcRect/>
                    <a:stretch>
                      <a:fillRect/>
                    </a:stretch>
                  </pic:blipFill>
                  <pic:spPr bwMode="auto">
                    <a:xfrm>
                      <a:off x="0" y="0"/>
                      <a:ext cx="1122680" cy="9944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Revenue-related reserves for discounts and allowances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Collaboration expense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liabilities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portion of contingent consideration obligations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accrued expense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Pr>
          <w:p>
            <w:pPr>
              <w:jc w:val="right"/>
              <w:spacing w:after="0"/>
              <w:rPr>
                <w:sz w:val="20"/>
                <w:szCs w:val="20"/>
                <w:color w:val="auto"/>
              </w:rPr>
            </w:pPr>
            <w:r>
              <w:rPr>
                <w:rFonts w:ascii="Arial" w:cs="Arial" w:eastAsia="Arial" w:hAnsi="Arial"/>
                <w:sz w:val="14"/>
                <w:szCs w:val="14"/>
                <w:color w:val="2573BA"/>
              </w:rPr>
              <w:t>802.1</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190"/>
        </w:trPr>
        <w:tc>
          <w:tcPr>
            <w:tcW w:w="660" w:type="dxa"/>
            <w:vAlign w:val="bottom"/>
          </w:tcPr>
          <w:p>
            <w:pPr>
              <w:spacing w:after="0"/>
              <w:rPr>
                <w:sz w:val="16"/>
                <w:szCs w:val="16"/>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324.7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389.9</w:t>
            </w:r>
          </w:p>
        </w:tc>
      </w:tr>
      <w:tr>
        <w:trPr>
          <w:trHeight w:val="189"/>
        </w:trPr>
        <w:tc>
          <w:tcPr>
            <w:tcW w:w="660" w:type="dxa"/>
            <w:vAlign w:val="bottom"/>
          </w:tcPr>
          <w:p>
            <w:pPr>
              <w:spacing w:after="0"/>
              <w:rPr>
                <w:sz w:val="16"/>
                <w:szCs w:val="16"/>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345.1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333.8</w:t>
            </w:r>
          </w:p>
        </w:tc>
      </w:tr>
      <w:tr>
        <w:trPr>
          <w:trHeight w:val="189"/>
        </w:trPr>
        <w:tc>
          <w:tcPr>
            <w:tcW w:w="660" w:type="dxa"/>
            <w:vAlign w:val="bottom"/>
          </w:tcPr>
          <w:p>
            <w:pPr>
              <w:spacing w:after="0"/>
              <w:rPr>
                <w:sz w:val="16"/>
                <w:szCs w:val="16"/>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234.7</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218.5</w:t>
            </w:r>
          </w:p>
        </w:tc>
      </w:tr>
      <w:tr>
        <w:trPr>
          <w:trHeight w:val="189"/>
        </w:trPr>
        <w:tc>
          <w:tcPr>
            <w:tcW w:w="660" w:type="dxa"/>
            <w:vAlign w:val="bottom"/>
          </w:tcPr>
          <w:p>
            <w:pPr>
              <w:spacing w:after="0"/>
              <w:rPr>
                <w:sz w:val="16"/>
                <w:szCs w:val="16"/>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10.8</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189"/>
        </w:trPr>
        <w:tc>
          <w:tcPr>
            <w:tcW w:w="660" w:type="dxa"/>
            <w:vAlign w:val="bottom"/>
          </w:tcPr>
          <w:p>
            <w:pPr>
              <w:spacing w:after="0"/>
              <w:rPr>
                <w:sz w:val="16"/>
                <w:szCs w:val="16"/>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149.6</w:t>
            </w:r>
          </w:p>
        </w:tc>
      </w:tr>
      <w:tr>
        <w:trPr>
          <w:trHeight w:val="188"/>
        </w:trPr>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817.8</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791.4</w:t>
            </w:r>
          </w:p>
        </w:tc>
      </w:tr>
      <w:tr>
        <w:trPr>
          <w:trHeight w:val="223"/>
        </w:trPr>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2,535.2</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3,145.3</w:t>
            </w:r>
          </w:p>
        </w:tc>
      </w:tr>
    </w:tbl>
    <w:p>
      <w:pPr>
        <w:spacing w:after="0" w:line="139" w:lineRule="exact"/>
        <w:rPr>
          <w:sz w:val="20"/>
          <w:szCs w:val="20"/>
          <w:color w:val="auto"/>
        </w:rPr>
      </w:pPr>
    </w:p>
    <w:p>
      <w:pPr>
        <w:sectPr>
          <w:pgSz w:w="11900" w:h="16838" w:orient="portrait"/>
          <w:cols w:equalWidth="0" w:num="2">
            <w:col w:w="6880" w:space="720"/>
            <w:col w:w="3640"/>
          </w:cols>
          <w:pgMar w:left="320" w:top="144"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26"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Other long-term liabilities were $ 1,320.5 million and $1,329.6 million as of December 31, 2021 and 2020, respectively, and included accrued income taxes totaling $664.5 million and $709.9 million, respectively.</w:t>
      </w:r>
    </w:p>
    <w:p>
      <w:pPr>
        <w:spacing w:after="0" w:line="126"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22"/>
          <w:szCs w:val="22"/>
          <w:b w:val="1"/>
          <w:bCs w:val="1"/>
          <w:color w:val="578196"/>
        </w:rPr>
      </w:pPr>
      <w:r>
        <w:rPr>
          <w:rFonts w:ascii="Arial" w:cs="Arial" w:eastAsia="Arial" w:hAnsi="Arial"/>
          <w:sz w:val="22"/>
          <w:szCs w:val="22"/>
          <w:b w:val="1"/>
          <w:bCs w:val="1"/>
          <w:color w:val="578196"/>
        </w:rPr>
        <w:t>COLLABORATIVE AND OTHER RELATIONSHIPS</w:t>
      </w:r>
    </w:p>
    <w:p>
      <w:pPr>
        <w:spacing w:after="0" w:line="11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50"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Depending on the collaborative arrangement, we may record funding receivable or payable balances with our collaboration partners, based on the nature of the cost-sharing mechanism and activity within the collaboration. Our significant collaborative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Inc. (Roche Group)</w:t>
      </w:r>
    </w:p>
    <w:p>
      <w:pPr>
        <w:spacing w:after="0" w:line="112"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and other potential anti-CD20 therapies, including mosunetuzumab, pursuant to our collaboration arrangements with Genentech, a wholly-owned member of the Roche Group. For purposes of this footnote, we refer to RITUXAN and RITUXAN HYCELA collectively as RITUXAN.</w:t>
      </w:r>
    </w:p>
    <w:p>
      <w:pPr>
        <w:spacing w:after="0" w:line="15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collaboration arrangements will continue in effect until we mutually agree to terminate the collaboration, except that 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OCREVUS and any other collaboration anti-CD20 products in development in exchange for a royalty as well as our rights to GAZYVA in exchange for the compensation described in the collaboration arrangement. Our collaboration with Genentech was created through a contractual arrangement and not through a joint venture or other legal entity.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w:t>
      </w:r>
    </w:p>
    <w:p>
      <w:pPr>
        <w:spacing w:after="0" w:line="122" w:lineRule="exact"/>
        <w:rPr>
          <w:sz w:val="20"/>
          <w:szCs w:val="20"/>
          <w:color w:val="auto"/>
        </w:rPr>
      </w:pPr>
    </w:p>
    <w:p>
      <w:pPr>
        <w:ind w:right="1340" w:firstLine="445"/>
        <w:spacing w:after="0" w:line="261"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co-exclusively licensed our rights to develop, commercialize and market RITUXAN in the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co-exclusively licensed our rights to develop, commercialize and market RITUXAN in Canada.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7" w:name="page158"/>
    <w:bookmarkEnd w:id="1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w:t>
      </w:r>
    </w:p>
    <w:p>
      <w:pPr>
        <w:spacing w:after="0" w:line="122"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We recognize our share of the development and commercialization expense of GAZYVA as a reduction of our share of pre-tax profits in revenue from anti-CD20 therapeutic programs.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Commercialization of GAZYVA impacts our percentage of the co-promotion profits for RITUXAN, as summarized in the table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OCREVUS</w:t>
      </w:r>
    </w:p>
    <w:p>
      <w:pPr>
        <w:spacing w:after="0" w:line="108" w:lineRule="exact"/>
        <w:rPr>
          <w:sz w:val="20"/>
          <w:szCs w:val="20"/>
          <w:color w:val="auto"/>
        </w:rPr>
      </w:pPr>
    </w:p>
    <w:p>
      <w:pPr>
        <w:ind w:right="500" w:firstLine="445"/>
        <w:spacing w:after="0" w:line="256" w:lineRule="auto"/>
        <w:rPr>
          <w:sz w:val="20"/>
          <w:szCs w:val="20"/>
          <w:color w:val="auto"/>
        </w:rPr>
      </w:pPr>
      <w:r>
        <w:rPr>
          <w:rFonts w:ascii="Arial" w:cs="Arial" w:eastAsia="Arial" w:hAnsi="Arial"/>
          <w:sz w:val="18"/>
          <w:szCs w:val="18"/>
          <w:color w:val="auto"/>
        </w:rPr>
        <w:t>In March 2017 the FDA approved OCREVUS for the treatment of RMS and PPMS. 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w:t>
      </w:r>
    </w:p>
    <w:p>
      <w:pPr>
        <w:spacing w:after="0" w:line="14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 OCREVUS has been approved for the treatment of RMS and PPMS in the E.U. and certain other countries.</w:t>
      </w:r>
    </w:p>
    <w:p>
      <w:pPr>
        <w:spacing w:after="0" w:line="14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or GAZYVA. Genentech is solely responsible for development and commercialization of OCREVUS and funding future costs. Genentech cannot develop OCREVUS in CLL, non-Hodgkin's lymphoma or rheumatoid arthritis. OCREVUS royalty revenue was based on our estimates from third-party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Mosunetuzumab</w:t>
      </w:r>
    </w:p>
    <w:p>
      <w:pPr>
        <w:spacing w:after="0" w:line="122" w:lineRule="exact"/>
        <w:rPr>
          <w:sz w:val="20"/>
          <w:szCs w:val="20"/>
          <w:color w:val="auto"/>
        </w:rPr>
      </w:pPr>
    </w:p>
    <w:p>
      <w:pPr>
        <w:ind w:firstLine="405"/>
        <w:spacing w:after="0" w:line="222"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mosunetuzumab, a late-stage bispecific antibody in development for B-cell non-Hodgkin’s lymphoma and other therapeutic areas. In connection with this exercise, we recorded a $30.0 million option exercise fee payable to Genentech in December 2021, which was recognized in research and development expense in our consolidated statements of income. We also recorded a charge of approximately $20.0 million to reimburse Genentech for our 30.0% of the costs incurred in developing this product candidate during 2021, which was recognized in research and development expense in our consolidated statements of income. Under our collaboration with Genentech, we will be responsible for 30.0% of development costs for mosunetuzumab prior to FDA approval and will be entitled to 30.0% - 37.5% of mosunetuzumab co-promotion operating profits and losses in the U.S. based on certain events and low single-digit royalties on sales of mosunetuzumab outside the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RITUXAN and Mosunetuzumab Profit Share</w:t>
      </w:r>
    </w:p>
    <w:p>
      <w:pPr>
        <w:spacing w:after="0" w:line="12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Our current pretax co-promotion profit-sharing formula for RITUXAN and mosunetuzumab provides for a 30.0% share on the first $50.0 million of co-promotion operating profits earned each calendar year. Our share of annual co-promotion profits in excess of $50.0 million varies, as summarized in the table below, upon the following events: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First GAZYVA Threshold Date until Second GAZYVA Threshold Date</w:t>
            </w:r>
          </w:p>
        </w:tc>
        <w:tc>
          <w:tcPr>
            <w:tcW w:w="29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294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242" w:lineRule="exact"/>
        <w:rPr>
          <w:sz w:val="20"/>
          <w:szCs w:val="20"/>
          <w:color w:val="auto"/>
        </w:rPr>
      </w:pPr>
    </w:p>
    <w:p>
      <w:pPr>
        <w:ind w:left="420" w:right="80"/>
        <w:spacing w:after="0" w:line="254" w:lineRule="auto"/>
        <w:rPr>
          <w:sz w:val="20"/>
          <w:szCs w:val="20"/>
          <w:color w:val="auto"/>
        </w:rPr>
      </w:pPr>
      <w:r>
        <w:rPr>
          <w:rFonts w:ascii="Arial" w:cs="Arial" w:eastAsia="Arial" w:hAnsi="Arial"/>
          <w:sz w:val="18"/>
          <w:szCs w:val="18"/>
          <w:u w:val="single" w:color="auto"/>
          <w:color w:val="auto"/>
        </w:rPr>
        <w:t>First GAZYVA Threshold Date</w:t>
      </w:r>
      <w:r>
        <w:rPr>
          <w:rFonts w:ascii="Arial" w:cs="Arial" w:eastAsia="Arial" w:hAnsi="Arial"/>
          <w:sz w:val="18"/>
          <w:szCs w:val="18"/>
          <w:color w:val="auto"/>
        </w:rPr>
        <w:t xml:space="preserve"> means the earlier of (i) the date of the First Non-CLL GAZYVA FDA approval if U.S. gross sales of GAZYVA for the preceding consecutive 12-month period were at least $ 150.0 million or (ii) the first day of the calendar quarter after the date of the First Non-CLL GAZYVA FDA Approval that U.S. gross sales of GAZYVA within any consecutive 12-month period have reached $150.0 million.</w:t>
      </w:r>
    </w:p>
    <w:p>
      <w:pPr>
        <w:spacing w:after="0" w:line="150" w:lineRule="exact"/>
        <w:rPr>
          <w:sz w:val="20"/>
          <w:szCs w:val="20"/>
          <w:color w:val="auto"/>
        </w:rPr>
      </w:pPr>
    </w:p>
    <w:p>
      <w:pPr>
        <w:jc w:val="both"/>
        <w:ind w:left="420" w:right="140"/>
        <w:spacing w:after="0" w:line="256"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after U.S. gross sales of GAZYVA within any consecutive 12-month period have reached $500.0 million. The Second GAZYVA Threshold Date can be achieved regardless of whether GAZYVA has been approved in a non-CLL indication.</w:t>
      </w:r>
    </w:p>
    <w:p>
      <w:pPr>
        <w:spacing w:after="0" w:line="148"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Our share of RITUXAN pre-tax profits in the U.S. in excess of $50.0 million for the years ended December 31, 2021, 2020 and 2019, was 37.5%.</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addition, should the FDA approve mosunetuzumab or any other anti-CD20 product other than OCREVUS or GAZYVA that is acquired or developed by Genentech and subject to the collaboration agreement, the above table would no longer apply and our share of the co-promotion operating profits of RITUXAN and the new product would be between 30.0% and 37.5% based on certain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GAZYVA Profit Share</w:t>
      </w:r>
    </w:p>
    <w:p>
      <w:pPr>
        <w:spacing w:after="0" w:line="122"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Our current pretax profit-sharing formula for GAZYVA provides for a 35.0% share on the first $50.0 million of operating profits earned each calendar year. Our share of annual profits in excess of $50.0 million varies, as summarized in the table below, upon the following events: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First GAZYVA Threshold Date until Second GAZYVA Threshold Date</w:t>
            </w:r>
          </w:p>
        </w:tc>
        <w:tc>
          <w:tcPr>
            <w:tcW w:w="294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294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 of GAZYVA pre-tax profits in excess of $50.0 million for the years ended December 31, 2021, 2020 and 2019, was 37.5%.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Revenue from Anti-CD20 Therapeutic Programs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from anti-CD20 therapeutic programs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80" w:type="dxa"/>
            <w:vAlign w:val="bottom"/>
            <w:tcBorders>
              <w:bottom w:val="single" w:sz="8" w:color="auto"/>
            </w:tcBorders>
            <w:shd w:val="clear" w:color="auto" w:fill="DDDDDD"/>
          </w:tcPr>
          <w:p>
            <w:pPr>
              <w:spacing w:after="0"/>
              <w:rPr>
                <w:sz w:val="15"/>
                <w:szCs w:val="15"/>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183"/>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and GAZYVA</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647.7</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1,080.2</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1,542.4</w:t>
            </w:r>
          </w:p>
        </w:tc>
      </w:tr>
      <w:tr>
        <w:trPr>
          <w:trHeight w:val="189"/>
        </w:trPr>
        <w:tc>
          <w:tcPr>
            <w:tcW w:w="604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8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1,010.8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897.6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748.0</w:t>
            </w:r>
          </w:p>
        </w:tc>
      </w:tr>
      <w:tr>
        <w:trPr>
          <w:trHeight w:val="203"/>
        </w:trPr>
        <w:tc>
          <w:tcPr>
            <w:tcW w:w="6040" w:type="dxa"/>
            <w:vAlign w:val="bottom"/>
            <w:gridSpan w:val="2"/>
          </w:tcPr>
          <w:p>
            <w:pPr>
              <w:ind w:left="360"/>
              <w:spacing w:after="0"/>
              <w:rPr>
                <w:sz w:val="20"/>
                <w:szCs w:val="20"/>
                <w:color w:val="auto"/>
              </w:rPr>
            </w:pPr>
            <w:r>
              <w:rPr>
                <w:rFonts w:ascii="Arial" w:cs="Arial" w:eastAsia="Arial" w:hAnsi="Arial"/>
                <w:sz w:val="14"/>
                <w:szCs w:val="14"/>
                <w:color w:val="auto"/>
              </w:rPr>
              <w:t>Total revenue from anti-CD20 therapeutic programs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1,658.5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1,977.8</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2,290.4</w:t>
            </w:r>
          </w:p>
        </w:tc>
      </w:tr>
      <w:tr>
        <w:trPr>
          <w:trHeight w:val="20"/>
        </w:trPr>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in our consolidated statements of income. After an anti-CD20 product is approved, we record our share of the development expense related to that product as a reduction of our share of pre-tax profits in revenue from anti-CD20 therapeutic programs.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Ionis Pharmaceuticals,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SPINRAZA</w:t>
      </w:r>
    </w:p>
    <w:p>
      <w:pPr>
        <w:spacing w:after="0" w:line="108"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In January 2012 we entered into a collaboration and license agreement with Ionis pursuant to which we have an exclusive, worldwide license to develop and commercialize SPINRAZA for the treatment of SMA.</w:t>
      </w:r>
    </w:p>
    <w:p>
      <w:pPr>
        <w:spacing w:after="0" w:line="144"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Under our agreement with Ionis, we make royalty payments to Ionis on annual worldwide net sales of SPINRAZA using a tiered royalty rate between 11.0% and 15.0%, which are recognized in cost of sales within our consolidated statements of income. Royalty cost of sales related to sales of SPINRAZA for the years ended December 31, 2021, 2020 and 2019, totaled $267.1 million, $286.6 million and $293.0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2012 Ionis Agreement</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December 2012 we entered into an agreement with Ionis for the development and commercialization of up to three gene targets.</w:t>
      </w:r>
    </w:p>
    <w:p>
      <w:pPr>
        <w:spacing w:after="0" w:line="104"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Under this agreement, Ionis is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a license fee of up to $70.0 million to Ionis and assume global development, regulatory and commercialization responsibilities. Ionis is eligible to receive up to $130.0 million in additional milestone payments upon the achievement of certain regulatory milestones as well as royalties on future sales if we successfully develop the product candidate after option exercise.</w:t>
      </w:r>
    </w:p>
    <w:p>
      <w:pPr>
        <w:spacing w:after="0" w:line="154"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In December 2019 we exercised our option with Ionis and obtained a worldwide, exclusive, royalty-bearing license to develop and commercialize BIIB080 (tau ASO), which is currently in Phase 1 development for the potential treatment of Alzheimer's disease. In connection with the option exercise, we made a payment of $45.0 million to Ionis, which was recorded as research and development expense in our consolidated statements of income. Future payments may include additional milestone payments of up to $155.0 million and royalties on future sales in the low- to mid-teens if we successfully develop the product candidate after option exercise.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9" w:name="page160"/>
    <w:bookmarkEnd w:id="1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2018 Ionis Agreement</w:t>
      </w:r>
    </w:p>
    <w:p>
      <w:pPr>
        <w:spacing w:after="0" w:line="122"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In June 2018 we closed a 10-year exclusive collaboration agreement with Ionis to develop novel antisense oligonucleotide (ASO) drug candidates for a broad range of neurological diseases (2018 Ionis Agreement) for a total payment of $1.0 billion, consisting of an upfront payment of $375.0 million and the purchase of approximately 11.5 million shares of Ionis common stock at a cost of $625.0 million.</w:t>
      </w:r>
    </w:p>
    <w:p>
      <w:pPr>
        <w:spacing w:after="0" w:line="14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Upon closing, we recorded $50.9 million of the $375.0 million upfront payment as prepaid services in our consolidated balance sheets and recognized the remaining $324.1 million as research and development expense in our consolidated statements of income. The amount recorded as prepaid services represented the value of the employee resources committed to the arrangement to provide research and discovery services over the term of the agreement.</w:t>
      </w:r>
    </w:p>
    <w:p>
      <w:pPr>
        <w:spacing w:after="0" w:line="150"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11.5 million shares of Ionis common stock were purchased at a premium to their fair value at the transaction closing date. The premium consisted of acquiring the shares at a price above the fair value based on the trailing 10-day weighted-average close price prior to entering into the 2018 Ionis Agreement in April 2018 and the effect of certain holding period restrictions. We recorded an asset of $ 462.9 million in investments and other assets in our consolidated balance sheets reflecting the fair value of the Ionis common stock as of the purchase date and a charge of $162.1 million to research and development expense in our consolidated statements of income in the second quarter of 2018 reflecting the premium paid for the Ionis common stock.</w:t>
      </w:r>
    </w:p>
    <w:p>
      <w:pPr>
        <w:spacing w:after="0" w:line="154"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 xml:space="preserve">Our investment in Ionis common stock is remeasured each reporting period. Changes in the fair value of our investment in Ionis common stock, including the effect of the holding period restrictions, are reflected in other income (expense), net in our consolidated statements of income. For additional information on the fair value of our investment in Ionis common stock, please read </w:t>
      </w:r>
      <w:r>
        <w:rPr>
          <w:rFonts w:ascii="Arial" w:cs="Arial" w:eastAsia="Arial" w:hAnsi="Arial"/>
          <w:sz w:val="18"/>
          <w:szCs w:val="18"/>
          <w:i w:val="1"/>
          <w:iCs w:val="1"/>
          <w:color w:val="auto"/>
        </w:rPr>
        <w:t>Note 7,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to these consolidated financial statements.</w:t>
      </w:r>
    </w:p>
    <w:p>
      <w:pPr>
        <w:spacing w:after="0" w:line="15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have the option to license therapies arising out of the 2018 Ionis Agreement and will be responsible for the development and commercialization of such therapies. We may pay development milestones to Ionis of up to $125.0 million or $270.0 million for each program, depending on the indication plus an annual license fee, as well as royalties on potential net commercial sales.</w:t>
      </w:r>
    </w:p>
    <w:p>
      <w:pPr>
        <w:spacing w:after="0" w:line="148"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During the years ended December 31, 2021, 2020 and 2019, we incurred milestones of $22.5 million, $ 11.3 million and $30.0 million, respectively, related to the advancement of neurological targets identified under this agreement, which were recorded as research and development expense in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2017 SMA Collaboration Agreement</w:t>
      </w:r>
    </w:p>
    <w:p>
      <w:pPr>
        <w:spacing w:after="0" w:line="10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the option to license therapies arising out of this collaboration and will be responsible for their development and commercialization of such therapies.</w:t>
      </w:r>
    </w:p>
    <w:p>
      <w:pPr>
        <w:spacing w:after="0" w:line="14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Upon entering into this agreement, we made a $25.0 million upfront payment to Ionis and we may pay Ionis up to $260.0 million in additional development and regulatory milestone payments if new drug candidates advance to marketing approval. Upon commercialization, we may also pay Ionis up to $800.0 million in additional performance-based milestone payments and tiered royalties on potential net sales of such therapies.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BIIB115</w:t>
      </w:r>
    </w:p>
    <w:p>
      <w:pPr>
        <w:spacing w:after="0" w:line="135"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BIIB115, a preclinical investigational ASO in development for SMA. In connection with this option exercise, we made an opt-in payment of $60.0 million to Ionis, which was recorded as research and development expense in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2013 Long-term Strategic Research Agreement</w:t>
      </w:r>
    </w:p>
    <w:p>
      <w:pPr>
        <w:spacing w:after="0" w:line="122"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September 2013 we entered into a six-year research collaboration agreement with Ionis under which both companies collaborate to perform discovery level research and subsequent development and commercialization activities of antisense or other therapeutics for the potential treatment of neurological diseases. Under this agreement, Ionis performs research on a set of neurological targets identified within the agreement.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0" w:name="page161"/>
    <w:bookmarkEnd w:id="1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340" w:firstLine="445"/>
        <w:spacing w:after="0" w:line="256" w:lineRule="auto"/>
        <w:rPr>
          <w:sz w:val="20"/>
          <w:szCs w:val="20"/>
          <w:color w:val="auto"/>
        </w:rPr>
      </w:pPr>
      <w:r>
        <w:rPr>
          <w:rFonts w:ascii="Arial" w:cs="Arial" w:eastAsia="Arial" w:hAnsi="Arial"/>
          <w:sz w:val="18"/>
          <w:szCs w:val="18"/>
          <w:color w:val="auto"/>
        </w:rPr>
        <w:t>Ionis is eligible to receive milestone payments, license fees and royalty payments for all product candidates developed through this collaboration, with the specific amount dependent upon the modality of the product candidate advanced by us under the terms of the agreement.</w:t>
      </w:r>
    </w:p>
    <w:p>
      <w:pPr>
        <w:spacing w:after="0" w:line="148"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For non-ALS antisense product candidates, Ionis is responsible for global development through the completion of a Phase 2 trial and we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$ 130.0 million, plus additional amounts related to the cost of clinical trials conducted by Ionis under the collaboration, and royalties on future sales if we successfully develop the product candidate after option exercise.</w:t>
      </w:r>
    </w:p>
    <w:p>
      <w:pPr>
        <w:spacing w:after="0" w:line="153"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In December 2018 we exercised our option with Ionis and obtained a worldwide, exclusive, royalty-bearing license to develop and commercialize BIIB067 (tofersen), an investigational treatment for ALS with superoxide dismutase 1 (SOD1) mutations. In connection with the option exercise, we made a payment of $35.0 million to Ionis, which was recorded as research and development expense in our consolidated statements of income. Future payments may include potential post-licensing milestone payments of up to $55.0 million and royalties in the low- to mid-teen percentages on potential annual worldwide net sales. We are solely responsible for the costs and expense related to the development, manufacturing and commercialization of tofersen following the option exercise.</w:t>
      </w:r>
    </w:p>
    <w:p>
      <w:pPr>
        <w:spacing w:after="0" w:line="154"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During the years ending December 31, 2021, 2020 and 2019, we incurred milestones of $10.0 million, $28.0 million and $20.0 million, respectively, related to the advancement of programs under this agreement, which were recorded as research and development expense in our consolidated statements of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Eisai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Lecanemab Collaboration</w:t>
      </w:r>
    </w:p>
    <w:p>
      <w:pPr>
        <w:spacing w:after="0" w:line="122"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We have a collaboration agreement with Eisai to jointly develop and commercialize lecanemab (BAN2401), an anti-amyloid antibody, and elenbecestat, the oral BACE (base amyloid cleaving enzyme) inhibitor, two Eisai product candidates for the potential treatment of Alzheimer's disease (the Lecanemab Collaboration). In September 2019 we and Eisai discontinued the global Phase 3 studies of elenbecestat in early Alzheimer's disease.</w:t>
      </w:r>
    </w:p>
    <w:p>
      <w:pPr>
        <w:spacing w:after="0" w:line="150"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Eisai serves as the global operational and regulatory lead for lecanemab and all costs, including research, development, sales and marketing expense, are shared equally between us and Eisai. If lecanemab receives marketing approval, we and Eisai will co-promote lecanemab and share profits equally. In addition, the Lecanemab Collaboration provides both parties with certain rights and obligations in the event of a change in control of either party.</w:t>
      </w:r>
    </w:p>
    <w:p>
      <w:pPr>
        <w:spacing w:after="0" w:line="150" w:lineRule="exact"/>
        <w:rPr>
          <w:sz w:val="20"/>
          <w:szCs w:val="20"/>
          <w:color w:val="auto"/>
        </w:rPr>
      </w:pPr>
    </w:p>
    <w:p>
      <w:pPr>
        <w:ind w:right="460" w:firstLine="445"/>
        <w:spacing w:after="0" w:line="254" w:lineRule="auto"/>
        <w:rPr>
          <w:sz w:val="20"/>
          <w:szCs w:val="20"/>
          <w:color w:val="auto"/>
        </w:rPr>
      </w:pPr>
      <w:r>
        <w:rPr>
          <w:rFonts w:ascii="Arial" w:cs="Arial" w:eastAsia="Arial" w:hAnsi="Arial"/>
          <w:sz w:val="18"/>
          <w:szCs w:val="18"/>
          <w:color w:val="auto"/>
        </w:rPr>
        <w:t>The Lecanemab Collaboration also provided Eisai with an option to jointly develop and commercialize ADUHELM (aducanumab) (ADUHELM Option), and an option to jointly develop and commercialize one of our anti-tau monoclonal antibodies (Anti-Tau Option). In October 2017 Eisai exercised its ADUHELM Option and we entered into a new collaboration agreement for the joint development and commercialization of ADUHELM (aducanumab) (the ADUHELM Collaboration Agreement).</w:t>
      </w:r>
    </w:p>
    <w:p>
      <w:pPr>
        <w:spacing w:after="0" w:line="150"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 Eisai has not yet exercised its Anti-Tau Option.</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 related to the Lecanemab Collaboration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7"/>
        </w:trPr>
        <w:tc>
          <w:tcPr>
            <w:tcW w:w="70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Total development expense incurred by the collaboration related to the advancement of lecanemab and</w:t>
            </w:r>
          </w:p>
        </w:tc>
        <w:tc>
          <w:tcPr>
            <w:tcW w:w="30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323.0</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219.3</w:t>
            </w:r>
          </w:p>
        </w:tc>
        <w:tc>
          <w:tcPr>
            <w:tcW w:w="120" w:type="dxa"/>
            <w:vAlign w:val="bottom"/>
          </w:tcPr>
          <w:p>
            <w:pPr>
              <w:spacing w:after="0"/>
              <w:rPr>
                <w:sz w:val="12"/>
                <w:szCs w:val="12"/>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348.7</w:t>
            </w:r>
          </w:p>
        </w:tc>
        <w:tc>
          <w:tcPr>
            <w:tcW w:w="0" w:type="dxa"/>
            <w:vAlign w:val="bottom"/>
          </w:tcPr>
          <w:p>
            <w:pPr>
              <w:spacing w:after="0"/>
              <w:rPr>
                <w:sz w:val="1"/>
                <w:szCs w:val="1"/>
                <w:color w:val="auto"/>
              </w:rPr>
            </w:pPr>
          </w:p>
        </w:tc>
      </w:tr>
      <w:tr>
        <w:trPr>
          <w:trHeight w:val="171"/>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elenbecestat</w:t>
            </w:r>
          </w:p>
        </w:tc>
        <w:tc>
          <w:tcPr>
            <w:tcW w:w="300" w:type="dxa"/>
            <w:vAlign w:val="bottom"/>
            <w:vMerge w:val="continue"/>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lecanemab and elenbecestat development expense reflected in research and</w:t>
            </w:r>
          </w:p>
        </w:tc>
        <w:tc>
          <w:tcPr>
            <w:tcW w:w="3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174.3</w:t>
            </w:r>
          </w:p>
        </w:tc>
        <w:tc>
          <w:tcPr>
            <w:tcW w:w="0" w:type="dxa"/>
            <w:vAlign w:val="bottom"/>
          </w:tcPr>
          <w:p>
            <w:pPr>
              <w:spacing w:after="0"/>
              <w:rPr>
                <w:sz w:val="1"/>
                <w:szCs w:val="1"/>
                <w:color w:val="auto"/>
              </w:rPr>
            </w:pPr>
          </w:p>
        </w:tc>
      </w:tr>
      <w:tr>
        <w:trPr>
          <w:trHeight w:val="172"/>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0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Lecanemab Collaboration</w:t>
            </w: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2"/>
        </w:trPr>
        <w:tc>
          <w:tcPr>
            <w:tcW w:w="7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lecanemab and elenbecestat sales and marketing expense reflected in selling, general</w:t>
            </w:r>
          </w:p>
        </w:tc>
        <w:tc>
          <w:tcPr>
            <w:tcW w:w="3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1"/>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and administrative expense in our consolidated statements of income</w:t>
            </w:r>
          </w:p>
        </w:tc>
        <w:tc>
          <w:tcPr>
            <w:tcW w:w="30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 Collaboration Agreement</w:t>
      </w:r>
    </w:p>
    <w:p>
      <w:pPr>
        <w:spacing w:after="0" w:line="135"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Under the ADUHELM Collaboration Agreement, we lead the ongoing development of ADUHELM, and we and Eisai will co-promote ADUHELM with a region-based profit split. Beginning January 1, 2019, Eisai is reimbursing us for 45.0% of development costs incurred by the collaboration for the advancement of ADUHELM (ADUHELM development expense).</w:t>
      </w:r>
    </w:p>
    <w:p>
      <w:pPr>
        <w:spacing w:after="0" w:line="94"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In March 2019, based on a pre-specified futility analysis, we discontinued the global Phase 3 trials, EMERGE and ENGAGE, designed to evaluate the efficacy and safety of ADUHELM in patients with early Alzheimer's disease. In the first quarter of 2019, as a result of the decision to discontinue the Phase 3 EMERGE and ENGAGE trials following the futility analysis, we accrued and subsequently paid approximately $45.0 million related to the termination of various clinical trials and research and development contracts net of the expected 45.0% Eisai reimbursement of development costs incurred under the ADUHELM Collaboration Agreement.</w:t>
      </w:r>
    </w:p>
    <w:p>
      <w:pPr>
        <w:spacing w:after="0" w:line="97"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In October 2019 we and Eisai announced that we planned to pursue regulatory approval for ADUHELM in the U.S. A new analysis of a larger dataset from these trials, conducted in scientific collaboration with the FDA, showed that the Phase 3 EMERGE trial met its pre-specified primary and secondary endpoints. In July 2020 we completed the submission of a BLA for the approval of ADUHELM to the FDA and made a $75.0 million milestone payment to Neurimmune. We recognized net profit-sharing income of $33.8 million to reflect Eisai's 45.0% share of the $75.0 million milestone payment.</w:t>
      </w:r>
    </w:p>
    <w:p>
      <w:pPr>
        <w:spacing w:after="0" w:line="97"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June 2021 ADUHELM was granted accelerated approval by the FDA for the treatment of Alzheimer's disease and had its first commercial sale. As a result of the launch of ADUHELM in the U.S., we made a $100.0 million milestone payment to Neurimmune. For the year ended December 31, 2021, we recognized net profit-sharing income of $45.0 million to reflect Eisai's 45.0% share of the $100.0 million milestone payment.</w:t>
      </w:r>
    </w:p>
    <w:p>
      <w:pPr>
        <w:spacing w:after="0" w:line="96"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Upon commercialization, both companies will co-promote ADUHELM with a region-based profit split. We will receive a 55.0% share of the potential profits (losses) in the U.S., a 68.5% share of the potential profits (losses) in the E.U. and a 20.0% share of the potential profits (losses) in Japan and Asia, excluding China and South Korea. The two companies will share equally in the potential profits (losses) in rest of world markets. Sales and marketing expense are shared in proportion to the same region-based profit split that is utilized to co-promote ADUHELM.</w:t>
      </w:r>
    </w:p>
    <w:p>
      <w:pPr>
        <w:spacing w:after="0" w:line="97"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A summary of development expense, sales and marketing expense and milestone payments related to the ADUHELM Collaboration Agreement is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Total ADUHELM development expense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183.7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53"/>
        </w:trPr>
        <w:tc>
          <w:tcPr>
            <w:tcW w:w="70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ADUHELM development expense reflected in research and development expense in our</w:t>
            </w:r>
          </w:p>
        </w:tc>
        <w:tc>
          <w:tcPr>
            <w:tcW w:w="3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101.1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72"/>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30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Total ADUHELM sales and marketing expense incurred by the ADUHELM Collaboration Agreement</w:t>
            </w: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52"/>
        </w:trPr>
        <w:tc>
          <w:tcPr>
            <w:tcW w:w="7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ADUHELM sales and marketing expense reflected in selling, general and administrative</w:t>
            </w:r>
          </w:p>
        </w:tc>
        <w:tc>
          <w:tcPr>
            <w:tcW w:w="3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301.4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193.7</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2"/>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expense and collaboration profit (loss) sharing in our consolidated statements of income</w:t>
            </w:r>
          </w:p>
        </w:tc>
        <w:tc>
          <w:tcPr>
            <w:tcW w:w="30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Total ADUHELM collaboration third-party milestones</w:t>
            </w: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7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reimbursement from Eisai of ADUHELM milestone payments reflected in collaboration</w:t>
            </w:r>
          </w:p>
        </w:tc>
        <w:tc>
          <w:tcPr>
            <w:tcW w:w="30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45.0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profit (loss) sharing in our consolidated statements of income</w:t>
            </w:r>
          </w:p>
        </w:tc>
        <w:tc>
          <w:tcPr>
            <w:tcW w:w="30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Co-promotion Profits and Losses</w:t>
      </w:r>
    </w:p>
    <w:p>
      <w:pPr>
        <w:spacing w:after="0" w:line="135" w:lineRule="exact"/>
        <w:rPr>
          <w:sz w:val="20"/>
          <w:szCs w:val="20"/>
          <w:color w:val="auto"/>
        </w:rPr>
      </w:pPr>
    </w:p>
    <w:p>
      <w:pPr>
        <w:ind w:right="320" w:firstLine="405"/>
        <w:spacing w:after="0" w:line="253" w:lineRule="auto"/>
        <w:rPr>
          <w:sz w:val="20"/>
          <w:szCs w:val="20"/>
          <w:color w:val="auto"/>
        </w:rPr>
      </w:pPr>
      <w:r>
        <w:rPr>
          <w:rFonts w:ascii="Arial" w:cs="Arial" w:eastAsia="Arial" w:hAnsi="Arial"/>
          <w:sz w:val="18"/>
          <w:szCs w:val="18"/>
          <w:color w:val="auto"/>
        </w:rPr>
        <w:t>In the U.S. we recognize revenue on sales to third-parties as a component of product revenue, net in our consolidated statements of income. We also record the related cost of revenue and sales and marketing expense in our consolidated statements of income as these costs are incurred. Payments made to and received from Eisai for its 45.0% share of the co-promotion profits or losses in the U.S. are recognized in collaboration profit (loss) sharing in our consolidated statements of income. For the year ended December 31, 2021, we recognized net profit-sharing income of $233.2 million to reflect Eisai's 45.0% sharing of the net collaboration losses in the U.S.</w:t>
      </w:r>
    </w:p>
    <w:p>
      <w:pPr>
        <w:spacing w:after="0" w:line="97"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In addition, we and Eisai co-promote AVONEX, TYSABRI and TECFIDERA in Japan in certain settings and Eisai distributes AVONEX, TYSABRI, TECFIDERA and PLEGRIDY in India and other Asia-Pacific markets, excluding China.</w:t>
      </w:r>
    </w:p>
    <w:p>
      <w:pPr>
        <w:spacing w:after="0" w:line="4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During the fourth quarter of 2021 we recorded approximately $164.0 million of charges associated with inventory and purchase commitments in excess of forecasted demand related to ADUHELM, which was recognized in cost of sales within our consolidated statements of income. In addition, we recognized the expected share of these charges from Eisai's 45.0% share in collaboration profit (loss) sharing within our consolidated statements of income.</w:t>
      </w:r>
    </w:p>
    <w:p>
      <w:pPr>
        <w:spacing w:after="0" w:line="150"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Amounts receivable from Eisai related to the agreements discussed above were $285.4 million and $151.1 million as of December 31, 2021 and 2020, respectively. Amounts payable to Eisai related to the agreements discussed above were $46.5 million and $111.9 million as of December 31,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UCB</w:t>
      </w:r>
    </w:p>
    <w:p>
      <w:pPr>
        <w:spacing w:after="0" w:line="13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have a collaboration agreement with UCB to jointly develop and commercialize dapirolizumab pegol, an anti-CD40L pegylated Fab, for the potential treatment of systemic lupus erythematosus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97"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Upon marketing approval, we and UCB will co-promote dapirolizumab pegol and share profits equally.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58.3</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53"/>
        </w:trPr>
        <w:tc>
          <w:tcPr>
            <w:tcW w:w="61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UCB development expense reflected in research and development expense</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42.1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29.2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7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 our consolidated statements of income</w:t>
            </w:r>
          </w:p>
        </w:tc>
        <w:tc>
          <w:tcPr>
            <w:tcW w:w="360" w:type="dxa"/>
            <w:vAlign w:val="bottom"/>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Alkermes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November 2017 we entered into an exclusive license and collaboration agreement with Alkermes Pharma Ireland Limited, a subsidiary of Alkermes plc (Alkermes), for VUMERITY, a novel fumarate for the treatment of RMS. In October 2019 the FDA approved VUMERITY in the U.S. for the treatment of RMS. In November 2019 VUMERITY became commercially available in the U.S. During the fourth quarter of 2021 VUMERITY was approved for the treatment of RRMS in the E.U., Switzerland and the U.K.</w:t>
      </w:r>
    </w:p>
    <w:p>
      <w:pPr>
        <w:spacing w:after="0" w:line="9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Under this agreement, we received an exclusive, worldwide license to develop and commercialize VUMERITY and we pay Alkermes royalties of 15.0% on worldwide net commercial sales of VUMERITY, which are recognized in cost of sales within our consolidated statements of income. Royalties payable on net commercial sales of VUMERITY are subject, under certain circumstances, to tiered minimum annual payment requirements for a period of five years following FDA approval. Royalty cost of sales related to sales of VUMERITY for the years ended December 31, 2021, 2020 and 2019, totaled $61.6 million, $12.9 million and $1.6 million, respectively.</w:t>
      </w:r>
    </w:p>
    <w:p>
      <w:pPr>
        <w:spacing w:after="0" w:line="97" w:lineRule="exact"/>
        <w:rPr>
          <w:sz w:val="20"/>
          <w:szCs w:val="20"/>
          <w:color w:val="auto"/>
        </w:rPr>
      </w:pPr>
    </w:p>
    <w:p>
      <w:pPr>
        <w:ind w:right="320" w:firstLine="445"/>
        <w:spacing w:after="0" w:line="256" w:lineRule="auto"/>
        <w:rPr>
          <w:sz w:val="20"/>
          <w:szCs w:val="20"/>
          <w:color w:val="auto"/>
        </w:rPr>
      </w:pPr>
      <w:r>
        <w:rPr>
          <w:rFonts w:ascii="Arial" w:cs="Arial" w:eastAsia="Arial" w:hAnsi="Arial"/>
          <w:sz w:val="18"/>
          <w:szCs w:val="18"/>
          <w:color w:val="auto"/>
        </w:rPr>
        <w:t>Alkermes is eligible to receive royalties in the high-single digits to sub-teen double digits of annual net commercial sales upon successful development and commercialization of new product candidates, other than VUMERITY, developed under the exclusive license from Alkermes.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3" w:name="page164"/>
    <w:bookmarkEnd w:id="1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During the fourth quarter of 2019, following the FDA's approval of VUMERITY, we paid Alkermes $155.0 million in milestone payments, which were recorded in intangible assets in our consolidated balance sheets and will be amortized over the useful life of the product. For the years ended December 31, 2021, 2020 and 2019, we recorded $26.5 million, $32.4 million and $53.5 million, respectively, in research and development expense in our consolidated statements of income related to this collaboration.</w:t>
      </w:r>
    </w:p>
    <w:p>
      <w:pPr>
        <w:spacing w:after="0" w:line="9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Alkermes currently supplies VUMERITY to us pursuant to a supply agreement. In October 2019 we entered into a new supply agreement and amended our license and collaboration agreement with Alkermes. We have elected to initiate a technology transfer and, following a transition period, to manufacture VUMERITY or have VUMERITY manufactured by a third-party we have engaged in exchange for paying an increased royalty rate to Alkermes on any portion of future worldwide net commercial sales of VUMERITY that is manufactured by us or our designee.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Acorda Therapeutics, Inc.</w:t>
      </w:r>
    </w:p>
    <w:p>
      <w:pPr>
        <w:spacing w:after="0" w:line="13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June 2009 we entered into a collaboration and license agreement with Acorda Therapeutics, Inc. (Acorda) to develop and commercialize products containing fampridine, such as FAMPYRA, in markets outside the U.S. We are responsible for all regulatory activities and the future clinical development of related products in those markets.</w:t>
      </w:r>
    </w:p>
    <w:p>
      <w:pPr>
        <w:spacing w:after="0" w:line="9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Under this agreement, we pay tiered royalties based on the level of ex-U.S. net sales and we may pay potential milestone payments based on the successful achievement of certain regulatory and commercial milestones, which would be capitalized as intangible assets upon achievement of the milestones and amortized utilizing an economic consumption model. The next expected milestone of $15.0 million, due if ex-U.S. net sales reach $100.0 million over a period of four consecutive quarters, was recognized during the third quarter of 2020 and capitalized within intangible assets, net in our consolidated balance sheets. Royalty payments are recognized in cost of sales within our consolidated statements of income.</w:t>
      </w:r>
    </w:p>
    <w:p>
      <w:pPr>
        <w:spacing w:after="0" w:line="100"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In connection with the collaboration and license agreement, we also entered into a supply agreement with Acorda for the commercial supply of FAMPYRA. This agreement is a sublicense arrangement of an existing agreement between Acorda and Alkermes Inc., who acquired Elan Drug Technologies, the original party to the license with Acorda.</w:t>
      </w:r>
    </w:p>
    <w:p>
      <w:pPr>
        <w:spacing w:after="0" w:line="9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For the years ending December 31, 2021, 2020 and 2019, total cost of sales related to royalties and commercial supply of FAMPYRA reflected in our consolidated statements of income were $46.6 million, $44.5 million and $42.0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right="240" w:firstLine="405"/>
        <w:spacing w:after="0"/>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BIIB125 (zuranolone) for the potential treatment of major depressive disorder and postpartum depression and BIIB124 (SAGE-324) for the potential treatment of essential tremor with potential in other neurological conditions such as epilepsy.</w:t>
      </w:r>
    </w:p>
    <w:p>
      <w:pPr>
        <w:spacing w:after="0" w:line="95" w:lineRule="exact"/>
        <w:rPr>
          <w:sz w:val="20"/>
          <w:szCs w:val="20"/>
          <w:color w:val="auto"/>
        </w:rPr>
      </w:pPr>
    </w:p>
    <w:p>
      <w:pPr>
        <w:ind w:right="340" w:firstLine="405"/>
        <w:spacing w:after="0" w:line="237" w:lineRule="auto"/>
        <w:rPr>
          <w:sz w:val="20"/>
          <w:szCs w:val="20"/>
          <w:color w:val="auto"/>
        </w:rPr>
      </w:pPr>
      <w:r>
        <w:rPr>
          <w:rFonts w:ascii="Arial" w:cs="Arial" w:eastAsia="Arial" w:hAnsi="Arial"/>
          <w:sz w:val="18"/>
          <w:szCs w:val="18"/>
          <w:color w:val="auto"/>
        </w:rPr>
        <w:t>In connection with the closing of this transaction in December 2020 we purchased $650.0 million of Sage common stock, or approximately 6.2 million shares at approximately $104.14 per share, which are subject to transfer restrictions. We recorded an asset in investments and other assets in our consolidated balance sheets to reflect the initial fair value of the Sage common stock acquired and a charge of approximately $209.0 million to research and development expense in our consolidated statements of income to reflect the premium paid for the Sage common stock. We also made an upfront payment of $875.0 million that was recorded as research and development expense in our consolidated statements of income.</w:t>
      </w:r>
    </w:p>
    <w:p>
      <w:pPr>
        <w:spacing w:after="0" w:line="97"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We may also pay Sage development and commercial milestone payments that could total up to approximately $1.6 billion if all the specified milestones set forth in this collaboration are achieved.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4" w:name="page165"/>
    <w:bookmarkEnd w:id="1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development and sales and marketing expense related to this collaboration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Years Ended December</w:t>
            </w: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83"/>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520" w:type="dxa"/>
            <w:vAlign w:val="bottom"/>
            <w:tcBorders>
              <w:bottom w:val="single" w:sz="8" w:color="auto"/>
            </w:tcBorders>
            <w:shd w:val="clear" w:color="auto" w:fill="DDDDDD"/>
          </w:tcPr>
          <w:p>
            <w:pPr>
              <w:spacing w:after="0"/>
              <w:rPr>
                <w:sz w:val="15"/>
                <w:szCs w:val="15"/>
                <w:color w:val="auto"/>
              </w:rPr>
            </w:pPr>
          </w:p>
        </w:tc>
        <w:tc>
          <w:tcPr>
            <w:tcW w:w="166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4"/>
                <w:szCs w:val="14"/>
                <w:b w:val="1"/>
                <w:bCs w:val="1"/>
                <w:color w:val="257ACB"/>
              </w:rPr>
              <w:t>2021</w:t>
            </w:r>
          </w:p>
        </w:tc>
        <w:tc>
          <w:tcPr>
            <w:tcW w:w="0" w:type="dxa"/>
            <w:vAlign w:val="bottom"/>
          </w:tcPr>
          <w:p>
            <w:pPr>
              <w:spacing w:after="0"/>
              <w:rPr>
                <w:sz w:val="1"/>
                <w:szCs w:val="1"/>
                <w:color w:val="auto"/>
              </w:rPr>
            </w:pP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52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167.7</w:t>
            </w:r>
          </w:p>
        </w:tc>
        <w:tc>
          <w:tcPr>
            <w:tcW w:w="0" w:type="dxa"/>
            <w:vAlign w:val="bottom"/>
          </w:tcPr>
          <w:p>
            <w:pPr>
              <w:spacing w:after="0"/>
              <w:rPr>
                <w:sz w:val="1"/>
                <w:szCs w:val="1"/>
                <w:color w:val="auto"/>
              </w:rPr>
            </w:pPr>
          </w:p>
        </w:tc>
      </w:tr>
      <w:tr>
        <w:trPr>
          <w:trHeight w:val="19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Biogen's share of Sage development expense reflected in research and development expense in our consolidated statements of income</w:t>
            </w:r>
          </w:p>
        </w:tc>
        <w:tc>
          <w:tcPr>
            <w:tcW w:w="520" w:type="dxa"/>
            <w:vAlign w:val="bottom"/>
            <w:shd w:val="clear" w:color="auto" w:fill="DBDBDB"/>
          </w:tcPr>
          <w:p>
            <w:pPr>
              <w:spacing w:after="0"/>
              <w:rPr>
                <w:sz w:val="16"/>
                <w:szCs w:val="16"/>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83.8</w:t>
            </w:r>
          </w:p>
        </w:tc>
        <w:tc>
          <w:tcPr>
            <w:tcW w:w="0" w:type="dxa"/>
            <w:vAlign w:val="bottom"/>
          </w:tcPr>
          <w:p>
            <w:pPr>
              <w:spacing w:after="0"/>
              <w:rPr>
                <w:sz w:val="1"/>
                <w:szCs w:val="1"/>
                <w:color w:val="auto"/>
              </w:rPr>
            </w:pPr>
          </w:p>
        </w:tc>
      </w:tr>
      <w:tr>
        <w:trPr>
          <w:trHeight w:val="189"/>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Total Sage sales and marketing expense incurred by the collaboration</w:t>
            </w:r>
          </w:p>
        </w:tc>
        <w:tc>
          <w:tcPr>
            <w:tcW w:w="520" w:type="dxa"/>
            <w:vAlign w:val="bottom"/>
            <w:shd w:val="clear" w:color="auto" w:fill="DBDBDB"/>
          </w:tcPr>
          <w:p>
            <w:pPr>
              <w:spacing w:after="0"/>
              <w:rPr>
                <w:sz w:val="16"/>
                <w:szCs w:val="16"/>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36.4</w:t>
            </w:r>
          </w:p>
        </w:tc>
        <w:tc>
          <w:tcPr>
            <w:tcW w:w="0" w:type="dxa"/>
            <w:vAlign w:val="bottom"/>
          </w:tcPr>
          <w:p>
            <w:pPr>
              <w:spacing w:after="0"/>
              <w:rPr>
                <w:sz w:val="1"/>
                <w:szCs w:val="1"/>
                <w:color w:val="auto"/>
              </w:rPr>
            </w:pPr>
          </w:p>
        </w:tc>
      </w:tr>
      <w:tr>
        <w:trPr>
          <w:trHeight w:val="152"/>
        </w:trPr>
        <w:tc>
          <w:tcPr>
            <w:tcW w:w="906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Sage sales and marketing expense reflected in selling, general and administrative expense in our consolidated statements</w:t>
            </w:r>
          </w:p>
        </w:tc>
        <w:tc>
          <w:tcPr>
            <w:tcW w:w="520" w:type="dxa"/>
            <w:vAlign w:val="bottom"/>
            <w:shd w:val="clear" w:color="auto" w:fill="DBDBDB"/>
          </w:tcPr>
          <w:p>
            <w:pPr>
              <w:spacing w:after="0"/>
              <w:rPr>
                <w:sz w:val="13"/>
                <w:szCs w:val="13"/>
                <w:color w:val="auto"/>
              </w:rPr>
            </w:pPr>
          </w:p>
        </w:tc>
        <w:tc>
          <w:tcPr>
            <w:tcW w:w="16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18.2</w:t>
            </w:r>
          </w:p>
        </w:tc>
        <w:tc>
          <w:tcPr>
            <w:tcW w:w="0" w:type="dxa"/>
            <w:vAlign w:val="bottom"/>
          </w:tcPr>
          <w:p>
            <w:pPr>
              <w:spacing w:after="0"/>
              <w:rPr>
                <w:sz w:val="1"/>
                <w:szCs w:val="1"/>
                <w:color w:val="auto"/>
              </w:rPr>
            </w:pPr>
          </w:p>
        </w:tc>
      </w:tr>
      <w:tr>
        <w:trPr>
          <w:trHeight w:val="171"/>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of income</w:t>
            </w:r>
          </w:p>
        </w:tc>
        <w:tc>
          <w:tcPr>
            <w:tcW w:w="520" w:type="dxa"/>
            <w:vAlign w:val="bottom"/>
            <w:shd w:val="clear" w:color="auto" w:fill="DBDBDB"/>
          </w:tcPr>
          <w:p>
            <w:pPr>
              <w:spacing w:after="0"/>
              <w:rPr>
                <w:sz w:val="14"/>
                <w:szCs w:val="14"/>
                <w:color w:val="auto"/>
              </w:rPr>
            </w:pPr>
          </w:p>
        </w:tc>
        <w:tc>
          <w:tcPr>
            <w:tcW w:w="166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leucine-rich repeat kinase 2 (LRRK2) for Parkinson's disease. In addition to the LRRK2 program, we also have an exclusive option to license two preclinical programs from Denali’s Transport Vehicle platform, including its Antibody Transport Vehicle (ATV): ATV enabled anti-amyloid beta program and a second program utilizing its Transport Vehicle technology. Further, we have a right of first negotiation on two additional Transport Vehicle-enabled therapeutics, should Denali decide to seek a collaboration for such programs.</w:t>
      </w:r>
    </w:p>
    <w:p>
      <w:pPr>
        <w:spacing w:after="0" w:line="97"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auto"/>
        </w:rPr>
        <w:t>As part of this collaboration we purchased $ 465.0 million of Denali common stock in September 2020, or approximately 13 million shares at approximately $34.94 per share, which are subject to transfer restrictions. We recorded an asset in investments and other assets in our consolidated balance sheets to reflect the initial fair value of the Denali common stock acquired and a charge of approximately</w:t>
      </w:r>
    </w:p>
    <w:p>
      <w:pPr>
        <w:spacing w:after="0" w:line="1"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$41.3 million to research and development expense in our consolidated statements of income to reflect the premium paid for the Denali common stock. We also made an upfront payment of $560.0 million that was recorded as research and development expense in our consolidated statements of income.</w:t>
      </w:r>
    </w:p>
    <w:p>
      <w:pPr>
        <w:spacing w:after="0" w:line="94"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We may also pay Denali development and commercial milestone payments that could total up to approximately $ 1.1 billion if the milestones related to the LRRK2 program are achieved. Under this collaboration, both companies share responsibility and costs for global development based on specified percentages and we are responsible for commercialization and may pay Denali potential tiered royalties.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development expense related to this collaboration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42.5</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1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Denali development expense reflected in research and development</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25.5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expense in our consolidated statements of income</w:t>
            </w:r>
          </w:p>
        </w:tc>
        <w:tc>
          <w:tcPr>
            <w:tcW w:w="360" w:type="dxa"/>
            <w:vAlign w:val="bottom"/>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In February 2020 we entered into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to modulate the expression of key genes involved in neurological diseases.</w:t>
      </w:r>
    </w:p>
    <w:p>
      <w:pPr>
        <w:spacing w:after="0" w:line="97" w:lineRule="exact"/>
        <w:rPr>
          <w:sz w:val="20"/>
          <w:szCs w:val="20"/>
          <w:color w:val="auto"/>
        </w:rPr>
      </w:pPr>
    </w:p>
    <w:p>
      <w:pPr>
        <w:ind w:right="300" w:firstLine="405"/>
        <w:spacing w:after="0" w:line="270" w:lineRule="auto"/>
        <w:rPr>
          <w:sz w:val="20"/>
          <w:szCs w:val="20"/>
          <w:color w:val="auto"/>
        </w:rPr>
      </w:pPr>
      <w:r>
        <w:rPr>
          <w:rFonts w:ascii="Arial" w:cs="Arial" w:eastAsia="Arial" w:hAnsi="Arial"/>
          <w:sz w:val="17"/>
          <w:szCs w:val="17"/>
          <w:color w:val="auto"/>
        </w:rPr>
        <w:t>In connection with the closing of this transaction in April 2020 we purchased $225.0 million of Sangamo common stock, or approximately 24 million shares at approximately $9.21 per share, of which approximately 12 million shares remain subject to transfer restrictions as of December 31, 2021. We recorded an asset in investments and other assets in our consolidated balance sheets to reflect the initial fair value of the Sangamo common stock acquired and a charge of approximately $83.0 million to research and development expense in our consolidated statements of income to reflect the premium paid for the Sangamo common stock. We also made an upfront payment of $125.0 million that was recorded as research and development expense in our consolidated statements of income.</w:t>
      </w:r>
    </w:p>
    <w:p>
      <w:pPr>
        <w:spacing w:after="0" w:line="85"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We may also pay Sangamo research, development, regulatory and commercial milestone payments that could total up to approximately $2.4 billion if we select all of the targets allowed under this collaboration and all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5" w:name="page166"/>
    <w:bookmarkEnd w:id="1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specified milestones set forth in this collaboration are achieved. Of this amount, up to $80.0 million relates to the selection of targets, $1.9 billion relates to the achievement of specified research, clinical development, regulatory and first commercial sale milestones and $380.0 million relates to the achievement of specified sales-based milestones if annual worldwide net sales of licensed products reach specified levels. In addition, we may pay Sangamo tiered royalties on potential net sales of any products developed under this collaboration in the high single digit to double digit sub-teen percentages.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development expense related to this collaboration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Sangamo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1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Sangamo development expense reflected in research and development</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14.6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expense in our consolidated statements of income</w:t>
            </w:r>
          </w:p>
        </w:tc>
        <w:tc>
          <w:tcPr>
            <w:tcW w:w="360" w:type="dxa"/>
            <w:vAlign w:val="bottom"/>
            <w:shd w:val="clear" w:color="auto" w:fill="DBDBDB"/>
          </w:tcPr>
          <w:p>
            <w:pPr>
              <w:spacing w:after="0"/>
              <w:rPr>
                <w:sz w:val="14"/>
                <w:szCs w:val="14"/>
                <w:color w:val="auto"/>
              </w:rPr>
            </w:pPr>
          </w:p>
        </w:tc>
        <w:tc>
          <w:tcPr>
            <w:tcW w:w="12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InnoCare Pharma Limited</w:t>
      </w:r>
    </w:p>
    <w:p>
      <w:pPr>
        <w:spacing w:after="0" w:line="139"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In July 2021 we entered into a collaboration and license agreement with InnoCare Pharma Limited (InnoCare) for orelabrutinib, an oral small molecule Bruton's tyrosine kinase inhibitor for the potential treatment of MS. Orelabrutinib is currently being studied in a multi-country, placebo-controlled Phase 2 trial in relapsing-remitting MS. Under the terms of this collaboration, we have exclusive rights to orelabrutinib in the field of MS worldwide and certain autoimmune diseases outside of China (including Hong Kong, Macau and Taiwan), while InnoCare retains exclusive worldwide rights to orelabrutinib in the field of oncology and certain autoimmune diseases in China (including Hong Kong, Macau and Taiwan).</w:t>
      </w:r>
    </w:p>
    <w:p>
      <w:pPr>
        <w:spacing w:after="0" w:line="100"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connection with the closing of this transaction in August 2021 we made an upfront payment of $125.0 million that was recorded as research and development expense in our consolidated statements of income. We may also pay InnoCare up to approximately $812.5 million in potential development milestones and potential commercial payments should this collaboration achieve certain development, commercial milestones and sales thresholds. In addition, we may pay InnoCare tiered royalties on potential net sales of any products developed under this collaboration in the low to high teen percentages.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Research and Discovery Arrangements</w:t>
      </w:r>
    </w:p>
    <w:p>
      <w:pPr>
        <w:spacing w:after="0" w:line="139" w:lineRule="exact"/>
        <w:rPr>
          <w:sz w:val="20"/>
          <w:szCs w:val="20"/>
          <w:color w:val="auto"/>
        </w:rPr>
      </w:pPr>
    </w:p>
    <w:p>
      <w:pPr>
        <w:ind w:right="780" w:firstLine="445"/>
        <w:spacing w:after="0" w:line="261"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Other</w:t>
      </w:r>
    </w:p>
    <w:p>
      <w:pPr>
        <w:spacing w:after="0" w:line="108"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For the years ended December 31, 2021, 2020 and 2019, we recorded $ 89.1 million, $92.1 million and $80.8 million, respectively, as research and development expense in our consolidated statements of income related to other research and discovery related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Joint Venture Agreement</w:t>
      </w:r>
    </w:p>
    <w:p>
      <w:pPr>
        <w:spacing w:after="0" w:line="12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Samsung BioLogics contributed 280.5 billion South Korean won (approximately $250.0 million) for an 85.0% ownership interest in Samsung Bioepis and we contributed 49.5 billion South Korean won (approximately $45.0 million) for the remaining 15.0% ownership interest. In June 2018 we exercised our option under our joint venture agreement to increase our ownership percentage in Samsung Bioepis from approximately 5.0%, which reflected the effect of previous equity financings in which we did not participate, to approximately 49.9%. The share purchase transaction was completed in November 2018 and, upon closing, we paid 759.5 billion South Korean won ($676.6 million) to Samsung BioLogics. As of December 31, 2021, our ownership percentage remained at approximately 49.9%.</w:t>
      </w:r>
    </w:p>
    <w:p>
      <w:pPr>
        <w:spacing w:after="0" w:line="151"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consolidated statements of income. During 2015, as our share of losses exceeded the carrying value of our initial investment, we suspended recognizing additional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6" w:name="page167"/>
    <w:bookmarkEnd w:id="1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losses. In the first quarter of 2019 we restarted recognizing our share of Samsung Bioepis' (income) losses, and we began recognizing amortization on certain basis differences resulting from our November 2018 investment.</w:t>
      </w:r>
    </w:p>
    <w:p>
      <w:pPr>
        <w:spacing w:after="0" w:line="144"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Upon investment, the equity method of accounting requires us to identify and allocate differences between the fair value of our investment and the carrying value of our interest in the underlying net assets of the investee. These basis differences are amortized over their economic life. The total basis difference was approximately $675.0 million and relates to inventory, developed technology, IPR&amp;D and deferred tax balances. The basis differences related to inventory were amortized, net of tax, over their estimated useful lives of 1.5 years, and the basis differences related to developed technology and IPR&amp;D for marketed products will be amortized, net of tax, over their estimated useful lives of 15 years.</w:t>
      </w:r>
    </w:p>
    <w:p>
      <w:pPr>
        <w:spacing w:after="0" w:line="154" w:lineRule="exact"/>
        <w:rPr>
          <w:sz w:val="20"/>
          <w:szCs w:val="20"/>
          <w:color w:val="auto"/>
        </w:rPr>
      </w:pPr>
    </w:p>
    <w:p>
      <w:pPr>
        <w:ind w:firstLine="445"/>
        <w:spacing w:after="0" w:line="278" w:lineRule="auto"/>
        <w:rPr>
          <w:sz w:val="20"/>
          <w:szCs w:val="20"/>
          <w:color w:val="auto"/>
        </w:rPr>
      </w:pPr>
      <w:r>
        <w:rPr>
          <w:rFonts w:ascii="Arial" w:cs="Arial" w:eastAsia="Arial" w:hAnsi="Arial"/>
          <w:sz w:val="17"/>
          <w:szCs w:val="17"/>
          <w:color w:val="auto"/>
        </w:rPr>
        <w:t>Certain officers and affiliates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131"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For the year ended December 31, 2021, we recognized net income on our investment of $34.9 million, reflecting our share of Samsung Bioepis' operating profits, net of tax totaling $64.6 million offset by amortization of basis differences totaling $29.7 million.</w:t>
      </w:r>
    </w:p>
    <w:p>
      <w:pPr>
        <w:spacing w:after="0" w:line="144"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For the year ended December 31, 2020, we recognized net income on our investment of $5.3 million, reflecting our share of Samsung Bioepis' operating profits, net of tax totaling $45.3 million offset by amortization of basis differences totaling $40.0 million.</w:t>
      </w:r>
    </w:p>
    <w:p>
      <w:pPr>
        <w:spacing w:after="0" w:line="14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Net income on our investment for the year ended December 31, 2021, reflects a $31.2 million benefit related to the release of a valuation allowance on deferred tax assets associated with Samsung Bioepis. The valuation allowance was released in the second quarter of 2021 based on a consideration of the positive and negative evidence, including the historic earnings of Samsung Bioepis.</w:t>
      </w:r>
    </w:p>
    <w:p>
      <w:pPr>
        <w:spacing w:after="0" w:line="148"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As of December 31, 2021 and 2020, the carrying value of our investment in Samsung Bioepis totaled 713.3 billion South Korean won ($599.9 million) and 673.8 billion South Korean won ($620.2 million), respectively, which is classified as a component of investments and other assets within our consolidated balance sheets.</w:t>
      </w:r>
    </w:p>
    <w:p>
      <w:pPr>
        <w:spacing w:after="0" w:line="80" w:lineRule="exact"/>
        <w:rPr>
          <w:sz w:val="20"/>
          <w:szCs w:val="20"/>
          <w:color w:val="auto"/>
        </w:rPr>
      </w:pPr>
    </w:p>
    <w:p>
      <w:pPr>
        <w:ind w:firstLine="405"/>
        <w:spacing w:after="0" w:line="227" w:lineRule="auto"/>
        <w:rPr>
          <w:sz w:val="20"/>
          <w:szCs w:val="20"/>
          <w:color w:val="auto"/>
        </w:rPr>
      </w:pPr>
      <w:r>
        <w:rPr>
          <w:rFonts w:ascii="Arial" w:cs="Arial" w:eastAsia="Arial" w:hAnsi="Arial"/>
          <w:sz w:val="18"/>
          <w:szCs w:val="18"/>
          <w:color w:val="auto"/>
        </w:rPr>
        <w:t>In January 2022 we entered into an agreement to sell to Samsung Biologics our equity in Samsung Bioepis. Under the terms of the proposed transaction, we would receive $ 1.0 billion in cash at closing and $1.3 billion to be deferred over two payments of $ 812.5 million due at the first anniversary and $437.5 million due at the second anniversary of the closing of the transaction. We would also be eligible to receive up to an additional $50.0 million upon the achievement of certain commercial milestones.</w:t>
      </w:r>
    </w:p>
    <w:p>
      <w:pPr>
        <w:spacing w:after="0" w:line="81" w:lineRule="exact"/>
        <w:rPr>
          <w:sz w:val="20"/>
          <w:szCs w:val="20"/>
          <w:color w:val="auto"/>
        </w:rPr>
      </w:pPr>
    </w:p>
    <w:p>
      <w:pPr>
        <w:ind w:right="40" w:firstLine="405"/>
        <w:spacing w:after="0" w:line="235" w:lineRule="auto"/>
        <w:rPr>
          <w:sz w:val="20"/>
          <w:szCs w:val="20"/>
          <w:color w:val="auto"/>
        </w:rPr>
      </w:pPr>
      <w:r>
        <w:rPr>
          <w:rFonts w:ascii="Arial" w:cs="Arial" w:eastAsia="Arial" w:hAnsi="Arial"/>
          <w:sz w:val="18"/>
          <w:szCs w:val="18"/>
          <w:color w:val="auto"/>
        </w:rPr>
        <w:t>Closing of the transaction is currently anticipated in mid-2022, contingent on the effectiveness of a securities registration statement filed by Samsung Biologics and satisfaction of certain regulatory and other customary closing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2019 Development and Commercialization Agreement</w:t>
      </w:r>
    </w:p>
    <w:p>
      <w:pPr>
        <w:spacing w:after="0" w:line="189" w:lineRule="exact"/>
        <w:rPr>
          <w:sz w:val="20"/>
          <w:szCs w:val="20"/>
          <w:color w:val="auto"/>
        </w:rPr>
      </w:pPr>
    </w:p>
    <w:p>
      <w:pPr>
        <w:jc w:val="both"/>
        <w:ind w:right="140" w:firstLine="445"/>
        <w:spacing w:after="0" w:line="254"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(ranibizumab-nuna), a proposed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w:t>
      </w:r>
    </w:p>
    <w:p>
      <w:pPr>
        <w:spacing w:after="0" w:line="150"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In connection with this transaction, we made an upfront payment of $100.0 million to Samsung Bioepis in January 2020, of which $63.0 million was recorded as research and development expense in our consolidated statements of income in 2019 and $37.0 million was recorded as an intangible assets, net in our consolidated balance sheets in 2019.</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67" w:name="page168"/>
    <w:bookmarkEnd w:id="1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During the third quarter of 2020, we paid Samsung Bioepis a $15.0 million development milestone, which was included in research and development expense in our consolidated statements of income. During the third quarter of 2021, we accrued $15.0 million in milestone payments related to the approval of BYOOVIZ in the U.S., the E.U. and the U.K., that were capitalized within intangible assets, net in our consolidated balance sheets. We may also pay Samsung Bioepis up to approximately $180.0 million in additional development, regulatory and sales-based milestones.</w:t>
      </w:r>
    </w:p>
    <w:p>
      <w:pPr>
        <w:spacing w:after="0" w:line="151" w:lineRule="exact"/>
        <w:rPr>
          <w:sz w:val="20"/>
          <w:szCs w:val="20"/>
          <w:color w:val="auto"/>
        </w:rPr>
      </w:pPr>
    </w:p>
    <w:p>
      <w:pPr>
        <w:ind w:right="500" w:firstLine="445"/>
        <w:spacing w:after="0" w:line="256"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2013 Commercial Agreement</w:t>
      </w:r>
    </w:p>
    <w:p>
      <w:pPr>
        <w:spacing w:after="0" w:line="10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3 anti-tumor necrosis factor (TNF) biosimilar product candidates in Europe and in the case of BENEPALI, Japan. As discussed above, we have an option to extend this agreement by an additional five years. Under this agreement, we have made upfront and clinical development milestone payments totaling $46.0 million, which were recorded as research and development expense in our consolidated statements of income as the programs they relate to had not achieved regulatory approval. We also agreed to make additional milestone payments of $25.0 million upon regulatory approval in the E.U. for each of the three anti-TNF biosimilar product candidates. IMRALDI, an adalimumab biosimilar referencing HUMIRA, FLIXABI, an infliximab biosimilar referencing REMICADE, and BENEPALI, an etanercept biosimilar referencing ENBREL, received regulatory approval in the E.U. in August 2017, May 2016 and January 2016, respectively, and we capitalized the related milestone payments totaling $75.0 million as intangible assets, net in our consolidated balance sheets.</w:t>
      </w:r>
    </w:p>
    <w:p>
      <w:pPr>
        <w:spacing w:after="0" w:line="90" w:lineRule="exact"/>
        <w:rPr>
          <w:sz w:val="20"/>
          <w:szCs w:val="20"/>
          <w:color w:val="auto"/>
        </w:rPr>
      </w:pPr>
    </w:p>
    <w:p>
      <w:pPr>
        <w:ind w:right="280" w:firstLine="445"/>
        <w:spacing w:after="0" w:line="254" w:lineRule="auto"/>
        <w:rPr>
          <w:sz w:val="20"/>
          <w:szCs w:val="20"/>
          <w:color w:val="auto"/>
        </w:rPr>
      </w:pPr>
      <w:r>
        <w:rPr>
          <w:rFonts w:ascii="Arial" w:cs="Arial" w:eastAsia="Arial" w:hAnsi="Arial"/>
          <w:sz w:val="18"/>
          <w:szCs w:val="18"/>
          <w:color w:val="auto"/>
        </w:rPr>
        <w:t>In April 2018 we and Samsung Bioepis announced an agreement with AbbVie Inc. (AbbVie) related to the commercialization of IMRALDI. Under the terms of the agreement, AbbVie granted us and Samsung Bioepis patent licenses for the use and sale of IMRALDI in Europe, on a country-by-country basis, and we make royalty payments to AbbVie on behalf of Samsung Bioepis. We began to recognize revenue on sales of IMRALDI to third-parties in Europe in the fourth quarter of 2018.</w:t>
      </w:r>
    </w:p>
    <w:p>
      <w:pPr>
        <w:spacing w:after="0" w:line="150"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We reflect revenue on sales of BENEPALI, IMRALDI and FLIXABI to third-parties in product revenue, net in our consolidated statements of income and record the related cost of revenue and sales and marketing expense in our consolidated statements of income to their respective line items when these costs are incurred. Royalty payments to AbbVie on sales of IMRALDI are recognized in cost of sales within our consolidated statements of income.</w:t>
      </w:r>
    </w:p>
    <w:p>
      <w:pPr>
        <w:spacing w:after="0" w:line="15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(loss) sharing in our consolidated statements of income. For the years ended December 31, 2021, 2020 and 2019, we recognized net profit-sharing expense of $285.4 million, $266.5 million and $241.6 million, respectively, to reflect Samsung Bioepis' 50.0% sharing of the net collaboration profits.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Other Services</w:t>
      </w:r>
    </w:p>
    <w:p>
      <w:pPr>
        <w:spacing w:after="0" w:line="122" w:lineRule="exact"/>
        <w:rPr>
          <w:sz w:val="20"/>
          <w:szCs w:val="20"/>
          <w:color w:val="auto"/>
        </w:rPr>
      </w:pPr>
    </w:p>
    <w:p>
      <w:pPr>
        <w:ind w:right="1060" w:firstLine="445"/>
        <w:spacing w:after="0" w:line="261" w:lineRule="auto"/>
        <w:rPr>
          <w:sz w:val="20"/>
          <w:szCs w:val="20"/>
          <w:color w:val="auto"/>
        </w:rPr>
      </w:pPr>
      <w:r>
        <w:rPr>
          <w:rFonts w:ascii="Arial" w:cs="Arial" w:eastAsia="Arial" w:hAnsi="Arial"/>
          <w:sz w:val="18"/>
          <w:szCs w:val="18"/>
          <w:color w:val="auto"/>
        </w:rPr>
        <w:t>Simultaneous with the formation of Samsung Bioepis, we also entered into a technical development services agreement, a manufacturing agreement and a license agreement with Samsung Bioepis.</w:t>
      </w:r>
    </w:p>
    <w:p>
      <w:pPr>
        <w:spacing w:after="0" w:line="144"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Under the technical development services agreement, we provided Samsung Bioepis technical development and technology transfer services, which included, but were not limited to, cell culture development, purification process development, formulation development and analytical development.</w:t>
      </w:r>
    </w:p>
    <w:p>
      <w:pPr>
        <w:spacing w:after="0" w:line="148"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Under the manufacturing agreement, we manufactured clinical and commercial quantities of bulk drug substance of biosimilar products for Samsung Bioepis pursuant to contractual terms.</w:t>
      </w:r>
    </w:p>
    <w:p>
      <w:pPr>
        <w:spacing w:after="0" w:line="144"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 xml:space="preserve">Following the divestiture of our Hillerød, Denmark manufacturing operations in August 2019, FUJIFILM assumed responsibility for the manufacture of clinical and commercial quantities of bulk drug substance of biosimilar products for Samsung Bioepis. We no longer recognize revenue for the manufacturing completed after the divestiture date under the manufacturing agreements with Samsung Bioepis.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8" w:name="page169"/>
    <w:bookmarkEnd w:id="1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36"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Under the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w:t>
      </w:r>
    </w:p>
    <w:p>
      <w:pPr>
        <w:spacing w:after="0" w:line="148"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For the years ended December 31, 2021, 2020 and 2019, we recognized $20.7 million, $20.9 million and $ 106.2 million, respectively, in revenue under the license, technical development services and manufacturing agreements, which is reflected in revenue from collaborative and other relationships, as a component of other revenue in our consolidated statements of income.</w:t>
      </w:r>
    </w:p>
    <w:p>
      <w:pPr>
        <w:spacing w:after="0" w:line="148" w:lineRule="exact"/>
        <w:rPr>
          <w:sz w:val="20"/>
          <w:szCs w:val="20"/>
          <w:color w:val="auto"/>
        </w:rPr>
      </w:pPr>
    </w:p>
    <w:p>
      <w:pPr>
        <w:jc w:val="both"/>
        <w:ind w:right="700" w:firstLine="445"/>
        <w:spacing w:after="0" w:line="256" w:lineRule="auto"/>
        <w:rPr>
          <w:sz w:val="20"/>
          <w:szCs w:val="20"/>
          <w:color w:val="auto"/>
        </w:rPr>
      </w:pPr>
      <w:r>
        <w:rPr>
          <w:rFonts w:ascii="Arial" w:cs="Arial" w:eastAsia="Arial" w:hAnsi="Arial"/>
          <w:sz w:val="18"/>
          <w:szCs w:val="18"/>
          <w:color w:val="auto"/>
        </w:rPr>
        <w:t>Amounts receivable from Samsung Bioepis related to the agreements discussed above were $4.1 million and $5.1 million as of December 31, 2021 and 2020, respectively. Amounts payable to Samsung Bioepis related to the agreements discussed above were $148.7 million and $99.0 million as of December 31, 2021 and 2020, respectively.</w:t>
      </w:r>
    </w:p>
    <w:p>
      <w:pPr>
        <w:spacing w:after="0" w:line="130" w:lineRule="exact"/>
        <w:rPr>
          <w:sz w:val="20"/>
          <w:szCs w:val="20"/>
          <w:color w:val="auto"/>
        </w:rPr>
      </w:pPr>
    </w:p>
    <w:p>
      <w:pPr>
        <w:ind w:left="600" w:hanging="592"/>
        <w:spacing w:after="0"/>
        <w:tabs>
          <w:tab w:leader="none" w:pos="600" w:val="left"/>
        </w:tabs>
        <w:numPr>
          <w:ilvl w:val="0"/>
          <w:numId w:val="118"/>
        </w:numPr>
        <w:rPr>
          <w:rFonts w:ascii="Arial" w:cs="Arial" w:eastAsia="Arial" w:hAnsi="Arial"/>
          <w:sz w:val="22"/>
          <w:szCs w:val="22"/>
          <w:b w:val="1"/>
          <w:bCs w:val="1"/>
          <w:color w:val="578196"/>
        </w:rPr>
      </w:pPr>
      <w:r>
        <w:rPr>
          <w:rFonts w:ascii="Arial" w:cs="Arial" w:eastAsia="Arial" w:hAnsi="Arial"/>
          <w:sz w:val="22"/>
          <w:szCs w:val="22"/>
          <w:b w:val="1"/>
          <w:bCs w:val="1"/>
          <w:color w:val="578196"/>
        </w:rPr>
        <w:t>INVESTMENTS IN VARIABLE INTEREST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Consolidated Variable Interest Entities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include the financial results of variable interest entities in which we are the primary beneficiary.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significant variable interest entities.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Neurimmune SubOne AG</w:t>
      </w:r>
    </w:p>
    <w:p>
      <w:pPr>
        <w:spacing w:after="0" w:line="189"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We have a collaboration and license agreement with Neurimmune for the development and commercialization of antibodies for the potential treatment of Alzheimer's disease, including ADUHELM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15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w:t>
      </w:r>
    </w:p>
    <w:p>
      <w:pPr>
        <w:spacing w:after="0" w:line="148"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October 2017 we amended the terms of the Neurimmune Agreement and made a $150.0 million payment to Neurimmune in exchange for a 15.0% reduction in the previously negotiated royalty rates payable on products developed under the Neurimmune Agreement, including royalties payable on potential commercial sales of ADUHELM. In May 2018 we made an additional $50.0 million payment to Neurimmune to further reduce the previously negotiated royalty rates payable on products developed under the Neurimmune Agreement, including royalties payable on commercial sales of ADUHELM, by an additional 5.0%. Our royalty rates payable on products developed under the Neurimmune Agreement, including royalty rates payable on commercial sales of ADUHELM, now range from the high single digits to sub-teens. As we consolidate the results of Neurimmune, we treated these payments as distributions and recognized them as charges to noncontrolling interests in the fourth quarter of 2017 and the second quarter of 2018, as applicable.</w:t>
      </w:r>
    </w:p>
    <w:p>
      <w:pPr>
        <w:spacing w:after="0" w:line="7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Under the terms of the Neurimmune Agreement, we were required to pay Neurimmune a milestone payment of $75.0 million upon the regulatory filing with the FDA for the approval of ADUHELM. During the second quarter of 2020 we paid Neurimmune $75.0 million upon the completed submission of the BLA for the approval of ADUHELM to the FDA, which was recognized as a charge to net income (loss) attributable to noncontrolling interests, net of tax in our consolidated statements of income. In addition, during the second quarter of 2020 we recognized net profit-sharing income of $33.8 million to reflect Eisai's 45.0% share of the $75.0 million milestone payment, which was recognized in collaboration profit (loss) sharing in our consolidated statements of income.</w:t>
      </w:r>
    </w:p>
    <w:p>
      <w:pPr>
        <w:spacing w:after="0" w:line="8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June 2021 ADUHELM was granted accelerated approval by the FDA. Under the terms of the Neurimmune Agreement, we were required to pay Neurimmune a milestone payment of $100.0 million related to the launch of ADUHELM in the U.S. During the second quarter of 2021 we made this $100.0 million payment, which was recognized as a charge to net income (loss) attributable to noncontrolling interests, net of tax in our consolidated statements of income. In addition, during the second quarter of 2021 we recognized net profit-sharing income of $45.0 million to reflect Eisai's 45.0% share of the $100.0 million milestone payment, which was recognized in collaboration profit (loss) sharing in our consolidated statements of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9" w:name="page170"/>
    <w:bookmarkEnd w:id="1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0" w:firstLine="445"/>
        <w:spacing w:after="0" w:line="250" w:lineRule="auto"/>
        <w:rPr>
          <w:sz w:val="20"/>
          <w:szCs w:val="20"/>
          <w:color w:val="auto"/>
        </w:rPr>
      </w:pPr>
      <w:r>
        <w:rPr>
          <w:rFonts w:ascii="Arial" w:cs="Arial" w:eastAsia="Arial" w:hAnsi="Arial"/>
          <w:sz w:val="18"/>
          <w:szCs w:val="18"/>
          <w:color w:val="auto"/>
        </w:rPr>
        <w:t>Additionally, if aducanumab receives regulatory approval in the jurisdictions where we have submitted filings, we may pay up to $100.0 million in additional milestones to Neurimmune, which includes $50.0 million if launched in three or more countries in the E.U.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$50.0 million if launched in Japan. Milestones payable to Neurimmune are shared expenses under the ADUHELM Collaboration Agreement.</w:t>
      </w:r>
    </w:p>
    <w:p>
      <w:pPr>
        <w:spacing w:after="0" w:line="171" w:lineRule="exact"/>
        <w:rPr>
          <w:sz w:val="20"/>
          <w:szCs w:val="20"/>
          <w:color w:val="auto"/>
        </w:rPr>
      </w:pPr>
    </w:p>
    <w:p>
      <w:pPr>
        <w:ind w:right="360" w:firstLine="445"/>
        <w:spacing w:after="0" w:line="291" w:lineRule="auto"/>
        <w:rPr>
          <w:sz w:val="20"/>
          <w:szCs w:val="20"/>
          <w:color w:val="auto"/>
        </w:rPr>
      </w:pPr>
      <w:r>
        <w:rPr>
          <w:rFonts w:ascii="Arial" w:cs="Arial" w:eastAsia="Arial" w:hAnsi="Arial"/>
          <w:sz w:val="17"/>
          <w:szCs w:val="17"/>
          <w:color w:val="auto"/>
        </w:rPr>
        <w:t>Research and development costs for which we reimburse Neurimmune are reflected in research and development expense in our consolidated statements of income. During the years ending December 31, 2021, 2020 and 2019, amounts reimbursed were immaterial.</w:t>
      </w:r>
    </w:p>
    <w:p>
      <w:pPr>
        <w:spacing w:after="0" w:line="12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During the second quarter of 2021 we recorded a net deferred tax asset of approximately $490.0 million. The net deferred tax asset is comprised of approximately $945.0 million of gross deferred tax asset, reduced by approximately $455.0 million of unrecognized tax benefit. The deferred tax benefit relates to Neurimmune's tax basis in ADUHELM, the realization of which is dependent on future sales of ADUHELM and approval of the Swiss cantonal tax authorities. During the fourth quarter of 2021 we recorded a valuation allowance of approximately $390.0 million related to this deferred tax asset. There is an equal and offsetting amount assigned to net income (loss) attributable to noncontrolling interests, net of tax in our consolidated statements of income, resulting in a zero net impact to net income attributable to Biogen Inc.</w:t>
      </w:r>
    </w:p>
    <w:p>
      <w:pPr>
        <w:spacing w:after="0" w:line="153"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consolidated financial position or results of operations as it is a research and development organization. We have provided no financing to Neurimmune other than contractually required amounts.</w:t>
      </w:r>
    </w:p>
    <w:p>
      <w:pPr>
        <w:spacing w:after="0" w:line="148"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Under the ADUHELM Collaboration Agreement, Eisai had an option to share in the benefit and cost associated with the royalty reductions, as discussed above; however, Eisai did not elect to share in the benefit and cost with respect to either the October 2017 or May 2018 royalty reductions, which will impact the amount of profits (losses) on commercial sales of ADUHELM to be shared with Eisai.</w:t>
      </w:r>
    </w:p>
    <w:p>
      <w:pPr>
        <w:spacing w:after="0" w:line="130"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Unconsolidated Variable Interest Entities</w:t>
      </w:r>
    </w:p>
    <w:p>
      <w:pPr>
        <w:spacing w:after="0" w:line="112"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14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As of December 31, 2021 and 2020, the carrying value of our investments in certain biotechnology companies representing potential unconsolidated variable interest entities totaled $24.6 million and $12.8 million, respectively. Our maximum exposure to loss related to these variable interest entities is limited to the carrying value of our investments.</w:t>
      </w:r>
    </w:p>
    <w:p>
      <w:pPr>
        <w:spacing w:after="0" w:line="148" w:lineRule="exact"/>
        <w:rPr>
          <w:sz w:val="20"/>
          <w:szCs w:val="20"/>
          <w:color w:val="auto"/>
        </w:rPr>
      </w:pPr>
    </w:p>
    <w:p>
      <w:pPr>
        <w:ind w:right="480" w:firstLine="445"/>
        <w:spacing w:after="0" w:line="254"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previously contractually required amounts.</w:t>
      </w:r>
    </w:p>
    <w:p>
      <w:pPr>
        <w:spacing w:after="0" w:line="226" w:lineRule="exact"/>
        <w:rPr>
          <w:sz w:val="20"/>
          <w:szCs w:val="20"/>
          <w:color w:val="auto"/>
        </w:rPr>
      </w:pPr>
    </w:p>
    <w:p>
      <w:pPr>
        <w:ind w:left="540" w:hanging="532"/>
        <w:spacing w:after="0"/>
        <w:tabs>
          <w:tab w:leader="none" w:pos="540" w:val="left"/>
        </w:tabs>
        <w:numPr>
          <w:ilvl w:val="0"/>
          <w:numId w:val="119"/>
        </w:numPr>
        <w:rPr>
          <w:rFonts w:ascii="Arial" w:cs="Arial" w:eastAsia="Arial" w:hAnsi="Arial"/>
          <w:sz w:val="22"/>
          <w:szCs w:val="22"/>
          <w:b w:val="1"/>
          <w:bCs w:val="1"/>
          <w:color w:val="578196"/>
        </w:rPr>
      </w:pPr>
      <w:r>
        <w:rPr>
          <w:rFonts w:ascii="Arial" w:cs="Arial" w:eastAsia="Arial" w:hAnsi="Arial"/>
          <w:sz w:val="22"/>
          <w:szCs w:val="22"/>
          <w:b w:val="1"/>
          <w:bCs w:val="1"/>
          <w:color w:val="578196"/>
        </w:rPr>
        <w:t>LITIGATION</w:t>
      </w:r>
    </w:p>
    <w:p>
      <w:pPr>
        <w:spacing w:after="0" w:line="13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jc w:val="both"/>
        <w:ind w:right="380" w:firstLine="405"/>
        <w:spacing w:after="0" w:line="254"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w:t>
      </w:r>
    </w:p>
    <w:p>
      <w:pPr>
        <w:spacing w:after="0" w:line="96"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third-parties that we infringe their patents. An</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170" w:name="page171"/>
    <w:bookmarkEnd w:id="1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Loss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 Securities Litigation</w:t>
      </w:r>
    </w:p>
    <w:p>
      <w:pPr>
        <w:spacing w:after="0" w:line="135"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and certain current and former officers are named as defendants in an action filed by a shareholder on November 13, 2020, and now pending in the U.S. District Court for the District of Massachusetts. The action alleges violations of federal securities laws under 15 U.S.C §78j(b) and §78t(a) and 17 C.F.R. §240.10b-5 and seeks a declaration of the action as a class action and monetary relief. An estimate of the possible loss or range of loss cannot be made at this time. No trial date has been set. We have filed a motion to dismiss, which is pending.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IMRALDI Patent Litigation</w:t>
      </w:r>
    </w:p>
    <w:p>
      <w:pPr>
        <w:spacing w:after="0" w:line="135"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In September 2018 Fresenius Kabi Deutschland GmbH (Fresenius Kabi) commenced proceedings for damages and injunctive relief against Biogen France SAS in the Tribunal de Grande Instance de Paris (the French proceeding) and in November 2018 against Biogen GmbH in the Düsseldorf Regional Court (the German proceeding), alleging that IMRALDI, the adalimumab biosimilar product of Samsung Bioepis that Biogen has commercialized in Europe, infringes national counterparts of European Patent No. 3 148 510 (the EP '510 Patent, expiring in May 2035). In May 2020 the European Patent Office (EPO) held the EP '510 Patent invalid. Fresenius Kabi' has appealed to the EPO's Technical Boards of Appeal, a hearing has been set for June 2022, and the German and French proceedings have been stayed pending the decision on appeal.</w:t>
      </w:r>
    </w:p>
    <w:p>
      <w:pPr>
        <w:spacing w:after="0" w:line="9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June 2020 Fresenius Kabi commenced proceedings in Denmark's Maritime and Commercial High Court alleging that IMRALDI infringes the Danish counterpart of European Patent No. 3 145 488 (the EP '488 Patent, expiring in May 2035) and a Danish utility model. In September 2021 the Court ruled that the patent and utility model are invalid and not infringed. Fresenius Kabi has appealed to the High Court of Eastern Denmark and the appeal is pending. The EPO has scheduled a hearing on the validity of the EP '488 Patent for October 2022.</w:t>
      </w:r>
    </w:p>
    <w:p>
      <w:pPr>
        <w:spacing w:after="0" w:line="96"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In July 2020 the Danish Patent Board of Appeal revoked the Danish utility models that Fresenius Kabi had asserted against Biogen and Fresenius Kabi has appealed to the Danish Maritime and Commercial High Court. No hearing has been scheduled.</w:t>
      </w:r>
    </w:p>
    <w:p>
      <w:pPr>
        <w:spacing w:after="0" w:line="9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July 2019 Gedeon Richter Nyrt commenced proceedings for damages and injunctive relief against Biogen GmbH in the Düsseldorf Regional Court alleging infringement of the German counterpart of European Patent No. 3 212 667, which expires in October 2035. The case has been stayed pending proceedings in the EPO seeking to invalidate the patent. In November 2020 Gedeon Richter Nyrt commenced additional proceedings against Biogen GmbH in the Düsseldorf Regional Court alleging infringement of a German utility model. In October 2021 Biogen filed cancellation proceedings in respect of the German utility model and the infringement proceedings have been stayed pending the outcome of the cancellation proceedings.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estimate of the possible loss or range of loss in the IMRALDI patent litigation described above cannot be made at this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Qui Tam Litigation</w:t>
      </w:r>
    </w:p>
    <w:p>
      <w:pPr>
        <w:spacing w:after="0" w:line="135"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In July 2015 a qui tam action filed by Michael Bawduniak on behalf of the U.S. and certain states was unsealed by the U.S. District Court for the District of Massachusetts. The action alleges sales and promotional activities in violation of the federal False Claims Act and state law counterparts and seeks damages of $981.1 million plus statutory trebling of damages, civil penalties, attorneys' fees and costs. A trial is scheduled for the third quarter of 2022. The U.S. has not made an intervention decision. An estimate of the possible loss cannot be made at this time.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Dispute with Former Convergence Shareholders</w:t>
      </w:r>
    </w:p>
    <w:p>
      <w:pPr>
        <w:spacing w:after="0" w:line="135"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auto"/>
        </w:rPr>
        <w:t>In November and December 2019 Shareholder Representative Services LLC, on behalf of the former shareholders of Convergence, sent us correspondence asserting claims of $200.0 million for alleged breach of the contract under which we acquired Convergence. We dispute the claims.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Samsung BioLogics Arbitration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1" w:name="page172"/>
    <w:bookmarkEnd w:id="1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In December 2020 we requested arbitration in the International Chamber of Commerce Court of International Arbitration against Samsung BioLogics seeking interpretation of certain provisions of the parties Joint Venture Agreement. Samsung BioLogics counterclaimed for breach and seeks declaratory relief and unspecified damages. The arbitration hearing has concluded and a decision is pending. An estimate of the possible loss or range of loss cannot be made at this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ERISA Class Action Litigation</w:t>
      </w:r>
    </w:p>
    <w:p>
      <w:pPr>
        <w:spacing w:after="0" w:line="13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September 2020 the U.S. District Court for the District of Massachusetts consolidated two cases filed against us in July and August 2020 by participants in the Biogen 401(k) Savings Plan alleging breach of fiduciary duty under ERISA. Plaintiffs seek a declaration of the action as a class action and monetary and other relief. No trial date has been set. An estimate of the possible loss or range of loss cannot be made at this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Humana Patient Assistance Litigation</w:t>
      </w:r>
    </w:p>
    <w:p>
      <w:pPr>
        <w:spacing w:after="0" w:line="13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September 2021 Humana Inc. (Humana) filed suit against us in the U.S District Court for the District of Massachusetts alleging damages related to our providing MS patients with free medications and making charitable contributions to non-profit organizations that assist MS patients. Humana alleges violation of the federal RICO Act and state laws and seeks statutory treble damages, attorneys' fees and costs. No trial date has been set. An estimate of the possible loss or range of loss cannot be made at this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Government Investigations</w:t>
      </w:r>
    </w:p>
    <w:p>
      <w:pPr>
        <w:spacing w:after="0" w:line="135" w:lineRule="exact"/>
        <w:rPr>
          <w:sz w:val="20"/>
          <w:szCs w:val="20"/>
          <w:color w:val="auto"/>
        </w:rPr>
      </w:pPr>
    </w:p>
    <w:p>
      <w:pPr>
        <w:ind w:right="300" w:firstLine="405"/>
        <w:spacing w:after="0" w:line="273" w:lineRule="auto"/>
        <w:rPr>
          <w:sz w:val="20"/>
          <w:szCs w:val="20"/>
          <w:color w:val="auto"/>
        </w:rPr>
      </w:pPr>
      <w:r>
        <w:rPr>
          <w:rFonts w:ascii="Arial" w:cs="Arial" w:eastAsia="Arial" w:hAnsi="Arial"/>
          <w:sz w:val="17"/>
          <w:szCs w:val="17"/>
          <w:color w:val="auto"/>
        </w:rPr>
        <w:t>The U.S. House of Representatives Committees on Oversight and Reform and Energy and Commerce and the Office of Inspector General of the U.S. Department of Health and Human Services have announced investigations relating to ADUHELM. In addition, the Company has received a civil investigative demand from the Federal Trade Commission and an inquiry from the Securities and Exchange Commission seeking information relating to ADUHELM, including healthcare sites, ADUHELM’s approval and ADUHELM’s marketing.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Hatch-Waxman Act Litigation relating to TECFIDERA Orange-Book Listed Patents</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2017 to 2020 we filed patent infringement proceedings relating to TECFIDERA Orange-Book listed patents pursuant to the Drug Price Competition and Patent Term Restoration Act of 1984, commonly known as the Hatch-Waxman Act (the Delaware Actions), against Accord Healthcare Inc., Alkem Laboratories Ltd., Amneal Pharmaceuticals LLC, Cipla Limited, Graviti Pharmaceuticals Pvt. Ltd., Hetero USA, Inc., Lupin Atlantis Holdings SA, Macleods Pharmaceuticals, Ltd., MSN Laboratories Pvt. Ltd., Pharmathen S.A., Prinston Pharmaceutical Inc., Sandoz Inc., Shilpa Medicare Limited, Slayback Pharma LLC, Sun Pharmaceutical Industries, Ltd., Sun Pharmaceutical Industries, Inc., Sun Pharma Global FZE, Torrent Pharmaceuticals Ltd., TWi Pharmaceuticals, Inc., Windlas Healthcare Pvt. Ltd. and Zydus Pharmaceuticals (USA) Inc. (collectively, the Delaware Defendants) in the U.S. District Court for the District of Delaware (the Delaware Court) and against Mylan in the U.S. District Court for the Northern District of West Virginia (the West Virginia Court).</w:t>
      </w:r>
    </w:p>
    <w:p>
      <w:pPr>
        <w:spacing w:after="0" w:line="97"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In June 2020 the West Virginia Court entered judgment for Mylan that the asserted claims of the ‘514 Patent are invalid for lack of written description and in November 2021 the Federal Circuit affirmed.</w:t>
      </w:r>
    </w:p>
    <w:p>
      <w:pPr>
        <w:spacing w:after="0" w:line="90"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The Delaware Court entered judgment for the Delaware Defendants on the grounds that the judgment of the West Virginia Court applies to the Delaware Actions under principles of collateral estoppel. The appeals in the Delaware cases were stayed and we expect will remain so until the Federal Circuit's decision in the West Virginia case becomes final.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Petition for Inter Partes Review</w:t>
      </w:r>
    </w:p>
    <w:p>
      <w:pPr>
        <w:spacing w:after="0" w:line="135"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 xml:space="preserve">In July 2018 Mylan Pharmaceuticals, Inc. (Mylan) filed a petition that was granted by the U.S. Patent Trial and Appeal Board (PTAB) for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of our U.S. Patent No. 8,399,514 (the '514 Patent). The '514 Patent includes claims covering treatment of MS with 480 mg</w:t>
      </w:r>
      <w:r>
        <w:rPr>
          <w:rFonts w:ascii="Arial" w:cs="Arial" w:eastAsia="Arial" w:hAnsi="Arial"/>
          <w:sz w:val="18"/>
          <w:szCs w:val="18"/>
          <w:i w:val="1"/>
          <w:iCs w:val="1"/>
          <w:color w:val="auto"/>
        </w:rPr>
        <w:t xml:space="preserve"> </w:t>
      </w:r>
      <w:r>
        <w:rPr>
          <w:rFonts w:ascii="Arial" w:cs="Arial" w:eastAsia="Arial" w:hAnsi="Arial"/>
          <w:sz w:val="18"/>
          <w:szCs w:val="18"/>
          <w:color w:val="auto"/>
        </w:rPr>
        <w:t>of dimethyl fumarate per day as provided for in our TECFIDERA label. In February 2020 the PTAB issued a final written decision upholding the patentability of the ‘514 Patent and in November 2021 the Federal Circuit ruled that the decision was moot.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2" w:name="page173"/>
    <w:bookmarkEnd w:id="1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European Patent Office Oppositions</w:t>
      </w:r>
    </w:p>
    <w:p>
      <w:pPr>
        <w:spacing w:after="0" w:line="135"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In January 2022 the Technical Boards of Appeal of the EPO affirmed the EPO's 2016 decision revoking our European Patent No. 2 137 537, which covers the treatment of MS with 480 mg of dimethyl fumarate as provided for in our TECFIDERA label.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TYSABRI Patent Revocation Matters</w:t>
      </w:r>
    </w:p>
    <w:p>
      <w:pPr>
        <w:spacing w:after="0" w:line="135"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In November 2017 Swiss Pharma International AG, affiliated with the Polpharma Group, filed an action in the Commercial Court of Rome to invalidate the Italian counterpart of the European Patent No. 1 485 127 (the E.U. '127 Patent) which covers administration of natalizumab (TYSABRI) to treat MS and expires in February 2023. A hearing has been set for June 2022.</w:t>
      </w:r>
    </w:p>
    <w:p>
      <w:pPr>
        <w:spacing w:after="0" w:line="94"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In August 2020 Polpharma Biologics S.A., also affiliated with the Polpharma Group, brought an action in the Polish Patent Office to revoke our Polish Patent No. 215263, which corresponds to the E.U. '127 Patent and expires in February 2023. The action was suspended by the Polish Patent Office in April 2021 pending examination of our amended patent claims.</w:t>
      </w:r>
    </w:p>
    <w:p>
      <w:pPr>
        <w:spacing w:after="0" w:line="94" w:lineRule="exact"/>
        <w:rPr>
          <w:sz w:val="20"/>
          <w:szCs w:val="20"/>
          <w:color w:val="auto"/>
        </w:rPr>
      </w:pPr>
    </w:p>
    <w:p>
      <w:pPr>
        <w:ind w:right="220" w:firstLine="405"/>
        <w:spacing w:after="0" w:line="256" w:lineRule="auto"/>
        <w:rPr>
          <w:sz w:val="20"/>
          <w:szCs w:val="20"/>
          <w:color w:val="auto"/>
        </w:rPr>
      </w:pPr>
      <w:r>
        <w:rPr>
          <w:rFonts w:ascii="Arial" w:cs="Arial" w:eastAsia="Arial" w:hAnsi="Arial"/>
          <w:sz w:val="18"/>
          <w:szCs w:val="18"/>
          <w:color w:val="auto"/>
        </w:rPr>
        <w:t>In June 2021 Polpharma Biologics S.A., Sandoz B.V. and Sandoz AG filed an action in the District Court of the Hague, Netherlands to invalidate the Dutch counterpart of our European Patent 2 676 967 (the EU '967 Patent), which expires in 2027 and covers methods of treatment using natalizumab (TYSABRI) and pre-treatment testing of patients. A hearing has been set for September 2022.</w:t>
      </w:r>
    </w:p>
    <w:p>
      <w:pPr>
        <w:spacing w:after="0" w:line="94"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In July 2021 the EPO revoked the EU ‘967 Patent. We have appealed to the EPO’s Technical Boards of Appeal. A hearing date has not been set.</w:t>
      </w:r>
    </w:p>
    <w:p>
      <w:pPr>
        <w:spacing w:after="0" w:line="9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In September 2021 Polpharma Biologics S.A., Sandoz AG, Sandoz Limited and Sandoz GmbH filed an action in the English High Court to revoke the UK counterpart of the EU ‘967 Patent and seeking a declaration that the patent would not be infringed by the marketing of Polpharma’s proposed natalizumab biosimilar. A hearing has been set for November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Annulment Proceedings in General Court of the European Union relating to TECFIDERA</w:t>
      </w:r>
    </w:p>
    <w:p>
      <w:pPr>
        <w:spacing w:after="0" w:line="13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Pharmaceutical Works Polpharma SA (Polpharma) and Mylan Ireland Ltd. (Mylan Ireland) each filed actions in the General Court of the European Union (Polpharma in October 2018 and Mylan Ireland in November 2020) to annul the European Medicines Agency's (EMA) decision not to validate their applications to market generic versions of TECFIDERA on the grounds that TECFIDERA benefits from regulatory data protection. On May 5, 2021, the European General Court annulled the EMA's non-validation decision with respect to Polpharma. We have appealed the decision to the European Court of Justice and the appeal is pending. The case brought by Mylan Ireland has been stayed.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Product Liability and Other Legal Proceedings</w:t>
      </w:r>
    </w:p>
    <w:p>
      <w:pPr>
        <w:spacing w:after="0" w:line="13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24"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22"/>
          <w:szCs w:val="22"/>
          <w:b w:val="1"/>
          <w:bCs w:val="1"/>
          <w:color w:val="578196"/>
        </w:rPr>
      </w:pPr>
      <w:r>
        <w:rPr>
          <w:rFonts w:ascii="Arial" w:cs="Arial" w:eastAsia="Arial" w:hAnsi="Arial"/>
          <w:sz w:val="22"/>
          <w:szCs w:val="22"/>
          <w:b w:val="1"/>
          <w:bCs w:val="1"/>
          <w:color w:val="578196"/>
        </w:rPr>
        <w:t>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TYSABRI</w:t>
      </w:r>
    </w:p>
    <w:p>
      <w:pPr>
        <w:spacing w:after="0" w:line="10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2013 we acquired from Elan full ownership of all remaining rights to TYSABRI that we did not already own or control. Under the acquisition agreement, we are obligated to make contingent payments to Elan of 18.0% on annual worldwide net commercial sales up to $2.0 billion and 25.0% on annual worldwide net commercial sales that exceed $2.0 billion. Royalty payments to Elan and other third-parties are recognized as cost of sales in our consolidated statements of income. Elan was acquired by Perrigo Company plc (Perrigo) in December 2013 and Perrigo subsequently sold its rights to these payments to a third-party effective January 2017.</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3" w:name="page174"/>
    <w:bookmarkEnd w:id="1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SPINRAZA</w:t>
      </w:r>
    </w:p>
    <w:p>
      <w:pPr>
        <w:spacing w:after="0" w:line="12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In 2016 we exercised our option to develop and commercialize SPINRAZA from Ionis. Under our agreement with Ionis, we make royalty payments to Ionis on annual worldwide net commercial sales of SPINRAZA using a tiered royalty rate between 11.0% and 15.0%, which are recorded as cost of sales in our consolidated statements of income. For additional information on our collaboration arrangements with Ionis,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VUMERITY</w:t>
      </w:r>
    </w:p>
    <w:p>
      <w:pPr>
        <w:spacing w:after="0" w:line="10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In October 2019 the FDA approved VUMERITY for the treatment of RMS. During the fourth quarter of 2021 VUMERITY was approved for the treatment of RRMS in the E.U., Switzerland and the U.K. Under our agreement with Alkermes, we make royalty payments to Alkermes on worldwide net commercial sales of VUMERITY using a royalty rate of 15.0%, which are recorded as cost of sales in our consolidated statements of income. Royalties payable on net commercial sales of VUMERITY are subject, under certain circumstances, to tiered minimum annual payment requirements for a period of five years following FDA approval. For additional information on our collaboration arrangement with Alkermes,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these consolidated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126"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In connection with our acquisition of Convergence, we agreed to make additional payments based upon the achievement of certain milestone events.</w:t>
      </w:r>
    </w:p>
    <w:p>
      <w:pPr>
        <w:spacing w:after="0" w:line="144"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As the acquisition of Convergence occurred after January 1, 2009, we recognized the contingent consideration liabilities associated with this transaction at their fair value on the acquisition date and revalue the remaining obligations each reporting period. We may pay up to approximately $400.0 million in remaining milestones related to this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Fumapharm AG</w:t>
      </w:r>
    </w:p>
    <w:p>
      <w:pPr>
        <w:spacing w:after="0" w:line="122"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2006 we acquired Fumapharm AG. As part of this acquisition we acquired the Fumapharm Products. We were required to make contingent payments to former shareholders of Fumapharm AG and holders of their rights based on the attainment of certain cumulative sales levels of Fumapharm Products and the level of total net sales of Fumapharm Products in the prior 12-month period, as defined in the acquisition agreement, until such time as the cumulative sales level reached $20.0 billion, at which time no further contingent payments were due. During the first quarter of 2019 we paid the final $ 300.0 million contingent payment as we achieved the $20.0 billion cumulative sales levels related to the Fumapharm Products in the fourth quarter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13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Based on our development plans as of December 31, 2021, we could trigger potential future milestone payments to third-parties of up to approximately $10.0 billion, including approximately $ 2.0 billion in development milestones, approximately $900.0 million in regulatory milestones and approximately $7.1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2021,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9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If certain clinical and commercial milestones are met, we may pay up to $133.9 million in milestones in 2022 under our current agreements. Additionally, if aducanumab receives regulatory approval in the jurisdictions where we have submitted filings, we may pay up to $100.0 million in additional milestones to Neurimmune in 2022, which includes $50.0 million if launched in three or more countries in the E.U. and $50.0 million if launched in Japan. Milestones payable to Neurimmune are shared expenses under the ADUHELM Collaboration Agreement.</w:t>
      </w:r>
    </w:p>
    <w:p>
      <w:pPr>
        <w:spacing w:after="0" w:line="151"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auto"/>
        </w:rPr>
        <w:t>During the second quarter of 2020 we paid Neurimmune $75.0 million upon the completed submission of the BLA for the approval of ADUHELM to the FDA, which was recognized as a charge to net income (loss) attributable to noncontrolling interests, net of tax in our consolidated statements of income.</w:t>
      </w:r>
    </w:p>
    <w:p>
      <w:pPr>
        <w:spacing w:after="0" w:line="67"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In June 2021 ADUHELM was granted accelerated approval by the FDA. Under the terms of the Neurimmune Agreement, we were required to pay Neurimmune a milestone payment of $100.0 million related to the launch of</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4" w:name="page175"/>
    <w:bookmarkEnd w:id="1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ADUHELM in the U.S. During the second quarter of 2021 we made this $100.0 million payment, which was recognized as a charge to net income (loss) attributable to noncontrolling interests, net of tax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12"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As of December 31, 2021, we have several ongoing clinical studies in various clinical trial stages. Our most significant clinical trial expenditures are to CROs. The contracts with CROs are generally cancellable, with notice, at our option. We recorded accrued expense of approximately $27.3 million in our consolidated balance sheets for expenditures incurred by CROs as of December 31, 2021. We have approximately $676.1 million in cancellable future commitments based on existing CRO contracts as of December 31, 2021.</w:t>
      </w:r>
    </w:p>
    <w:p>
      <w:pPr>
        <w:spacing w:after="0" w:line="15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As part of the sale of our Hillerød, Denmark manufacturing operations to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 estimate using a probability-weighted estimate of future manufacturing activity and may further adjust this estimate based upon changes in business conditions, which may result in the increase or reduction of this adverse commitment obligation in subsequent periods. For additional information on the divestiture of our Hillerød, Denmark manufacturing operations, please read </w:t>
      </w:r>
      <w:r>
        <w:rPr>
          <w:rFonts w:ascii="Arial" w:cs="Arial" w:eastAsia="Arial" w:hAnsi="Arial"/>
          <w:sz w:val="18"/>
          <w:szCs w:val="18"/>
          <w:i w:val="1"/>
          <w:iCs w:val="1"/>
          <w:color w:val="auto"/>
        </w:rPr>
        <w:t>Note 3, Divestitures</w:t>
      </w:r>
      <w:r>
        <w:rPr>
          <w:rFonts w:ascii="Arial" w:cs="Arial" w:eastAsia="Arial" w:hAnsi="Arial"/>
          <w:sz w:val="18"/>
          <w:szCs w:val="18"/>
          <w:color w:val="auto"/>
        </w:rPr>
        <w:t>, to these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26"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2021, we have approximately $106.8 million of liabilities associated with uncertain tax positions.</w:t>
      </w:r>
    </w:p>
    <w:p>
      <w:pPr>
        <w:spacing w:after="0" w:line="148"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 xml:space="preserve">As of December 31, 2021 and 2020, we have accrued income tax liabilities of approximately $633.0 million and $697.0 million, respectively, under the Transition Toll Tax. Of the amounts accrued as of December 31, 2021, approximately $72.7 million is expected to be paid within one year. The Transition Toll Tax will be paid in installments over an eight--year period, which started in 2018, and will not accrue interest. For additional information on the Transition Toll Tax, please read </w:t>
      </w:r>
      <w:r>
        <w:rPr>
          <w:rFonts w:ascii="Arial" w:cs="Arial" w:eastAsia="Arial" w:hAnsi="Arial"/>
          <w:sz w:val="17"/>
          <w:szCs w:val="17"/>
          <w:i w:val="1"/>
          <w:iCs w:val="1"/>
          <w:color w:val="auto"/>
        </w:rPr>
        <w:t>Note 16, Income Taxes</w:t>
      </w:r>
      <w:r>
        <w:rPr>
          <w:rFonts w:ascii="Arial" w:cs="Arial" w:eastAsia="Arial" w:hAnsi="Arial"/>
          <w:sz w:val="17"/>
          <w:szCs w:val="17"/>
          <w:color w:val="auto"/>
        </w:rPr>
        <w:t>, to these consolidated financial statements.</w:t>
      </w:r>
    </w:p>
    <w:p>
      <w:pPr>
        <w:spacing w:after="0" w:line="213"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22"/>
          <w:szCs w:val="22"/>
          <w:b w:val="1"/>
          <w:bCs w:val="1"/>
          <w:color w:val="578196"/>
        </w:rPr>
      </w:pPr>
      <w:r>
        <w:rPr>
          <w:rFonts w:ascii="Arial" w:cs="Arial" w:eastAsia="Arial" w:hAnsi="Arial"/>
          <w:sz w:val="22"/>
          <w:szCs w:val="22"/>
          <w:b w:val="1"/>
          <w:bCs w:val="1"/>
          <w:color w:val="578196"/>
        </w:rPr>
        <w:t>GUARANTEES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2021 and 2020, we did not have significant liabilities recorded for guarantees.</w:t>
      </w:r>
    </w:p>
    <w:p>
      <w:pPr>
        <w:spacing w:after="0" w:line="11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2021 and 2020.</w:t>
      </w:r>
    </w:p>
    <w:p>
      <w:pPr>
        <w:spacing w:after="0" w:line="216"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2"/>
          <w:szCs w:val="22"/>
          <w:b w:val="1"/>
          <w:bCs w:val="1"/>
          <w:color w:val="578196"/>
        </w:rPr>
      </w:pPr>
      <w:r>
        <w:rPr>
          <w:rFonts w:ascii="Arial" w:cs="Arial" w:eastAsia="Arial" w:hAnsi="Arial"/>
          <w:sz w:val="22"/>
          <w:szCs w:val="22"/>
          <w:b w:val="1"/>
          <w:bCs w:val="1"/>
          <w:color w:val="578196"/>
        </w:rPr>
        <w:t>EMPLOYEE BENEFIT PLANS</w:t>
      </w:r>
    </w:p>
    <w:p>
      <w:pPr>
        <w:spacing w:after="0" w:line="130"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We sponsor various retirement and pension plans. Our estimates of liabilities and expense for these plans incorporate a number of assumptions, including expected rates of return on plan assets and interest rates used to discount future benefits.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401(k) Savings Plan</w:t>
      </w:r>
    </w:p>
    <w:p>
      <w:pPr>
        <w:spacing w:after="0" w:line="13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75" w:name="page176"/>
    <w:bookmarkEnd w:id="1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NOTES TO CONSOLIDATED FINANCIAL STATEMENTS — (Continued)</w:t>
      </w:r>
    </w:p>
    <w:p>
      <w:pPr>
        <w:spacing w:after="0" w:line="200" w:lineRule="exact"/>
        <w:rPr>
          <w:sz w:val="20"/>
          <w:szCs w:val="20"/>
          <w:color w:val="auto"/>
        </w:rPr>
      </w:pPr>
    </w:p>
    <w:p>
      <w:pPr>
        <w:spacing w:after="0" w:line="282"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Expense related to our 401(k) Savings Plan totaled $58.4 million, $44.3 million and $44.8 million for the years ended December 31, 2021, 2020 and 2019,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Deferred Compensation Plan</w:t>
      </w:r>
    </w:p>
    <w:p>
      <w:pPr>
        <w:spacing w:after="0" w:line="12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2021 and 2020, totaled approximately $131.4 million and $120.0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Pension Plans</w:t>
      </w:r>
    </w:p>
    <w:p>
      <w:pPr>
        <w:spacing w:after="0" w:line="112"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Swiss plan is a government-mandated retirement fund that provides employees with a minimum investment return. The minimum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return is determined annually by the Swiss government and was 1.00% in 2021, 2020 and 2019. Under the Swiss plan, both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certain of our employees with annual earnings in excess of government determined amounts are required to make contributions into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managed by an independent investment fiduciary. Employer contributions must be in an amount at least equal to the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contribution. Minimum employee contributions are based on the respective employee’s age, salary and gender. As of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2020, the Swiss plan had an unfunded net pension obligation of $64.1 million and $75.7 million, respectively, and plan assets that totaled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$200.1 million and $170.0 million, respectively. In 2021, 2020 and 2019 we recognized expense totaling $21.5 million, $15.5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$14.7 million, respectively, related to our Swiss plan, of which $3.5 million, $2.6 million and $1.2 million, respectively, was included in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(expense), net in our consolidated statements of income.</w:t>
      </w:r>
    </w:p>
    <w:p>
      <w:pPr>
        <w:spacing w:after="0" w:line="171"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The obligations under the German plans are unfunded and totaled $68.4 million and $75.5 million as of December 31, 2021 and 2020, respectively. Net periodic pension cost related to the German plans totaled $7.6 million, $6.2 million and $5.1 million for the years ended December 31, 2021, 2020 and 2019, respectively, of which $2.1 million, $2.0 million and $1.4 million, respectively, was included in other income (expense), net in our consolidated statements of income.</w:t>
      </w:r>
    </w:p>
    <w:p>
      <w:pPr>
        <w:spacing w:after="0" w:line="226"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b w:val="1"/>
          <w:bCs w:val="1"/>
          <w:color w:val="578196"/>
        </w:rPr>
      </w:pPr>
      <w:r>
        <w:rPr>
          <w:rFonts w:ascii="Arial" w:cs="Arial" w:eastAsia="Arial" w:hAnsi="Arial"/>
          <w:sz w:val="22"/>
          <w:szCs w:val="22"/>
          <w:b w:val="1"/>
          <w:bCs w:val="1"/>
          <w:color w:val="578196"/>
        </w:rPr>
        <w:t>SEGMENT INFORMATION</w:t>
      </w:r>
    </w:p>
    <w:p>
      <w:pPr>
        <w:spacing w:after="0" w:line="116"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 Our Chief Executive Officer (CEO), as the chief operating decision-maker, manages and allocates resources to the operations of our company on a total company basis. 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The company is also supported by corporate staff functions. Managing and allocating resources on a total company basis enables our CEO to assess the overall level of resources available and how to best deploy these resources across functions, therapeutic areas and research and development projects that are in line with our long-term company-wide strategic goals. Consistent with this decision-making process, our CEO uses consolidated, single-segment financial information for purposes of evaluating performance, forecasting future period financial results, allocating resources and setting incentive targets.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Enterprise-wide disclosures about product revenue, other revenue and long-lived assets by geographic area are presented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is primarily attributed to individual countries based on location of the customer or licensee.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76" w:name="page177"/>
    <w:bookmarkEnd w:id="1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NOTES TO CONSOLIDATED FINANCIAL STATEMENTS — (Continued)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Geographic Information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118"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December 31, 2021</w:t>
      </w:r>
    </w:p>
    <w:p>
      <w:pPr>
        <w:sectPr>
          <w:pgSz w:w="11900" w:h="16838" w:orient="portrait"/>
          <w:cols w:equalWidth="0" w:num="1">
            <w:col w:w="11240"/>
          </w:cols>
          <w:pgMar w:left="320" w:top="144"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revenue from external customers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7774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9"/>
                <w:szCs w:val="9"/>
                <w:b w:val="1"/>
                <w:bCs w:val="1"/>
                <w:color w:val="auto"/>
              </w:rPr>
              <w:t>(1)</w:t>
            </w:r>
          </w:p>
        </w:tc>
        <w:tc>
          <w:tcPr>
            <w:tcW w:w="100" w:type="dxa"/>
            <w:vAlign w:val="bottom"/>
            <w:tcBorders>
              <w:top w:val="single" w:sz="8" w:color="auto"/>
              <w:bottom w:val="single" w:sz="8" w:color="DBDBDB"/>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Germany</w:t>
            </w:r>
          </w:p>
        </w:tc>
        <w:tc>
          <w:tcPr>
            <w:tcW w:w="10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top w:val="single" w:sz="8" w:color="auto"/>
              <w:bottom w:val="single" w:sz="8" w:color="DBDBDB"/>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83"/>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3,805.7</w:t>
            </w:r>
          </w:p>
        </w:tc>
        <w:tc>
          <w:tcPr>
            <w:tcW w:w="320" w:type="dxa"/>
            <w:vAlign w:val="bottom"/>
            <w:gridSpan w:val="3"/>
            <w:shd w:val="clear" w:color="auto" w:fill="DBDBDB"/>
          </w:tcPr>
          <w:p>
            <w:pPr>
              <w:jc w:val="right"/>
              <w:ind w:right="80"/>
              <w:spacing w:after="0"/>
              <w:rPr>
                <w:sz w:val="20"/>
                <w:szCs w:val="20"/>
                <w:color w:val="auto"/>
              </w:rPr>
            </w:pPr>
            <w:r>
              <w:rPr>
                <w:rFonts w:ascii="Arial" w:cs="Arial" w:eastAsia="Arial" w:hAnsi="Arial"/>
                <w:sz w:val="14"/>
                <w:szCs w:val="14"/>
                <w:color w:val="2573BA"/>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2,626.0</w:t>
            </w: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1,162.4</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688.0</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564.8</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8,846.9</w:t>
            </w:r>
          </w:p>
        </w:tc>
      </w:tr>
      <w:tr>
        <w:trPr>
          <w:trHeight w:val="189"/>
        </w:trPr>
        <w:tc>
          <w:tcPr>
            <w:tcW w:w="2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1,596.7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18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61.8</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1,658.5</w:t>
            </w:r>
          </w:p>
        </w:tc>
      </w:tr>
      <w:tr>
        <w:trPr>
          <w:trHeight w:val="189"/>
        </w:trPr>
        <w:tc>
          <w:tcPr>
            <w:tcW w:w="2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429.9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9.7</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36.7</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476.3</w:t>
            </w:r>
          </w:p>
        </w:tc>
      </w:tr>
      <w:tr>
        <w:trPr>
          <w:trHeight w:val="189"/>
        </w:trPr>
        <w:tc>
          <w:tcPr>
            <w:tcW w:w="2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1,390.5</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2,337.8</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21.7</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3,791.8</w:t>
            </w:r>
          </w:p>
        </w:tc>
      </w:tr>
      <w:tr>
        <w:trPr>
          <w:trHeight w:val="459"/>
        </w:trPr>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9"/>
                <w:szCs w:val="9"/>
                <w:b w:val="1"/>
                <w:bCs w:val="1"/>
                <w:color w:val="auto"/>
              </w:rPr>
              <w:t>(1)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Germany</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8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5,900.1</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2,495.3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1,161.1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596.7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539.0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10,692.2</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1,897.4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1,977.8</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733.6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774.6</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1,496.3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3,844.8</w:t>
            </w:r>
          </w:p>
        </w:tc>
      </w:tr>
      <w:tr>
        <w:trPr>
          <w:trHeight w:val="458"/>
        </w:trPr>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9"/>
                <w:szCs w:val="9"/>
                <w:b w:val="1"/>
                <w:bCs w:val="1"/>
                <w:color w:val="auto"/>
              </w:rPr>
              <w:t>(1)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Germany</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84"/>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6,713.8</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2,668.4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1,126.1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320.3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11,379.8</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2,290.4</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585.8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707.7</w:t>
            </w:r>
          </w:p>
        </w:tc>
      </w:tr>
      <w:tr>
        <w:trPr>
          <w:trHeight w:val="189"/>
        </w:trPr>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3,674.3</w:t>
            </w:r>
          </w:p>
        </w:tc>
      </w:tr>
    </w:tbl>
    <w:p>
      <w:pPr>
        <w:spacing w:after="0" w:line="200" w:lineRule="exact"/>
        <w:rPr>
          <w:sz w:val="20"/>
          <w:szCs w:val="20"/>
          <w:color w:val="auto"/>
        </w:rPr>
      </w:pPr>
    </w:p>
    <w:p>
      <w:pPr>
        <w:sectPr>
          <w:pgSz w:w="11900" w:h="16838" w:orient="portrait"/>
          <w:cols w:equalWidth="0" w:num="2">
            <w:col w:w="3020" w:space="720"/>
            <w:col w:w="7500"/>
          </w:cols>
          <w:pgMar w:left="320" w:top="144" w:right="339" w:bottom="1440" w:gutter="0" w:footer="0" w:header="0"/>
          <w:type w:val="continuous"/>
        </w:sectPr>
      </w:pPr>
    </w:p>
    <w:p>
      <w:pPr>
        <w:spacing w:after="0" w:line="66" w:lineRule="exact"/>
        <w:rPr>
          <w:sz w:val="20"/>
          <w:szCs w:val="20"/>
          <w:color w:val="auto"/>
        </w:rPr>
      </w:pPr>
    </w:p>
    <w:p>
      <w:pPr>
        <w:ind w:left="160" w:hanging="152"/>
        <w:spacing w:after="0"/>
        <w:tabs>
          <w:tab w:leader="none" w:pos="160"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Represents amounts related to Europe less those attributable to Germany.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w:t>
      </w:r>
    </w:p>
    <w:p>
      <w:pPr>
        <w:spacing w:after="0" w:line="126"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As of December 31, 2021, 2020 and 2019, approximately $2,237.0 million, $2,180.6 million and $2,028.8 million, respectively, of our long-lived assets were related to the construction of our large-scale biologics manufacturing facility in Solothurn, Switzerland.</w:t>
      </w:r>
    </w:p>
    <w:p>
      <w:pPr>
        <w:spacing w:after="0" w:line="126" w:lineRule="exact"/>
        <w:rPr>
          <w:sz w:val="20"/>
          <w:szCs w:val="20"/>
          <w:color w:val="auto"/>
        </w:rPr>
      </w:pPr>
    </w:p>
    <w:p>
      <w:pPr>
        <w:ind w:right="200" w:firstLine="445"/>
        <w:spacing w:after="0" w:line="282" w:lineRule="auto"/>
        <w:rPr>
          <w:sz w:val="20"/>
          <w:szCs w:val="20"/>
          <w:color w:val="auto"/>
        </w:rPr>
      </w:pPr>
      <w:r>
        <w:rPr>
          <w:rFonts w:ascii="Arial" w:cs="Arial" w:eastAsia="Arial" w:hAnsi="Arial"/>
          <w:sz w:val="18"/>
          <w:szCs w:val="18"/>
          <w:color w:val="auto"/>
        </w:rPr>
        <w:t xml:space="preserve">For additional information on our large-scale biologics manufacturing facility in Solothurn, Switzerland, please read </w:t>
      </w:r>
      <w:r>
        <w:rPr>
          <w:rFonts w:ascii="Arial" w:cs="Arial" w:eastAsia="Arial" w:hAnsi="Arial"/>
          <w:sz w:val="18"/>
          <w:szCs w:val="18"/>
          <w:i w:val="1"/>
          <w:iCs w:val="1"/>
          <w:color w:val="auto"/>
        </w:rPr>
        <w:t>Note 10,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Plant and Equipment, </w:t>
      </w:r>
      <w:r>
        <w:rPr>
          <w:rFonts w:ascii="Arial" w:cs="Arial" w:eastAsia="Arial" w:hAnsi="Arial"/>
          <w:sz w:val="18"/>
          <w:szCs w:val="18"/>
          <w:color w:val="auto"/>
        </w:rPr>
        <w:t>to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7" w:name="page178"/>
    <w:bookmarkEnd w:id="1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REPORT OF INDEPENDENT REGISTERED PUBLIC ACCOUNTING FIRM</w:t>
      </w:r>
    </w:p>
    <w:p>
      <w:pPr>
        <w:spacing w:after="0" w:line="260"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578196"/>
        </w:rPr>
        <w:t>To the Board of Directors and Shareholders of Biogen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We have audited the accompanying consolidated balance sheets of Biogen Inc. and its subsidiaries (the “Company”) as of December 31, 2021 and 2020, and the related consolidated statements of income, of comprehensive income, of equity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5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78" w:name="page179"/>
    <w:bookmarkEnd w:id="1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Reserves for Medicaid and Managed Care Rebates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described in Notes 1 and 4 to the consolidated financial statements, the Company recognized revenue from product sales net of reserves, including Medicaid and managed care rebates. Within accrued expense and other, total contractual adjustments amounted to $759.6 million as of December 31, 2021. A portion of this balance includes provisions for Medicaid and managed care rebates in the US. Medicaid rebates relate to the Company’s estimated obligations to states under established reimbursement arrangements. The Company’s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 Managed care rebates represent the Company’s estimated obligations to third-parties, primarily pharmacy benefit managers.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 Rebate accruals for Medicaid and managed care are recorded in the same period the related revenue is recognized, resulting in a reduction of product revenue and the establishment of a liability which is included in accrued expense and other current liabilities. The Medicaid and managed care estimates reflect historical experience, current contractual and statutory requirements, specific known market events and trends, industry data and forecasted customer buying and payment patterns.</w:t>
      </w:r>
    </w:p>
    <w:p>
      <w:pPr>
        <w:spacing w:after="0" w:line="16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reserves for Medicaid and managed care rebates is a critical audit matter are the significant judgment by management due to the significant measurement uncertainty involved in developing these reserves, as the reserves are based on assumptions developed using historical experience, current contractual requirements, specific known market events and payment patterns, which in turn led to a high degree of auditor judgment, subjectivity and effort in applying procedures and evaluating audit evidence related to these assumptions.</w:t>
      </w:r>
    </w:p>
    <w:p>
      <w:pPr>
        <w:spacing w:after="0" w:line="14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reserves for Medicaid and managed care rebates, including controls over the assumptions used to estimate these Medicaid and managed care rebate reserves. These procedures also included, among others (i) developing an independent estimate of the Medicaid and managed care rebate reserves by utilizing third-party data related to product demand, data related to price changes, the terms of the specific rebate programs, the historical trend of actual rebate claims paid and consideration of contractual requirement changes and market events; (ii) comparing the independent estimate to management’s estimate; and (iii) testing rebate claims paid by the Company, including evaluating the claims for consistency with the contractual terms of the Company’s rebate agreements.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40"/>
          </w:cols>
          <w:pgMar w:left="320" w:top="144"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u w:val="single" w:color="auto"/>
          <w:color w:val="auto"/>
        </w:rPr>
        <w:t>Exhibit 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ind w:firstLine="176"/>
        <w:spacing w:after="0" w:line="263" w:lineRule="auto"/>
        <w:rPr>
          <w:sz w:val="20"/>
          <w:szCs w:val="20"/>
          <w:color w:val="auto"/>
        </w:rPr>
      </w:pPr>
      <w:r>
        <w:rPr>
          <w:rFonts w:ascii="Arial" w:cs="Arial" w:eastAsia="Arial" w:hAnsi="Arial"/>
          <w:sz w:val="18"/>
          <w:szCs w:val="18"/>
          <w:color w:val="auto"/>
        </w:rPr>
        <w:t>As of December 31, 2021, Biogen Inc. (the “Company”) has six classes of securities registered under Section 12 of the Securities Exchange Act of 1934, as amended (the “Exchange Act”): (1) Common Stock; (2) 3.625% Senior Notes due 2022; (3) 4.050% Senior Notes due 2025; (4) 2.250% Senior Notes due 2030; (5) 5.200% Senior Notes due 2045 and (6) 3.150% Senior Notes due 2050.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69862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as amended (the “Certificate of Incorporation”), and our Fourth Amended and Restated Bylaws (the “Bylaws”), each of which are incorporated by reference as an exhibit to the Annual Report on Form 10-K of which this Exhibit 4.8 is a part. We encourage you to read our Certificate of Incorporation, our Bylaws and the applicable provisions of the General Corporation Law of Delaware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1,000,000,000 shares of Common Stock, par value $0.0005 per share, and 8,000,000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rights of holders of all classes of stock at the time outstanding having prior rights as to dividends, if any, the holders of Common Stock are entitled to receive dividends, if any, as may be declared from time to time by the Board of Directors in its discretion out of funds legally available for the payment of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any preferential rights of outstanding shares of Preferred Stock, if any, holders of Common Stock will share ratably in all assets legally available for distribution to our stockholders in the event of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and Preferences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has no sinking fund or redemption provisions or preemptive, conversion or exchange rights. Holders of Common Stock may act by unanimous written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traded on The Nasdaq Stock Market LLC under the trading symbol “BIIB.”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Description of Notes Due 2022, 2025 and 2045</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of our 3.625% Senior Notes due 2022 (the “notes due 2022”), the 4.050% Senior Notes due 2025 (the “notes due 2025”) and the 5.200% Senior Notes due 2045 (the “notes due 2045” and together with the notes due 2020, the notes due 2022 and the notes due 2025, the “notes”), is a summary and does not purport to be complete. It is subject to and qualified in its entirety by reference to the indenture, dated as of September 15, 2015 (the “Base Indenture”), between Biogen Inc. and U.S. Bank National Association, as trustee, as supplemented by the first supplemental indenture dated as of September 15, 2015 (the Base Indenture, as supplemented by the fist supplemental indentures, the “Indenture”), which are incorporated by reference as exhibits to the Annual Report on Form 10-K of which this Exhibit 4.8 is a part.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Biogen Inc. and not to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right="2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due 2022 were initially limited to $1,000,000,000 aggregate principal amount. The maturity date of the notes due 2022 is September 15, 2022.</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due 2025 were initially limited to $1,750,000,000 aggregate principal amount. The maturity date of the notes due 2025 is September 15, 2025.</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notes due 2045 were initially limited to $1,750,000,000 aggregate principal amount. The maturity date of the notes due 2045 is September 15, 2045.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and the notes of such series will generally constitute a single series under the Indenture, provided that if the additional notes are not fungible with the notes of such series for U.S. federal income tax purposes, the additional notes will have a separate CUSIP number.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notes due 2022 bear interest at a fixed interest rate of 3.625%. The notes due 2025 bear interest at a fixed interest rate of 4.050%. The notes due 2045 bear interest at a fixed interest rate of 5.200%. Interest on the notes is payable semiannually on March 15 and September 15 of each year to holders of record at the close of business on the March 1 or September 1, whether or not a business day, immediately before the applicable interest payment date. The amount of interest payable on the notes is computed on the basis of a 360-day year consisting of twelve 30-day months.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notes were issued only in fully registered form, without coupons, in denominations of $2,000 and integral multiples of $1,000 in excess thereof.</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81" w:name="page182"/>
    <w:bookmarkEnd w:id="181"/>
    <w:p>
      <w:pPr>
        <w:jc w:val="both"/>
        <w:spacing w:after="0" w:line="277" w:lineRule="auto"/>
        <w:rPr>
          <w:sz w:val="20"/>
          <w:szCs w:val="20"/>
          <w:color w:val="auto"/>
        </w:rPr>
      </w:pPr>
      <w:r>
        <w:rPr>
          <w:rFonts w:ascii="Arial" w:cs="Arial" w:eastAsia="Arial" w:hAnsi="Arial"/>
          <w:sz w:val="18"/>
          <w:szCs w:val="18"/>
          <w:color w:val="auto"/>
        </w:rPr>
        <w:t>The notes are senior unsecured obligations and rank equal in right of payment with our other existing and future senior unsecured obligations, and senior in right of payment to any of our future subordinated indebtedness.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notes are effectively subordinated to any secured obligations of ours to the extent of the value of the assets securing such obligations. The notes are structurally subordinated to all existing and future obligations of our subsidiaries, including claims with respect to trade payables. This means that holders of the notes have a junior position to the claims of creditors of our direct and indirect subsidiaries on the assets and earnings of such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2022</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any time and from time to time, the notes due 2022 are redeemable, as a whole or in part, at our option, on at least 30 days, but not more than 60 days, prior notice mailed to the registered address of each holder of the notes due 2022, at a redemption price equal to the greater of:</w:t>
      </w:r>
    </w:p>
    <w:p>
      <w:pPr>
        <w:spacing w:after="0" w:line="146"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100% of principal amount of the notes due 2022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25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2025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and from time to time prior to June 15, 2025 (the date that is three months prior to maturity), the notes due 2025 are redeemable, as a whole or in part, at our option, on at least 30 days, but not more than 60 days, prior notice mailed to the registered address of each holder of the notes due 2025,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100% of principal amount of the notes due 2025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30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June 15, 2025 (the date that is three months before maturity), the notes due 2025 may be redeemed, as a whole or in part, at our option, on at least 30 days, but not more than 60 days, prior notice mailed to the registered address of each holder of the notes due 2025, at a redemption price equal to 100% of the principal amount of the notes due 2025 to be redeemed on the redemption date plus accrued and unpaid interest to, but not including, the date of redemption.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2045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and from time to time prior to March 15, 2045 (the date that is six months prior to maturity), the notes due 2045 are redeemable, as a whole or in part, at our option, on at least 30 days, but not more than 60 days, prior notice mailed to the registered address of each holder of the notes due 2045, at a redemption price equal to the greater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2" w:name="page183"/>
    <w:bookmarkEnd w:id="182"/>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100% of principal amount of the notes due 2045 to be redeemed,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interest and principal thereon (exclusive of interest accrued and unpaid to, but not including, the date of redemption) discounted to the date of redemption on a semiannual basis, assuming a 360-day year consisting of twelve 30-day months, at the Treasury Rate plus 35 basis points,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March 15, 2045 (the date that is six months before maturity), the notes due 2045 may be redeemed, as a whole or in part, at our option, on at least 30 days, but not more than 60 days, prior notice mailed to the registered address of each holder of the notes due 2045, at a redemption price equal to 100% of the principal amount of the notes due 2045 to be redeemed on the redemption date plus accrued and unpaid interest to, but not including, the date of redemption.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defined below) as having an actual or interpolated maturity comparable to the remaining term of the notes of the applicable series to be redeemed that would be utilized, at the time of selection and in accordance with customary financial practice, in pricing new issues of corporate debt securities of a comparable maturity to the remaining term of such notes.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“Reference Treasury Dealer” means each of Goldman, Sachs &amp; Co. and Merrill Lynch, Pierce, Fenner &amp; Smith Incorporated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(as defined below) in accordance with its standard procedures. If the notes to be redeemed are not global notes then held by DTC, or DTC prescribes no method of selection, the trustee will select the notes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3" w:name="page184"/>
    <w:bookmarkEnd w:id="183"/>
    <w:p>
      <w:pPr>
        <w:jc w:val="both"/>
        <w:spacing w:after="0" w:line="277" w:lineRule="auto"/>
        <w:rPr>
          <w:sz w:val="20"/>
          <w:szCs w:val="20"/>
          <w:color w:val="auto"/>
        </w:rPr>
      </w:pPr>
      <w:r>
        <w:rPr>
          <w:rFonts w:ascii="Arial" w:cs="Arial" w:eastAsia="Arial" w:hAnsi="Arial"/>
          <w:sz w:val="18"/>
          <w:szCs w:val="18"/>
          <w:color w:val="auto"/>
        </w:rPr>
        <w:t>redeemed on a pro rata basis, by lot, or by any other method the trustee deems fair and appropriate and subject to and otherwise in accordance with the procedures of DTC.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a Change of Control Triggering Event (as defined below) occurs with respect to the notes of a series, unless we have exercised our option to redeem the notes of such series as described above, we will be required to make an offer (the “Change of Control Offer”) to each holder of the notes of such series to repurchase all or any part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(as defined below), but after public announcement of the transaction that constitutes or may constitute the Change of Control, a notice will be mailed to holders of the notes of the applicable series describing the transaction that constitutes or may constitute the Change of Control Triggering Event and offering to repurchase the notes of such series on the date specified in the notice, which date will be no earlier than 30 days and no later than 60 days from the date such notice is mailed or, if the notice is mailed prior to the Change of Control, no earlier than 30 days and no later than 60 days from the date on which the Change of Control Triggering Event occurs (the “Change of Control Payment Date”). The notice will, if mailed prior to the date of consummation of the Change of Control, state that the offer to purchase is conditioned on the Change of Control Triggering Event occurring on or prior to the Change of Control Payment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25"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(as defined below)) becomes the beneficial owner (as defined in Rules 13d-3 and 13d-5 under the Exchange Act), directly or indirectly, of more than 50% of our Voting Stock (as defined below) or other Voting Stock into which our Voting Stock is reclassified,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4" w:name="page185"/>
    <w:bookmarkEnd w:id="184"/>
    <w:p>
      <w:pPr>
        <w:jc w:val="both"/>
        <w:spacing w:after="0" w:line="286" w:lineRule="auto"/>
        <w:rPr>
          <w:sz w:val="20"/>
          <w:szCs w:val="20"/>
          <w:color w:val="auto"/>
        </w:rPr>
      </w:pPr>
      <w:r>
        <w:rPr>
          <w:rFonts w:ascii="Arial" w:cs="Arial" w:eastAsia="Arial" w:hAnsi="Arial"/>
          <w:sz w:val="16"/>
          <w:szCs w:val="16"/>
          <w:color w:val="auto"/>
        </w:rPr>
        <w:t>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and the equivalent investment grade credit rating from any additional rating agency or Rating Agencies (as defined below) selected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“Rating Agencies” means (1) each of Moody’s and S&amp;P and (2) if any of Moody’s and S&amp;P ceases to rate the notes 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and which is reasonably acceptable to the trustee as a replacement agency for Moody’s or S&amp;P, or both of them, as the case may be.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“Rating Event” means (A) with respect to the notes due 2020, the rating on such notes is lowered by each of the Rating Agencies and such notes are rated below an Investment Grade Rating by each of the Rating Agencies, (B) with respect to the notes due 2022, the rating on such notes is lowered by each of the Rating Agencies and such notes are rated below an Investment Grade Rating by each of the Rating Agencies, (C) with respect to the notes due 2025, the rating on such notes is lowered by each of the Rating Agencies and such notes are rated below an Investment Grade Rating by each of the Rating Agencies and (D) with respect to the notes due 2045, the rating on such notes is lowered by each of the Rating Agencies and such notes are rated below an Investment Grade Rating by each of the Rating Agencies, in each case,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5" w:name="page186"/>
    <w:bookmarkEnd w:id="185"/>
    <w:p>
      <w:pPr>
        <w:jc w:val="both"/>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be entitled to the benefit of any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provided under “—Exempted Liens and Sale and Leaseback Transactions,” we will not, and will not permit any Subsidiary of ours to, create or assume any Indebtedness (as defined below) secured by any Lien (as defined below) on any of our or their respective Properties (as defined below) unless the notes are secured by such Lien equally and ratably with, or prior to, the Indebtedness secured by such Lien. This restriction does not apply to Indebtedness that is secured by:</w:t>
      </w:r>
    </w:p>
    <w:p>
      <w:pPr>
        <w:spacing w:after="0" w:line="187"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Liens in favor of the U.S. or any state thereof, or any instrumentality of either, to secure certain payments pursuant to any contract or statute;</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6" w:name="page187"/>
    <w:bookmarkEnd w:id="186"/>
    <w:p>
      <w:pPr>
        <w:ind w:left="66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on the assets of a special purpose Subsidiary resulting from securitization transactions with respect to accounts receivable, royalties and similar assets included in such securitization transactions;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on key-man life insurance policies granted to secure our Indebtedness against the cash surrender value thereof;</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Liens encumbering customary initial deposits and margin deposits and other Liens in the ordinary course of business, in each case securing Hedging Obligations (as defined below) and forward contract, option, futures contracts, futures options or similar agreements or arrangements designed to protect us or any of our Subsidiaries from fluctuations in interest rates, currencies or the price of commodities;</w:t>
      </w:r>
    </w:p>
    <w:p>
      <w:pPr>
        <w:spacing w:after="0" w:line="165"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of our Subsidiaries to, enter into any Sale and Leaseback Transaction (as defined below) with respect to any of our or their respective Properties, the acquisition or completion of construction and commencement of full operations of which has occurred more than 270 days prior thereto, unless:</w:t>
      </w:r>
    </w:p>
    <w:p>
      <w:pPr>
        <w:spacing w:after="0" w:line="165"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7" w:name="page188"/>
    <w:bookmarkEnd w:id="187"/>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acquisition of different property, facilities or equipment or the expansion of our existing business, including the acquisition of other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10% of Consolidated Total Assets (as defined below):</w:t>
      </w:r>
    </w:p>
    <w:p>
      <w:pPr>
        <w:spacing w:after="0" w:line="184" w:lineRule="exact"/>
        <w:rPr>
          <w:sz w:val="20"/>
          <w:szCs w:val="20"/>
          <w:color w:val="auto"/>
        </w:rPr>
      </w:pPr>
    </w:p>
    <w:p>
      <w:pPr>
        <w:ind w:left="660" w:hanging="32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70" w:lineRule="exact"/>
        <w:rPr>
          <w:sz w:val="20"/>
          <w:szCs w:val="20"/>
          <w:color w:val="auto"/>
        </w:rPr>
      </w:pPr>
    </w:p>
    <w:p>
      <w:pPr>
        <w:ind w:left="66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25"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8" w:name="page189"/>
    <w:bookmarkEnd w:id="188"/>
    <w:p>
      <w:pPr>
        <w:jc w:val="both"/>
        <w:ind w:left="660" w:hanging="328"/>
        <w:spacing w:after="0" w:line="263"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 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of the holders unless the holders offer the trustee indemnity 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70"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or security satisfactory to it against the cost and other liabilities of taking that action;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U.S. federal tax law, as described below, we can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ourselves from any payment or other obligations on the notes, called “full defeasance,” if we put in place the following other arrangements for you to be repaid:</w:t>
      </w:r>
    </w:p>
    <w:p>
      <w:pPr>
        <w:spacing w:after="0" w:line="184" w:lineRule="exact"/>
        <w:rPr>
          <w:sz w:val="20"/>
          <w:szCs w:val="20"/>
          <w:color w:val="auto"/>
        </w:rPr>
      </w:pPr>
    </w:p>
    <w:p>
      <w:pPr>
        <w:jc w:val="both"/>
        <w:ind w:left="660" w:right="20" w:hanging="328"/>
        <w:spacing w:after="0" w:line="263"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18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w:t>
      </w:r>
      <w:r>
        <w:rPr>
          <w:rFonts w:ascii="Arial" w:cs="Arial" w:eastAsia="Arial" w:hAnsi="Arial"/>
          <w:sz w:val="18"/>
          <w:szCs w:val="18"/>
          <w:i w:val="1"/>
          <w:iCs w:val="1"/>
          <w:color w:val="auto"/>
        </w:rPr>
        <w:t>.</w:t>
      </w:r>
      <w:r>
        <w:rPr>
          <w:rFonts w:ascii="Arial" w:cs="Arial" w:eastAsia="Arial" w:hAnsi="Arial"/>
          <w:sz w:val="18"/>
          <w:szCs w:val="18"/>
          <w:color w:val="auto"/>
        </w:rPr>
        <w:t xml:space="preserve">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Covenant Defeasance. </w:t>
      </w:r>
      <w:r>
        <w:rPr>
          <w:rFonts w:ascii="Arial" w:cs="Arial" w:eastAsia="Arial" w:hAnsi="Arial"/>
          <w:sz w:val="17"/>
          <w:szCs w:val="17"/>
          <w:color w:val="auto"/>
        </w:rPr>
        <w:t>We can be released from the restrictive covenants in the notes if we make the arrangements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This is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In that event, the registered holders of the notes would lose the protection of those restrictive covenants but would gain the protection of having money and securities set aside in trust to repay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In order to achieve covenant defeasance, we must do the following:</w:t>
      </w:r>
    </w:p>
    <w:p>
      <w:pPr>
        <w:spacing w:after="0" w:line="165" w:lineRule="exact"/>
        <w:rPr>
          <w:sz w:val="20"/>
          <w:szCs w:val="20"/>
          <w:color w:val="auto"/>
        </w:rPr>
      </w:pPr>
    </w:p>
    <w:p>
      <w:pPr>
        <w:jc w:val="both"/>
        <w:ind w:left="660" w:right="2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the registered holders of the notes will not recognize income, gain or loss for U.S. federal income tax purposes as a result of the covenant defeasance and that the registered holders of the notes will not be taxed on the notes any differently than if the covenant defeasance had not occurred.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we accomplish covenant defeasance, the following provisions of the Indenture and the notes would no longer apply unless otherwise specified:</w:t>
      </w:r>
    </w:p>
    <w:p>
      <w:pPr>
        <w:spacing w:after="0" w:line="237"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series of notes;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w:t>
      </w:r>
      <w:r>
        <w:rPr>
          <w:rFonts w:ascii="Arial" w:cs="Arial" w:eastAsia="Arial" w:hAnsi="Arial"/>
          <w:sz w:val="18"/>
          <w:szCs w:val="18"/>
          <w:i w:val="1"/>
          <w:iCs w:val="1"/>
          <w:color w:val="auto"/>
        </w:rPr>
        <w:t>.</w:t>
      </w:r>
      <w:r>
        <w:rPr>
          <w:rFonts w:ascii="Arial" w:cs="Arial" w:eastAsia="Arial" w:hAnsi="Arial"/>
          <w:sz w:val="18"/>
          <w:szCs w:val="18"/>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Depending on the event causing the default, of course, you may not be able to obtain payment of the shortfall.</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deposit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90" w:name="page191"/>
    <w:bookmarkEnd w:id="190"/>
    <w:p>
      <w:pPr>
        <w:jc w:val="both"/>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184"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modification and waiver except to increase the voting requirements.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70" w:lineRule="exact"/>
        <w:rPr>
          <w:sz w:val="20"/>
          <w:szCs w:val="20"/>
          <w:color w:val="auto"/>
        </w:rPr>
      </w:pPr>
    </w:p>
    <w:p>
      <w:pPr>
        <w:ind w:left="66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comply with the requirements of the U.S. Securities and Exchange Commission (“SEC”) in order to maintain the qualification of the Indenture under the Trust Indenture Act of 1939;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1" w:right="3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425387_1</w:t>
      </w:r>
    </w:p>
    <w:p>
      <w:pPr>
        <w:sectPr>
          <w:pgSz w:w="11900" w:h="16838" w:orient="portrait"/>
          <w:cols w:equalWidth="0" w:num="1">
            <w:col w:w="11240"/>
          </w:cols>
          <w:pgMar w:left="320" w:top="1421" w:right="339" w:bottom="1440" w:gutter="0" w:footer="0" w:header="0"/>
          <w:type w:val="continuous"/>
        </w:sectPr>
      </w:pPr>
    </w:p>
    <w:bookmarkStart w:id="191" w:name="page192"/>
    <w:bookmarkEnd w:id="191"/>
    <w:p>
      <w:pPr>
        <w:ind w:left="660" w:hanging="328"/>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to conform the Indenture or the notes to the description thereof set forth in the prospectus supplement and in the accompanying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70" w:lineRule="exact"/>
        <w:rPr>
          <w:sz w:val="20"/>
          <w:szCs w:val="20"/>
          <w:color w:val="auto"/>
        </w:rPr>
      </w:pPr>
    </w:p>
    <w:p>
      <w:pPr>
        <w:ind w:left="660" w:hanging="328"/>
        <w:spacing w:after="0" w:line="277"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we have complied with all these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trustee is U.S. Bank National Association. U.S. Bank National Association is also the initial paying agent and registrar for the notes.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8"/>
          <w:szCs w:val="18"/>
          <w:i w:val="1"/>
          <w:iCs w:val="1"/>
          <w:color w:val="auto"/>
        </w:rPr>
        <w:t>.</w:t>
      </w:r>
      <w:r>
        <w:rPr>
          <w:rFonts w:ascii="Arial" w:cs="Arial" w:eastAsia="Arial" w:hAnsi="Arial"/>
          <w:sz w:val="18"/>
          <w:szCs w:val="18"/>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under the Indenture is permitted to engage in other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if the trustee under the Indenture acquires any prohibited conflicting interest, it must eliminate the conflict or resign.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“Capitalized Lease” means any obligation of a Person to pay rent or other amounts incurred with respect to real property or equipment acquired or leased by such Person and used in its business that is required to be recorded as a capital lease in accordance with generally accepted accounting principles.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“Hedging Obligations” means, with respect to any specified Person, the obligations of such Person under:</w:t>
      </w:r>
    </w:p>
    <w:p>
      <w:pPr>
        <w:spacing w:after="0" w:line="225" w:lineRule="exact"/>
        <w:rPr>
          <w:sz w:val="20"/>
          <w:szCs w:val="20"/>
          <w:color w:val="auto"/>
        </w:rPr>
      </w:pPr>
    </w:p>
    <w:p>
      <w:pPr>
        <w:ind w:left="660" w:hanging="328"/>
        <w:spacing w:after="0" w:line="277" w:lineRule="auto"/>
        <w:tabs>
          <w:tab w:leader="none" w:pos="65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other agreements or arrangements designed to protect such Person against fluctuations in currency exchange rates or commodity prices.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Capitalized Leases; 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means any property or asset, whether real, personal or mixed or tangible or intangible.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of each series is represented by one or more fully registered global notes, without interest coupons, was deposited upon issuance with the trustee as custodian for The Depository Trust Company (“DTC”), and registered in the name of Cede &amp; Co. or its nominee, in each case, for credit to an account of a direct or indirect participant as described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limited circumstances.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may be presented for registration of transfer and exchange at the offices of the trustee as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Euroclear Bank, S.A./N.V. and Clearstream Luxembourg, </w:t>
      </w:r>
      <w:r>
        <w:rPr>
          <w:rFonts w:ascii="Arial" w:cs="Arial" w:eastAsia="Arial" w:hAnsi="Arial"/>
          <w:sz w:val="18"/>
          <w:szCs w:val="18"/>
          <w:i w:val="1"/>
          <w:iCs w:val="1"/>
          <w:color w:val="auto"/>
        </w:rPr>
        <w:t>société</w:t>
      </w:r>
      <w:r>
        <w:rPr>
          <w:rFonts w:ascii="Arial" w:cs="Arial" w:eastAsia="Arial" w:hAnsi="Arial"/>
          <w:sz w:val="18"/>
          <w:szCs w:val="18"/>
          <w:color w:val="auto"/>
        </w:rPr>
        <w:t xml:space="preserve"> </w:t>
      </w:r>
      <w:r>
        <w:rPr>
          <w:rFonts w:ascii="Arial" w:cs="Arial" w:eastAsia="Arial" w:hAnsi="Arial"/>
          <w:sz w:val="18"/>
          <w:szCs w:val="18"/>
          <w:i w:val="1"/>
          <w:iCs w:val="1"/>
          <w:color w:val="auto"/>
        </w:rPr>
        <w:t>anonyme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Description of Notes Due 2030 and 2050</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description of our 2.250% Senior Notes due 2030 (the “notes due 2030”) and the 3.150% Senior Notes due 2050 (the “notes due 2050” and, together with the notes due 2030, the “notes”), is a summary and does not purport to be complete. It is subject to and qualified in its entirety by reference to the indenture dated as of September 15, 2015, between Biogen Inc. and U.S. Bank National Association, as trustee, as supplemented by a supplemental indenture, dated as of April 30, 2020, between Biogen Inc. and the trustee, as the “indenture.” The terms of the notes include those stated in the indenture and those made part of the indenture by reference to the Trust Indenture Act of 1939. A copy of the indenture is available for inspection at the office of the trustee.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Description of Notes, the terms “the Company,” “we,” “our,” “us” and other similar references refer only to Biogen Inc. and not to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notes due 2030 were initially limited to $1,500,000,000 aggregate principal amount. The maturity date of the notes due 2030 is May 1, 2030.</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notes due 2050 were initially limited to $1,500,000,000 aggregate principal amount. The maturity date of the notes due 2050 is May 1, 2050.</w:t>
      </w:r>
    </w:p>
    <w:p>
      <w:pPr>
        <w:spacing w:after="0" w:line="24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from time to time, without notice to or the consent of the holders or beneficial owners of the notes, create and issue additional notes of any of the series having the same ranking and the same interest rate, maturity and other terms as the notes of the applicable series. Any additional notes having such similar terms, together with that series of notes, could be considered part of the same series of notes under the indenture; provided that if the additional notes are not fungible with the notes of such series for U.S. federal income tax purposes, the additional notes will have a separate CUSIP number.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Principal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due 2030 bear interest at a fixed rate of 2.250%. The notes due 2050 bear interest at a fixed interest rate of 3.150%. Interest will be payable semiannually on November 1 and May 1 of each year, beginning November 1, 2020. Interest on the notes is paid to holders of record at the close of business on the October 15 or April 15, whether or not a business day, immediately before the applicable interest payment date. The amount of interest payable on the notes is computed on the basis of a 360-day year consisting of twelve 30-day months.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notes were issued only in fully registered form, without coupons, in denominations of $2,000 and integral multiples of $1,000 in excess thereof.</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interest payment date or the maturity date of the notes is not a business day, then the related payment of interest and/or principal payable on such date will be paid on the next succeeding business day with the same force and effect as if made on such interest payment date or maturity date and no further interest will accrue in respect of the delay. The term “business day” means any day other than a Saturday, a Sunday or any other day on which banking institutions in The City of New York are authorized or required by law, regulation or executive order to close.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senior unsecured obligations and rank equal in right of payment with our other existing and future senior unsecured obligations and senior in right of payment to any of our future 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17" w:right="339" w:bottom="1440" w:gutter="0" w:footer="0" w:header="0"/>
        </w:sectPr>
      </w:pPr>
    </w:p>
    <w:bookmarkStart w:id="195" w:name="page196"/>
    <w:bookmarkEnd w:id="195"/>
    <w:p>
      <w:pPr>
        <w:jc w:val="both"/>
        <w:ind w:right="20"/>
        <w:spacing w:after="0" w:line="277" w:lineRule="auto"/>
        <w:rPr>
          <w:sz w:val="20"/>
          <w:szCs w:val="20"/>
          <w:color w:val="auto"/>
        </w:rPr>
      </w:pPr>
      <w:r>
        <w:rPr>
          <w:rFonts w:ascii="Arial" w:cs="Arial" w:eastAsia="Arial" w:hAnsi="Arial"/>
          <w:sz w:val="18"/>
          <w:szCs w:val="18"/>
          <w:color w:val="auto"/>
        </w:rPr>
        <w:t>The notes are effectively subordinated to all of our existing and future secured indebtedness and other secured liabilities to the extent of the value of the assets securing such indebtedness and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are structurally subordinated to all existing and future obligations of our subsidiaries, including claims with respect to trade payables. This means that holders of the notes have a junior position to the claims of creditors of our direct and indirect subsidiaries on the assets and earnings of such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prior to the Par Call Date (as defined below) for the notes due 2030, and from time to time, the notes due 2030 are redeemable as a whole or in part, at our option, on at least 10 days, but not more than 60 days, prior notice mailed to the registered address of each holder of the notes due 2030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100% of principal amount of the notes due 2030 to be redeemed, or</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(through the Par Call Date for the notes due 2030 assuming for such purpose that such notes matured on the Par Call Date for the notes due 2030) of interest and principal thereon (exclusive of interest accrued and unpaid to, but not including, the date of redemption) discounted to the date of redemption on a semiannual basis, assuming a 360-day year consisting of twelve 30-day months, at the Treasury Rate (as defined below) plus 25 basis points, in the case of notes due 2030.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or after the Par Call Date for the notes due 2030, the notes due 2030 may be redeemed, as a whole or in part, at our option, on at least 10 days, but not more than 60 days, prior notice mailed to the registered address of each holder of the notes to be redeemed (or otherwise delivered in accordance with the applicable procedures of DTC), at a redemption price equal to 100% of the principal amount of the notes to be redeemed on the redemption date plus accrued and unpaid interest to, but not including, the date of redemption.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 of notes due 2050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any time prior to the Par Call Date for the notes due 2050, and from time to time, the notes due 2050 are redeemable as a whole or in part, at our option, on at least 10 days, but not more than 60 days, prior notice mailed to the registered address of each holder of the notes due 2050 at a redemption price equal to the greater of:</w:t>
      </w:r>
    </w:p>
    <w:p>
      <w:pPr>
        <w:spacing w:after="0" w:line="184"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100% of principal amount of the notes due 2050 to be redeemed, or</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sum of the present values of the remaining scheduled payments (through the Par Call Date for the notes due 2050 assuming for such purpose that such notes matured on the Par Call Date for the notes due 2050) of interest and principal thereon (exclusive of interest accrued and unpaid to, but not including, the date of redemption) discounted to the date of redemption on a semiannual basis, assuming a 360-day year consisting of twelve 30-day months, at the Treasury Rate (as defined below) plus 30 basis points, in the case of notes due 2050.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to, but not including, the date of redemption.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defined below) as having an actual or interpolated maturity comparable to the remaining term of the notes of the applicable series (“Remaining Life”) to be redeemed that would be utilized, at the time of selection and in accordance with customary financial practice, in pricing new issues of corporate debt securities of a comparable maturity to the remaining term of such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6" w:name="page197"/>
    <w:bookmarkEnd w:id="196"/>
    <w:p>
      <w:pPr>
        <w:jc w:val="both"/>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(as defined below)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“Independent Investment Banker” means one of the Reference Treasury Dealers (as defined below) appointed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 Call Date” means:</w:t>
      </w:r>
    </w:p>
    <w:p>
      <w:pPr>
        <w:spacing w:after="0" w:line="239"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the notes due 2030, February 1, 2030 (three months prior to the maturity date of the notes due 2030);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the notes due 2050, November 1, 2049 (six months prior to the maturity date of the notes due 2050).</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 Treasury Dealer” means each of Goldman Sachs &amp; Co. LLC, BofA Securities, Inc. and J.P. Morgan Securities LLC, or their respective affiliates, which are primary U.S. Government securities dealers in The City of New York, and their respective successors plus three other primary U.S. Government securities dealers in The City of New York selected by us; provided, however, that if any of the foregoing or their affiliates shall cease to be a primary U.S. Government securities dealer in The City of New York (a “Primary Treasury Dealer”), we will substitute therefor another Primary Treasury Dealer.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“Treasury Rate” means, with respect to any redemption date: (1) the rate per annum equal to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provided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and after the redemption date for the notes of the applicable series, interest will cease to accrue on the notes of that series or any portion thereof called for redemption, unless we default in the payment of the redemption price. On or before the redemption date for the notes of that series, we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our discretion, be subject to one or more conditions precedent, and, at our discretion, the redemption date may be delayed until such time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7" w:name="page198"/>
    <w:bookmarkEnd w:id="197"/>
    <w:p>
      <w:pPr>
        <w:jc w:val="both"/>
        <w:spacing w:after="0" w:line="263" w:lineRule="auto"/>
        <w:rPr>
          <w:sz w:val="20"/>
          <w:szCs w:val="20"/>
          <w:color w:val="auto"/>
        </w:rPr>
      </w:pPr>
      <w:r>
        <w:rPr>
          <w:rFonts w:ascii="Arial" w:cs="Arial" w:eastAsia="Arial" w:hAnsi="Arial"/>
          <w:sz w:val="18"/>
          <w:szCs w:val="18"/>
          <w:color w:val="auto"/>
        </w:rPr>
        <w:t>any or all such conditions shall be satisfied. We will provide written notice to the trustee prior to the close of business two business days prior to the redemption date if any such redemption has been rescinded or delayed, and upon receipt the trustee shall provide such notice to each holder of the notes in the same manner in which the notice of redemption was given.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a Change of Control Triggering Event (as defined below) occurs with respect to the notes of a series, unless we have exercised our option to redeem the notes of such series as described above, we will be required to make an offer (the “Change of Control Offer”) to each holder of the notes of such series to repurchase all or any part of that holder’s notes of such series on the terms set forth in such notes. In the Change of Control Offer, we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our option, prior to any Change of Control (as defined below), but after public announcement of the transaction that constitutes or may constitute the Change of Control, a notice will be mailed (or otherwise delivered in accordance with the applicable procedures of DTC) to 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to the extent lawful:</w:t>
      </w:r>
    </w:p>
    <w:p>
      <w:pPr>
        <w:spacing w:after="0" w:line="225"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8" w:name="page199"/>
    <w:bookmarkEnd w:id="198"/>
    <w:p>
      <w:pPr>
        <w:jc w:val="both"/>
        <w:spacing w:after="0" w:line="284" w:lineRule="auto"/>
        <w:rPr>
          <w:sz w:val="20"/>
          <w:szCs w:val="20"/>
          <w:color w:val="auto"/>
        </w:rPr>
      </w:pPr>
      <w:r>
        <w:rPr>
          <w:rFonts w:ascii="Arial" w:cs="Arial" w:eastAsia="Arial" w:hAnsi="Arial"/>
          <w:sz w:val="16"/>
          <w:szCs w:val="16"/>
          <w:color w:val="auto"/>
        </w:rPr>
        <w:t>“Change of Control” means the occurrence of any of the following: (1) the consummation of any transaction (including, without limitation, any merger or consolidation) the result of which is that any “person” (as that term is used in Section 13(d) of the Exchange Act) (other than us or one of our Subsidiaries (as defined below)) becomes the beneficial owner (as defined in Rules 13d-3 and 13d-5 under the Exchange Act), directly or indirectly, of more than 50% of our Voting Stock (as defined below) or other Voting Stock into which our Voting Stock is reclassified, consolidated, exchanged or changed, measured by voting power rather than number of shares; provided, however, that a Person (as defined below)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w:t>
      </w:r>
    </w:p>
    <w:p>
      <w:pPr>
        <w:spacing w:after="0" w:line="1" w:lineRule="exact"/>
        <w:rPr>
          <w:sz w:val="20"/>
          <w:szCs w:val="20"/>
          <w:color w:val="auto"/>
        </w:rPr>
      </w:pPr>
    </w:p>
    <w:p>
      <w:pPr>
        <w:jc w:val="both"/>
        <w:ind w:firstLine="8"/>
        <w:spacing w:after="0" w:line="267" w:lineRule="auto"/>
        <w:tabs>
          <w:tab w:leader="none" w:pos="269"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our assets and the assets of our Subsidiaries, taken as a whole, to one or more “persons” (as that term is used in Section 13(d) of the Exchange Act) (other than to us or one of our Subsidiaries) (a “Transferee”), provided, however, that none of the circumstances in this clause (2) will be a Change of Control if the persons that beneficially own our Voting Stock immediately prior to the transaction own, directly or indirectly, shares representing a majority of the total Voting Stock as measured by voting power rather than number of shares of the Transferee; (3) we consolidate with, or merge with or into, any “person” (as that term is used in Section 13(d) of the Exchange Act) or any such Person consolidates with, or merges with or into, us, in either case, pursuant to a transaction in which any of our outstanding Voting Stock or the Voting Stock of such other Person is converted into or exchanged for cash, securities or other property, other than pursuant to a transaction in which shares of our Voting Stock outstanding immediately prior to the transaction constitute, or are converted into or exchanged for, a majority of the Voting Stock of the surviving Person immediately after giving effect to such transaction; or (4) the adoption of a plan relating to our liquidation or dissolution.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 (as defined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“Fitch” means Fitch Inc., or any successor thereto.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Grade Rating” means a rating equal to or higher than Baa3 (or the equivalent) by Moody’s (as defined below) and BBB- (or the equivalent) by S&amp;P (as defined below) or Fitch, and the equivalent investment grade credit rating from any additional rating agency or Rating Agencies (as defined below) selected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“Rating Agencies” means (1) each of Fitch, Moody’s and S&amp;P and (2) if any of Fitch, Moody’s and S&amp;P ceases to rate the notes or fails to make a rating of the notes publicly available for reasons outside of our control, a “nationally recognized statistical rating organization” within the meaning of Rule 15c3-1(c)</w:t>
      </w:r>
    </w:p>
    <w:p>
      <w:pPr>
        <w:jc w:val="both"/>
        <w:ind w:right="20"/>
        <w:spacing w:after="0" w:line="260" w:lineRule="auto"/>
        <w:rPr>
          <w:sz w:val="20"/>
          <w:szCs w:val="20"/>
          <w:color w:val="auto"/>
        </w:rPr>
      </w:pPr>
      <w:r>
        <w:rPr>
          <w:rFonts w:ascii="Arial" w:cs="Arial" w:eastAsia="Arial" w:hAnsi="Arial"/>
          <w:sz w:val="18"/>
          <w:szCs w:val="18"/>
          <w:color w:val="auto"/>
        </w:rPr>
        <w:t>(2)(vi)(F) under the Exchange Act selected by us (as certified by a resolution of our board of directors) and which is reasonably acceptable to the trustee as a replacement agency for Fitch, Moody’s or S&amp;P, or all of them, as the case may be.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“Rating Event” means with respect to either series of notes, the rating on such notes is lowered by at least two of the three Rating Agencies and such notes are rated below an Investment Grade Rating by at least two of the three Rating Agencies, on any day during the period commencing on the earlier of the date of the first public notice of the occurrence of a Change of Control or our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199" w:name="page200"/>
    <w:bookmarkEnd w:id="199"/>
    <w:p>
      <w:pPr>
        <w:jc w:val="both"/>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not entitled to the benefit of any sinking fund.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Liens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provided in this section or as provided under “—Exempted Liens and Sale and Leaseback Transactions,” we will not, and will not permit any Subsidiary of ours to, create or assume any Indebtedness (as defined below) secured by any Lien (as defined below) on any of our or their respective Principal Properties (as defined below) unless the notes are secured by such Lien (as defined below) equally and ratably with, or prior to, the Indebtedness secured by such Lien. This restriction does not apply to Indebtedness that is secured by:</w:t>
      </w:r>
    </w:p>
    <w:p>
      <w:pPr>
        <w:spacing w:after="0" w:line="187"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existing on the date of the issuance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securing only the notes;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on property or shares of stock in respect of Indebtedness of a Person existing at the time such Person becomes a Subsidiary of ours or is merged into or consolidated with, or its assets are acquired by, us or any Subsidiary of ours (provided that such Lien was not incurred in anticipation of such transaction and was in existence prior to such transaction) so long as such Lien does not extend to any other property and the Indebtedness so secured is not increased;</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to secure Indebtedness incurred for the purpose of all or any part of a property’s purchase price or cost of construction or additions, repairs, alterations, or other improvements; provided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w:t>
      </w:r>
    </w:p>
    <w:p>
      <w:pPr>
        <w:spacing w:after="0" w:line="192"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Liens in favor of the U.S. or any state thereof, or any instrumentality of either, to secure certain payments pursuant to any contract or statute;</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title exceptions, easements, licenses, leases and other similar Liens that are not consensual and that do not materially impair the use of the property subject thereto;</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to secure obligations under worker’s compensation laws, unemployment compensation, old-age pensions and other social security benefits or similar legislation;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arising out of legal proceedings, including Liens arising out of judgments or awards;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0" w:name="page201"/>
    <w:bookmarkEnd w:id="200"/>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incurred to secure the performance of statutory obligations, surety or appeal bonds, performance or return-of-money bonds, insurance, self-insurance or other obligations of a like nature incurred in the ordinary course of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that are rights of set-off relating to the establishment of depository relations with banks not given in connection with the issuance of Indebtedness;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us or any of our Subsidiaries in the ordinary course of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in our favor or the favor of any of our Subsidiaries; or</w:t>
      </w:r>
    </w:p>
    <w:p>
      <w:pPr>
        <w:spacing w:after="0" w:line="22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Liens to secure any extension, renewal, refinancing or refunding (or successive extensions, renewals, refinancings or refundings), in whole or in part, of any Indebtedness secured by Liens referred to in the foregoing bullets or Liens created in connection with any amendment, consent or waiver relating to such Indebtedness, so long as such Lien does not extend to any other Principal Property and the Indebtedness so secured does not exceed the fair market value (as determined by our board of directors) of the assets subject to such Liens at the time of such extension, renewal, refinancing or refunding, or such amendment, consent or waiver, as the case may be.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Sale and Leaseback Transactions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Other than as provided under “—Exempted Liens and Sale and Leaseback Transactions,” we will not, and will not permit any of our Subsidiaries to, enter into any Sale and Leaseback Transaction (as defined below) with respect to any of our or their respective Principal Properties, the acquisition or completion of construction and commencement of full operations of which has occurred more than 270 days prior thereto, unless:</w:t>
      </w:r>
    </w:p>
    <w:p>
      <w:pPr>
        <w:spacing w:after="0" w:line="165"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transaction was entered into prior to the first issue date of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us of any property by one of our Subsidiaries;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or such Subsidiary would be entitled to incur Indebtedness secured by a mortgage on the property to be leased in an amount equal to the Attributable Debt (as defined below) with respect to such Sale and Leaseback Transaction without equally and ratably securing the notes pursuant to the first paragraph of “—Limitation on Liens” above;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lease is for a period not in excess of five years, including renewal rights; or</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or the Subsidiary, prior to or within 270 days after the sale of such property in connection with the Sale and Leaseback Transaction is completed, applies the net cash proceeds of the sale of the property leased to:</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the retirement of the notes or debt of ours ranking equally with the notes or to the retirement of any debt of a Subsidiary of ours, or</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acquisition of another Principal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Exempted Liens and Sale and Leaseback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restrictions described under the headings “—Limitation on Liens” or “—Limitation on Sale and Leaseback Transactions,” we or any Subsidiary of ours may create or assume any Liens or enter into any Sale and Leaseback Transactions not otherwise permitted as described above, if the sum of the following does not exceed 15% of Consolidated Total Assets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1" w:name="page202"/>
    <w:bookmarkEnd w:id="201"/>
    <w:p>
      <w:pPr>
        <w:ind w:left="660" w:hanging="328"/>
        <w:spacing w:after="0" w:line="277"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outstanding Indebtedness secured by such Liens (not including any Liens permitted under “—Limitation on Liens” which amount does not include any Liens permitted under the provisions of this “—Exempted Liens and Sale and Leaseback Transactions”); plus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Attributable Debt in respect of such Sale and Leaseback Transaction entered into (not including any Sale and Leaseback Transactions permitted under “—Limitation on Sale and Leaseback Transactions” which amount does not include any Sale and Leaseback Transactions permitted under the provisions of this “—Exempted Liens and Sale and Leaseback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measured, in each case, at the time such Lien is incurred or any such Sale and Leaseback Transaction is entered into by us or such Subsidiary of ours.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merge or consolidate with another Person and may sell, transfer or lease all or substantially all of our assets to another Person if all the following conditions are met:</w:t>
      </w:r>
    </w:p>
    <w:p>
      <w:pPr>
        <w:spacing w:after="0" w:line="170" w:lineRule="exact"/>
        <w:rPr>
          <w:sz w:val="20"/>
          <w:szCs w:val="20"/>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merger, consolidation or sale of assets must not cause an event of default. See “—Events of Default.” An event of default for this purpose would also include any event that would be an event of default if the notice or time requirements were disregarded;</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be organized under the laws of the U.S., any state thereof or the District of Columbia;</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we are not the surviving entity, the Person we would merge or consolidate with, or sell all or substantially all of our assets to, must expressly assume by supplemental indenture all of our obligations under the notes and the indenture;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must deliver specific certification and documents to the trustee.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 “event of default” in respect of each series of the notes means any of the following:</w:t>
      </w:r>
    </w:p>
    <w:p>
      <w:pPr>
        <w:spacing w:after="0" w:line="225"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the notes of that series on its due date;</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do not pay interest on the notes of that series within 30 days of its due date whether at maturity, upon redemption or upon acceleration (unless the entire amount of the payment is deposited by us with the trustee or with a paying agent for application to pay such interest prior to the expiration of the 30-day period);</w:t>
      </w:r>
    </w:p>
    <w:p>
      <w:pPr>
        <w:spacing w:after="0" w:line="18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we remain in breach of a covenant in respect of the notes of that series for 90 days after we receive a written notice of default in accordance with the provisions of the indenture stating we are in breach and requiring that we remedy the breach;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occur with respect to us or any significant Subsidiary of ours.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event of default (other than due to certain events in bankruptcy, insolvency or reorganization) with respect to the notes of a series has occurred and has not been cured, the trustee or the holders of at least 25% in aggregate principal amount of the notes of that series may, by a notice in writing to us (and to the trustee if given by the holders), declare the entire principal amount (and premium, if any) of, and all the accrued and unpaid interest on the notes of that series to be due and immediately payable. This is called a declaration of acceleration of maturity.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2" w:name="page203"/>
    <w:bookmarkEnd w:id="202"/>
    <w:p>
      <w:pPr>
        <w:jc w:val="both"/>
        <w:spacing w:after="0" w:line="257" w:lineRule="auto"/>
        <w:rPr>
          <w:sz w:val="20"/>
          <w:szCs w:val="20"/>
          <w:color w:val="auto"/>
        </w:rPr>
      </w:pPr>
      <w:r>
        <w:rPr>
          <w:rFonts w:ascii="Arial" w:cs="Arial" w:eastAsia="Arial" w:hAnsi="Arial"/>
          <w:sz w:val="18"/>
          <w:szCs w:val="18"/>
          <w:color w:val="auto"/>
        </w:rPr>
        <w:t>event of default with respect to the notes of any of the series occurs because of certain events in bankruptcy, insolvency or reorganization relating to us, the principal amount of the notes of that series will be automatically accelerated, without any action by the trustee or any holder. Holders of a majority in aggregate principal amount of the notes of a series may also waive certain past defaults under the indenture on behalf of all of the holders of the notes of that series. A declaration of acceleration of maturity with respect to the notes of a series may be canceled, under specific circumstances, by the holders of at least a majority in aggregate principal amount of the notes of that series.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each fiscal year, to furnish to the trustee a statement as to our compliance with the indenture. The trustee will generally give the holders of notes notice within 90 days of the occurrence of an event of default known to the trustee.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of the holders unless the holders offer the trustee indemnity and/or security satisfactory to it. If indemnity or security satisfactory to the trustee is provided, the holders of a majority in aggregate principal amount of the notes of the applicable series may, with respect to the notes of that series,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the right, remedy or event of default.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Before you are allowed to bypass the trustee and bring a lawsuit or other formal legal action or take other steps to enforce your rights or protect your interests relating to the notes of the applicable series, the following must occur:</w:t>
      </w:r>
    </w:p>
    <w:p>
      <w:pPr>
        <w:spacing w:after="0" w:line="170"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of that series must make a written request that the trustee take action because of the default and must offer the trustee indemnity and/or security satisfactory to it against the cost and other liabilities of taking that action;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and/or security; and</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of that series must not have given the trustee a direction inconsistent with the above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However, you are entitled at any time to bring a lawsuit for the payment of money due on your notes on or after the due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Full Defeasance</w:t>
      </w:r>
      <w:r>
        <w:rPr>
          <w:rFonts w:ascii="Arial" w:cs="Arial" w:eastAsia="Arial" w:hAnsi="Arial"/>
          <w:sz w:val="18"/>
          <w:szCs w:val="18"/>
          <w:color w:val="auto"/>
        </w:rPr>
        <w:t>. If the Internal Revenue Service issues a ruling or there is a change in applicable U.S. federal tax law, as described below, we can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release ourselves from any payment or other obligations on the notes, called “full defeasance,” if we put in place the following other arrangements for you to be repaid:</w:t>
      </w:r>
    </w:p>
    <w:p>
      <w:pPr>
        <w:spacing w:after="0" w:line="184" w:lineRule="exact"/>
        <w:rPr>
          <w:sz w:val="20"/>
          <w:szCs w:val="20"/>
          <w:color w:val="auto"/>
        </w:rPr>
      </w:pPr>
    </w:p>
    <w:p>
      <w:pPr>
        <w:jc w:val="both"/>
        <w:ind w:left="660" w:right="20" w:hanging="328"/>
        <w:spacing w:after="0" w:line="263"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possibly, their earliest redemption date; and</w:t>
      </w:r>
    </w:p>
    <w:p>
      <w:pPr>
        <w:spacing w:after="0" w:line="183"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you will not recognize income, gain or loss for U.S. federal income tax purposes as a result of the full defeasance and that you will not be taxed on the notes any differently than if the full defeasance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3" w:name="page204"/>
    <w:bookmarkEnd w:id="203"/>
    <w:p>
      <w:pPr>
        <w:jc w:val="both"/>
        <w:spacing w:after="0" w:line="263" w:lineRule="auto"/>
        <w:rPr>
          <w:sz w:val="20"/>
          <w:szCs w:val="20"/>
          <w:color w:val="auto"/>
        </w:rPr>
      </w:pPr>
      <w:r>
        <w:rPr>
          <w:rFonts w:ascii="Arial" w:cs="Arial" w:eastAsia="Arial" w:hAnsi="Arial"/>
          <w:sz w:val="18"/>
          <w:szCs w:val="18"/>
          <w:color w:val="auto"/>
        </w:rPr>
        <w:t>If we accomplish full defeasance, as described above, you would have to rely solely on the trust deposit for repayment on the notes. You could not look to us for repayment in the unlikely event of any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Conversely, the trust deposit would most likely be protected from claims of our lenders and other creditors if we ever become bankrupt or insolvent.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Covenant Defeasance. </w:t>
      </w:r>
      <w:r>
        <w:rPr>
          <w:rFonts w:ascii="Arial" w:cs="Arial" w:eastAsia="Arial" w:hAnsi="Arial"/>
          <w:sz w:val="17"/>
          <w:szCs w:val="17"/>
          <w:color w:val="auto"/>
        </w:rPr>
        <w:t>We can be released from the restrictive covenants in the notes if we make the arrangements described below</w:t>
      </w:r>
      <w:r>
        <w:rPr>
          <w:rFonts w:ascii="Arial" w:cs="Arial" w:eastAsia="Arial" w:hAnsi="Arial"/>
          <w:sz w:val="17"/>
          <w:szCs w:val="17"/>
          <w:i w:val="1"/>
          <w:iCs w:val="1"/>
          <w:color w:val="auto"/>
        </w:rPr>
        <w:t xml:space="preserve">. </w:t>
      </w:r>
      <w:r>
        <w:rPr>
          <w:rFonts w:ascii="Arial" w:cs="Arial" w:eastAsia="Arial" w:hAnsi="Arial"/>
          <w:sz w:val="17"/>
          <w:szCs w:val="17"/>
          <w:color w:val="auto"/>
        </w:rPr>
        <w:t>This is called</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 defeasance.” In that event, the registered holders of the notes would lose the protection of those restrictive covenants but would gain the protection of having money and securities set aside in trust to repay the notes</w:t>
      </w:r>
      <w:r>
        <w:rPr>
          <w:rFonts w:ascii="Arial" w:cs="Arial" w:eastAsia="Arial" w:hAnsi="Arial"/>
          <w:sz w:val="17"/>
          <w:szCs w:val="17"/>
          <w:i w:val="1"/>
          <w:iCs w:val="1"/>
          <w:color w:val="auto"/>
        </w:rPr>
        <w:t>.</w:t>
      </w:r>
      <w:r>
        <w:rPr>
          <w:rFonts w:ascii="Arial" w:cs="Arial" w:eastAsia="Arial" w:hAnsi="Arial"/>
          <w:sz w:val="17"/>
          <w:szCs w:val="17"/>
          <w:color w:val="auto"/>
        </w:rPr>
        <w:t xml:space="preserve"> In order to achieve covenant defeasance, we must do the following:</w:t>
      </w:r>
    </w:p>
    <w:p>
      <w:pPr>
        <w:spacing w:after="0" w:line="165" w:lineRule="exact"/>
        <w:rPr>
          <w:sz w:val="20"/>
          <w:szCs w:val="20"/>
          <w:color w:val="auto"/>
        </w:rPr>
      </w:pPr>
    </w:p>
    <w:p>
      <w:pPr>
        <w:jc w:val="both"/>
        <w:ind w:left="660" w:right="20" w:hanging="328"/>
        <w:spacing w:after="0" w:line="263"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registered holders of the notes, money, U.S. government or U.S. government agency notes or bonds or a combination thereof that will generate enough cash to make interest, principal and any other payments on the notes on their various due dates, including their earliest possible redemption date;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that under current U.S. federal income tax law you will not recognize income, gain or loss for U.S. federal income tax purposes as a result of the covenant defeasance and that you will not be taxed on the notes any differently than if the covenant defeasance had not occurred.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If we accomplish covenant defeasance, the following provisions of the indenture and the notes would no longer apply unless otherwise specified:</w:t>
      </w:r>
    </w:p>
    <w:p>
      <w:pPr>
        <w:spacing w:after="0" w:line="237"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our promises regarding conduct of our business and other matters and any other covenants applicable to the series of notes;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definition of an event of default as a breach of such covenants.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accomplish covenant defeasance, you can still look to us for repayment of the notes if there were a shortfall in the trust deposit</w:t>
      </w:r>
      <w:r>
        <w:rPr>
          <w:rFonts w:ascii="Arial" w:cs="Arial" w:eastAsia="Arial" w:hAnsi="Arial"/>
          <w:sz w:val="18"/>
          <w:szCs w:val="18"/>
          <w:i w:val="1"/>
          <w:iCs w:val="1"/>
          <w:color w:val="auto"/>
        </w:rPr>
        <w:t>.</w:t>
      </w:r>
      <w:r>
        <w:rPr>
          <w:rFonts w:ascii="Arial" w:cs="Arial" w:eastAsia="Arial" w:hAnsi="Arial"/>
          <w:sz w:val="18"/>
          <w:szCs w:val="18"/>
          <w:color w:val="auto"/>
        </w:rPr>
        <w:t xml:space="preserve"> In fact, if one of the remaining events of default occurred (such as our bankruptcy) and the notes become immediately due and payable, there may be such a shortfall</w:t>
      </w:r>
      <w:r>
        <w:rPr>
          <w:rFonts w:ascii="Arial" w:cs="Arial" w:eastAsia="Arial" w:hAnsi="Arial"/>
          <w:sz w:val="18"/>
          <w:szCs w:val="18"/>
          <w:i w:val="1"/>
          <w:iCs w:val="1"/>
          <w:color w:val="auto"/>
        </w:rPr>
        <w:t>.</w:t>
      </w:r>
      <w:r>
        <w:rPr>
          <w:rFonts w:ascii="Arial" w:cs="Arial" w:eastAsia="Arial" w:hAnsi="Arial"/>
          <w:sz w:val="18"/>
          <w:szCs w:val="18"/>
          <w:color w:val="auto"/>
        </w:rPr>
        <w:t xml:space="preserve"> Depending on the event causing the default, of course, you may not be able to obtain payment of the shortfall.</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order to exercise either full defeasance or covenant defeasance, we must comply with certain conditions, and no event or condition can exist that would prevent us from making payments of principal, premium and interest, if any, on the notes of such series on the date the irrevocable deposit is made or at any time during the period ending on the 91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after the deposit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the notes, we and the trustee will send notices regarding the notes only to registered holders, using their addresses as listed in the list of registered 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may modify and amend the indenture with the consent of the holders of at least a majority in aggregate principal amount of the outstanding notes of the affected series. However, we may not make any modification or amendment without the consent of each holder of the notes of the affected series if such action would:</w:t>
      </w:r>
    </w:p>
    <w:p>
      <w:pPr>
        <w:spacing w:after="0" w:line="184"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change the stated maturity of, or the principal of or premium or interest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reduce any amounts due on the notes or payable upon acceleration of the maturity of the notes following a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4" w:name="page205"/>
    <w:bookmarkEnd w:id="204"/>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this prospectus supplement) or currency of payment on the notes;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modify the notes to contractually subordinate the notes in right of payment to other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modify or amend the indenture;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reduce the percentage of holders of notes whose consent is needed to waive compliance with certain provisions of the indenture or to waive certain defaults;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modification and waiver except to increase the voting requirements.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Except for certain specified provisions, the holders of at least a majority in aggregate principal amount of the outstanding notes of the affected series may, on behalf of the holders of all the notes of that series, waive our compliance with certain provisions of the indenture. The holders of a majority in aggregate principal amount of the outstanding notes of the affected series may, on behalf of the holders of all the notes of such series, waive any past default under the indenture with respect to that series and its consequences, except a default in the payment of the principal of or premium or interest on any notes of that series or in respect of a covenant or provision which cannot be modified or amended without the consent of the holder of each outstanding note of that series; provided however that the holders of a majority in aggregate principal amount of the outstanding notes of the affected series may rescind an acceleration and its consequences, including any payment default that resulted from such acceleration.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Notwithstanding the foregoing, without the consent of any holder of notes of a series, we may amend or supplement the indenture or the notes for among other reasons:</w:t>
      </w:r>
    </w:p>
    <w:p>
      <w:pPr>
        <w:spacing w:after="0" w:line="170" w:lineRule="exact"/>
        <w:rPr>
          <w:sz w:val="20"/>
          <w:szCs w:val="20"/>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cure any ambiguity, defect or inconsistency provided such amendment or supplement does not adversely affect the rights of any holder of notes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comply with the covenant described under “—Merger, Consolidation or Sale of Assets;”</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appoint a successor trustee with respect to the notes and to add to or change any of the provisions of the indenture necessary to provide for the administration of the trusts in the indenture by more than one trustee;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comply with the requirements of the SEC in order to maintain the qualification of the indenture under the Trust Indenture Act of 1939;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make any change that would not adversely affect the rights of any holder of notes of that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provide for the issuance of any additional notes as permitted by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conform the indenture or the notes to the description thereof set forth in this prospectus supplement and in the accompanying prospectus.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will cease to be of further effect, and we will be deemed to have satisfied and discharged the indenture with respect to the notes, when the following conditions have been satisfied:</w:t>
      </w:r>
    </w:p>
    <w:p>
      <w:pPr>
        <w:spacing w:after="0" w:line="170" w:lineRule="exact"/>
        <w:rPr>
          <w:sz w:val="20"/>
          <w:szCs w:val="20"/>
          <w:color w:val="auto"/>
        </w:rPr>
      </w:pPr>
    </w:p>
    <w:p>
      <w:pPr>
        <w:ind w:left="660" w:hanging="328"/>
        <w:spacing w:after="0" w:line="277" w:lineRule="auto"/>
        <w:tabs>
          <w:tab w:leader="none" w:pos="65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notes not previously delivered to the trustee for cancellation have become due and payable or will become due and payable at their stated maturity or on a redemption date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5" w:name="page206"/>
    <w:bookmarkEnd w:id="205"/>
    <w:p>
      <w:pPr>
        <w:jc w:val="both"/>
        <w:ind w:left="660" w:hanging="328"/>
        <w:spacing w:after="0" w:line="263" w:lineRule="auto"/>
        <w:tabs>
          <w:tab w:leader="none" w:pos="6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we deposit with the trustee, in trust, funds sufficient to pay the entire indebtedness on the notes that had not been previously delivered for cancellation, for the principal and interest to the date of the deposit (for notes that have become due and payable) or to the stated maturity or the redemption date, as the case may be (for notes that have not become due and payable);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opinion of counsel, each stating that we have complied with all these conditions.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remain obligated to provide for registration of transfer and exchange and to provide notices of redemption.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trustee is U.S. Bank National Association. U.S. Bank National Association is also the initial paying agent and registrar for the notes.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provides that, except during the continuance of an event of default under the indenture, the trustee under the indenture will perform only such duties as are specifically set forth in the indenture</w:t>
      </w:r>
      <w:r>
        <w:rPr>
          <w:rFonts w:ascii="Arial" w:cs="Arial" w:eastAsia="Arial" w:hAnsi="Arial"/>
          <w:sz w:val="18"/>
          <w:szCs w:val="18"/>
          <w:i w:val="1"/>
          <w:iCs w:val="1"/>
          <w:color w:val="auto"/>
        </w:rPr>
        <w:t>.</w:t>
      </w:r>
      <w:r>
        <w:rPr>
          <w:rFonts w:ascii="Arial" w:cs="Arial" w:eastAsia="Arial" w:hAnsi="Arial"/>
          <w:sz w:val="18"/>
          <w:szCs w:val="18"/>
          <w:color w:val="auto"/>
        </w:rPr>
        <w:t xml:space="preserve"> Under the indenture, the holders of a majority in outstanding aggregate principal amount of the notes will have the right to direct the time, method and place of conducting any proceeding or exercising any remedy available to the trustee under the indenture, subject to certain exceptions</w:t>
      </w:r>
      <w:r>
        <w:rPr>
          <w:rFonts w:ascii="Arial" w:cs="Arial" w:eastAsia="Arial" w:hAnsi="Arial"/>
          <w:sz w:val="18"/>
          <w:szCs w:val="18"/>
          <w:i w:val="1"/>
          <w:iCs w:val="1"/>
          <w:color w:val="auto"/>
        </w:rPr>
        <w:t>.</w:t>
      </w:r>
      <w:r>
        <w:rPr>
          <w:rFonts w:ascii="Arial" w:cs="Arial" w:eastAsia="Arial" w:hAnsi="Arial"/>
          <w:sz w:val="18"/>
          <w:szCs w:val="18"/>
          <w:color w:val="auto"/>
        </w:rPr>
        <w:t xml:space="preserve"> If an event of default has occurred and is continuing, the trustee under the indenture will exercise such rights and powers vested in it under the indenture and is obligated to use the same degree of care and skill in its exercise as a prudent person would exercise under the circumstances in the conduct of such person’s own affairs.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 and provisions of the Trust Indenture Act incorporated by reference in the indenture contain limitations on the rights of the trustee under such indenture, should it become a creditor of our company, to obtain payment of claims in certain cases or to realize on certain property received by it in respect of any such claims, as security or otherwise</w:t>
      </w:r>
      <w:r>
        <w:rPr>
          <w:rFonts w:ascii="Arial" w:cs="Arial" w:eastAsia="Arial" w:hAnsi="Arial"/>
          <w:sz w:val="17"/>
          <w:szCs w:val="17"/>
          <w:i w:val="1"/>
          <w:iCs w:val="1"/>
          <w:color w:val="auto"/>
        </w:rPr>
        <w:t>.</w:t>
      </w:r>
      <w:r>
        <w:rPr>
          <w:rFonts w:ascii="Arial" w:cs="Arial" w:eastAsia="Arial" w:hAnsi="Arial"/>
          <w:sz w:val="17"/>
          <w:szCs w:val="17"/>
          <w:color w:val="auto"/>
        </w:rPr>
        <w:t xml:space="preserve"> The trustee under the indenture is permitted to engage in other transactions</w:t>
      </w:r>
      <w:r>
        <w:rPr>
          <w:rFonts w:ascii="Arial" w:cs="Arial" w:eastAsia="Arial" w:hAnsi="Arial"/>
          <w:sz w:val="17"/>
          <w:szCs w:val="17"/>
          <w:i w:val="1"/>
          <w:iCs w:val="1"/>
          <w:color w:val="auto"/>
        </w:rPr>
        <w:t>.</w:t>
      </w:r>
      <w:r>
        <w:rPr>
          <w:rFonts w:ascii="Arial" w:cs="Arial" w:eastAsia="Arial" w:hAnsi="Arial"/>
          <w:sz w:val="17"/>
          <w:szCs w:val="17"/>
          <w:color w:val="auto"/>
        </w:rPr>
        <w:t xml:space="preserve"> However, if the trustee under the indenture acquires any prohibited conflicting interest, it must eliminate the conflict or resign.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resign or be removed and a successor trustee may be appointed.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are applicable to this Description of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our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 prepared in accordance with accounting principles generally accepted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6" w:name="page207"/>
    <w:bookmarkEnd w:id="206"/>
    <w:p>
      <w:pPr>
        <w:jc w:val="both"/>
        <w:spacing w:after="0" w:line="257" w:lineRule="auto"/>
        <w:rPr>
          <w:sz w:val="20"/>
          <w:szCs w:val="20"/>
          <w:color w:val="auto"/>
        </w:rPr>
      </w:pPr>
      <w:r>
        <w:rPr>
          <w:rFonts w:ascii="Arial" w:cs="Arial" w:eastAsia="Arial" w:hAnsi="Arial"/>
          <w:sz w:val="18"/>
          <w:szCs w:val="18"/>
          <w:color w:val="auto"/>
        </w:rPr>
        <w:t>“Indebtedness”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lease; provided, however,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“Principal Property” means (1) any manufacturing facility, together with the land upon which it is erected and fixtures comprising a part thereof, owned or leased by us or any Subsidiary and located within the continental U.S. and having a net book value which, on the date the determination as to whether a property is a Principal Property is being made, exceeds 1% of our Consolidated Total Assets other than any such facility or a portion thereof which our board of directors determine in good faith, at any time on or prior to such date, is not of material importance to the total business conducted, or assets owned, by us and our Subsidiaries as an entirety or (2) any shares of stock or Indebtedness of any Subsidiary owning a Principal Property.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 and Leaseback Transaction” means any arrangement with any Person providing for the leasing by us or any Subsidiary of ours of any property that has been or is to be sold or transferred by us or such Subsidiary, as the case may be, to such Person.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Notes: Book-Entry System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Global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of each series is represented by one or more fully registered global notes, without interest coupons, was deposited upon issuance with the trustee as custodian for DTC, and registered in the name of Cede &amp; Co. or its nominee, in each case, for credit to an account of a direct or indirect participant as described below.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definitive notes in registered certificated form (“certificated notes”) except in limited circumstances.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of beneficial interests in the global notes are subject to the applicable rules and procedures of DTC and its direct or indirect participants, which may change.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may be presented for registration of transfer and exchange at the corporate trust offices of the trustee as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Book Entry Procedures for the Global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interests in the global notes will be subject to the operations and procedures of DTC, Euroclear Bank, S.A./N.V.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425387_1</w:t>
      </w:r>
    </w:p>
    <w:p>
      <w:pPr>
        <w:sectPr>
          <w:pgSz w:w="11900" w:h="16838" w:orient="portrait"/>
          <w:cols w:equalWidth="0" w:num="1">
            <w:col w:w="11240"/>
          </w:cols>
          <w:pgMar w:left="320" w:top="1421"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BIOGEN INC.</w:t>
      </w:r>
    </w:p>
    <w:p>
      <w:pPr>
        <w:spacing w:after="0" w:line="273" w:lineRule="exact"/>
        <w:rPr>
          <w:sz w:val="20"/>
          <w:szCs w:val="20"/>
          <w:color w:val="auto"/>
        </w:rPr>
      </w:pPr>
    </w:p>
    <w:p>
      <w:pPr>
        <w:ind w:right="600"/>
        <w:spacing w:after="0" w:line="249" w:lineRule="auto"/>
        <w:rPr>
          <w:sz w:val="20"/>
          <w:szCs w:val="20"/>
          <w:color w:val="auto"/>
        </w:rPr>
      </w:pPr>
      <w:r>
        <w:rPr>
          <w:rFonts w:ascii="Arial" w:cs="Arial" w:eastAsia="Arial" w:hAnsi="Arial"/>
          <w:sz w:val="22"/>
          <w:szCs w:val="22"/>
          <w:color w:val="auto"/>
        </w:rPr>
        <w:t>The following is a list of subsidiaries of Biogen Inc. as of December 31, 2021, omitting some subsidiaries which, considered in the aggregate, would not constitute a significant subsidiary.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w:t>
            </w:r>
          </w:p>
        </w:tc>
      </w:tr>
      <w:tr>
        <w:trPr>
          <w:trHeight w:val="24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1"/>
                <w:szCs w:val="21"/>
                <w:color w:val="auto"/>
              </w:rPr>
            </w:pP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Foundation Inc.</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MA Inc.</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Realty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Realty Limited Partnership</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Limited Partnership</w:t>
            </w:r>
          </w:p>
        </w:tc>
        <w:tc>
          <w:tcPr>
            <w:tcW w:w="468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(RTP) Realty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Chesapeake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Holding I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Holding II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Manufacturing Holding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New Ventures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SRO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Therapeutics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Pacific LLC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U.S. West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Conforma Therapeutics Corporation</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Stromedix,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Nightstar, Inc.</w:t>
            </w:r>
          </w:p>
        </w:tc>
        <w:tc>
          <w:tcPr>
            <w:tcW w:w="4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(Argentina) SRL</w:t>
            </w:r>
          </w:p>
        </w:tc>
        <w:tc>
          <w:tcPr>
            <w:tcW w:w="468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Australia PTY Ltd</w:t>
            </w:r>
          </w:p>
        </w:tc>
        <w:tc>
          <w:tcPr>
            <w:tcW w:w="4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Austria GmbH</w:t>
            </w:r>
          </w:p>
        </w:tc>
        <w:tc>
          <w:tcPr>
            <w:tcW w:w="468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Belgium N.V./S.A.</w:t>
            </w:r>
          </w:p>
        </w:tc>
        <w:tc>
          <w:tcPr>
            <w:tcW w:w="468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International Holding Limited</w:t>
            </w:r>
          </w:p>
        </w:tc>
        <w:tc>
          <w:tcPr>
            <w:tcW w:w="46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(Bermuda) Technologies Ltd.</w:t>
            </w:r>
          </w:p>
        </w:tc>
        <w:tc>
          <w:tcPr>
            <w:tcW w:w="468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Brasil Produtos Farmaceuticos LTDA</w:t>
            </w:r>
          </w:p>
        </w:tc>
        <w:tc>
          <w:tcPr>
            <w:tcW w:w="468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Canada Inc.</w:t>
            </w:r>
          </w:p>
        </w:tc>
        <w:tc>
          <w:tcPr>
            <w:tcW w:w="468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Chile SpA</w:t>
            </w:r>
          </w:p>
        </w:tc>
        <w:tc>
          <w:tcPr>
            <w:tcW w:w="468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Biotechnology (Shanghai) Co., Ltd</w:t>
            </w:r>
          </w:p>
        </w:tc>
        <w:tc>
          <w:tcPr>
            <w:tcW w:w="468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BIIB Colombia S.A.S.</w:t>
            </w:r>
          </w:p>
        </w:tc>
        <w:tc>
          <w:tcPr>
            <w:tcW w:w="468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Pharma d.o.o.</w:t>
            </w:r>
          </w:p>
        </w:tc>
        <w:tc>
          <w:tcPr>
            <w:tcW w:w="468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(Czech Republic) s.r.o.</w:t>
            </w:r>
          </w:p>
        </w:tc>
        <w:tc>
          <w:tcPr>
            <w:tcW w:w="468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(Denmark) A/S</w:t>
            </w:r>
          </w:p>
        </w:tc>
        <w:tc>
          <w:tcPr>
            <w:tcW w:w="468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57"/>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Estonia OU</w:t>
            </w:r>
          </w:p>
        </w:tc>
        <w:tc>
          <w:tcPr>
            <w:tcW w:w="4680" w:type="dxa"/>
            <w:vAlign w:val="bottom"/>
          </w:tcPr>
          <w:p>
            <w:pPr>
              <w:ind w:left="20"/>
              <w:spacing w:after="0"/>
              <w:rPr>
                <w:sz w:val="20"/>
                <w:szCs w:val="20"/>
                <w:color w:val="auto"/>
              </w:rPr>
            </w:pPr>
            <w:r>
              <w:rPr>
                <w:rFonts w:ascii="Arial" w:cs="Arial" w:eastAsia="Arial" w:hAnsi="Arial"/>
                <w:sz w:val="18"/>
                <w:szCs w:val="18"/>
                <w:color w:val="auto"/>
              </w:rPr>
              <w:t>Estonia</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Finland OY</w:t>
            </w:r>
          </w:p>
        </w:tc>
        <w:tc>
          <w:tcPr>
            <w:tcW w:w="468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France S.A.S.</w:t>
            </w:r>
          </w:p>
        </w:tc>
        <w:tc>
          <w:tcPr>
            <w:tcW w:w="468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GmbH</w:t>
            </w:r>
          </w:p>
        </w:tc>
        <w:tc>
          <w:tcPr>
            <w:tcW w:w="468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Hong Kong Limited</w:t>
            </w:r>
          </w:p>
        </w:tc>
        <w:tc>
          <w:tcPr>
            <w:tcW w:w="46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Hungary KFT</w:t>
            </w:r>
          </w:p>
        </w:tc>
        <w:tc>
          <w:tcPr>
            <w:tcW w:w="468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5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Biogen Idec Biotech India Pvt. Ltd.</w:t>
            </w:r>
          </w:p>
        </w:tc>
        <w:tc>
          <w:tcPr>
            <w:tcW w:w="4680" w:type="dxa"/>
            <w:vAlign w:val="bottom"/>
          </w:tcPr>
          <w:p>
            <w:pPr>
              <w:ind w:left="20"/>
              <w:spacing w:after="0"/>
              <w:rPr>
                <w:sz w:val="20"/>
                <w:szCs w:val="20"/>
                <w:color w:val="auto"/>
              </w:rPr>
            </w:pPr>
            <w:r>
              <w:rPr>
                <w:rFonts w:ascii="Arial" w:cs="Arial" w:eastAsia="Arial" w:hAnsi="Arial"/>
                <w:sz w:val="18"/>
                <w:szCs w:val="18"/>
                <w:color w:val="auto"/>
              </w:rPr>
              <w:t>India</w:t>
            </w:r>
          </w:p>
        </w:tc>
      </w:tr>
    </w:tbl>
    <w:p>
      <w:pPr>
        <w:sectPr>
          <w:pgSz w:w="11900" w:h="16838" w:orient="portrait"/>
          <w:cols w:equalWidth="0" w:num="1">
            <w:col w:w="11240"/>
          </w:cols>
          <w:pgMar w:left="320" w:top="688" w:right="3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Biogen Idec (Ireland)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Nightstar Europa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Italia S.R.L.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Japan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Korea LLC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Latvia SIA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Lithuania UAB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Luxembourg Holding S.a.r.l.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Mexico S. de R.L. de C.V.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NZ Biopharma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Norway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Poland Sp. z.o.o.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Portugal Sociedade Farmaceutica, Unipessoal Lda.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Slovakia s.r.o.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Pharma, farmacevtska in biotehnoloska druzba, d.o.o.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Spain, S.L.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Sweden AB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International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International Neuroscience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Management Services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Swiss Investments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Swiss Manufacturing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Switzerland AG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Switzerland Holdings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Eidetica Biopharma GmbH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Taiwan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Turkey Ilac Ticaret Limited Sirketi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Netherlands B.V.</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Research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Convergence Pharmaceuticals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Convergence Pharmaceuticals Holdings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Old Convergence Pharmaceuticals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Silver Acquisition Co.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Nightstar Therapeutics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NightstaRx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Tungsten Bidco Limited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Biogen Idec Uruguay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Latvia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Lithuania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Slovak Republic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ectPr>
          <w:pgSz w:w="11900" w:h="16838" w:orient="portrait"/>
          <w:cols w:equalWidth="0" w:num="2">
            <w:col w:w="5840" w:space="720"/>
            <w:col w:w="3559"/>
          </w:cols>
          <w:pgMar w:left="340" w:top="760" w:right="1440"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We hereby consent to the incorporation by reference in the Registration Statements on Form S-3 (No. 333-237819) and Form S-8 (Nos. 333-218799, 333-205254, 333-128339, 333-152456, 333-140817 and 333-170133) of Biogen Inc. of our report dated February 3,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ectPr>
          <w:pgSz w:w="11900" w:h="16838" w:orient="portrait"/>
          <w:cols w:equalWidth="0" w:num="1">
            <w:col w:w="11240"/>
          </w:cols>
          <w:pgMar w:left="320" w:top="118"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Michel Vounatsos,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2022</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1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2022</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48" w:lineRule="exact"/>
        <w:rPr>
          <w:sz w:val="20"/>
          <w:szCs w:val="20"/>
          <w:color w:val="auto"/>
        </w:rPr>
      </w:pPr>
    </w:p>
    <w:p>
      <w:pPr>
        <w:ind w:right="420" w:firstLine="445"/>
        <w:spacing w:after="0" w:line="256"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February 3, 2022</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21"/>
        </w:trPr>
        <w:tc>
          <w:tcPr>
            <w:tcW w:w="6200" w:type="dxa"/>
            <w:vAlign w:val="bottom"/>
          </w:tcPr>
          <w:p>
            <w:pPr>
              <w:spacing w:after="0"/>
              <w:rPr>
                <w:sz w:val="20"/>
                <w:szCs w:val="20"/>
                <w:color w:val="auto"/>
              </w:rPr>
            </w:pPr>
            <w:r>
              <w:rPr>
                <w:rFonts w:ascii="Arial" w:cs="Arial" w:eastAsia="Arial" w:hAnsi="Arial"/>
                <w:sz w:val="18"/>
                <w:szCs w:val="18"/>
                <w:color w:val="auto"/>
              </w:rPr>
              <w:t>Date: February 3, 2022</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61"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1)"/>
      <w:numFmt w:val="decimal"/>
      <w:start w:val="1"/>
    </w:lvl>
  </w:abstractNum>
  <w:abstractNum w:abstractNumId="20">
    <w:nsid w:val="7F01579B"/>
    <w:multiLevelType w:val="hybridMultilevel"/>
    <w:lvl w:ilvl="0">
      <w:lvlJc w:val="left"/>
      <w:lvlText w:val="(%1)"/>
      <w:numFmt w:val="decimal"/>
      <w:start w:val="1"/>
    </w:lvl>
  </w:abstractNum>
  <w:abstractNum w:abstractNumId="21">
    <w:nsid w:val="49DA307D"/>
    <w:multiLevelType w:val="hybridMultilevel"/>
    <w:lvl w:ilvl="0">
      <w:lvlJc w:val="left"/>
      <w:lvlText w:val="(%1)"/>
      <w:numFmt w:val="decimal"/>
      <w:start w:val="2"/>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1)"/>
      <w:numFmt w:val="decimal"/>
      <w:start w:val="1"/>
    </w:lvl>
  </w:abstractNum>
  <w:abstractNum w:abstractNumId="28">
    <w:nsid w:val="7672BD23"/>
    <w:multiLevelType w:val="hybridMultilevel"/>
    <w:lvl w:ilvl="0">
      <w:lvlJc w:val="left"/>
      <w:lvlText w:val="%1)"/>
      <w:numFmt w:val="decimal"/>
      <w:start w:val="2"/>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l"/>
      <w:numFmt w:val="bullet"/>
      <w:start w:val="1"/>
    </w:lvl>
  </w:abstractNum>
  <w:abstractNum w:abstractNumId="34">
    <w:nsid w:val="7DE67713"/>
    <w:multiLevelType w:val="hybridMultilevel"/>
    <w:lvl w:ilvl="0">
      <w:lvlJc w:val="left"/>
      <w:lvlText w:val="l"/>
      <w:numFmt w:val="bullet"/>
      <w:start w:val="1"/>
    </w:lvl>
  </w:abstractNum>
  <w:abstractNum w:abstractNumId="35">
    <w:nsid w:val="555C55B5"/>
    <w:multiLevelType w:val="hybridMultilevel"/>
    <w:lvl w:ilvl="0">
      <w:lvlJc w:val="left"/>
      <w:lvlText w:val="l"/>
      <w:numFmt w:val="bullet"/>
      <w:start w:val="1"/>
    </w:lvl>
  </w:abstractNum>
  <w:abstractNum w:abstractNumId="36">
    <w:nsid w:val="3FA62ACA"/>
    <w:multiLevelType w:val="hybridMultilevel"/>
    <w:lvl w:ilvl="0">
      <w:lvlJc w:val="left"/>
      <w:lvlText w:val="l"/>
      <w:numFmt w:val="bullet"/>
      <w:start w:val="1"/>
    </w:lvl>
  </w:abstractNum>
  <w:abstractNum w:abstractNumId="37">
    <w:nsid w:val="14FCE74E"/>
    <w:multiLevelType w:val="hybridMultilevel"/>
    <w:lvl w:ilvl="0">
      <w:lvlJc w:val="left"/>
      <w:lvlText w:val="l"/>
      <w:numFmt w:val="bullet"/>
      <w:start w:val="1"/>
    </w:lvl>
  </w:abstractNum>
  <w:abstractNum w:abstractNumId="38">
    <w:nsid w:val="6A3DD3E8"/>
    <w:multiLevelType w:val="hybridMultilevel"/>
    <w:lvl w:ilvl="0">
      <w:lvlJc w:val="left"/>
      <w:lvlText w:val="l"/>
      <w:numFmt w:val="bullet"/>
      <w:start w:val="1"/>
    </w:lvl>
  </w:abstractNum>
  <w:abstractNum w:abstractNumId="39">
    <w:nsid w:val="71C91298"/>
    <w:multiLevelType w:val="hybridMultilevel"/>
    <w:lvl w:ilvl="0">
      <w:lvlJc w:val="left"/>
      <w:lvlText w:val="l"/>
      <w:numFmt w:val="bullet"/>
      <w:start w:val="1"/>
    </w:lvl>
  </w:abstractNum>
  <w:abstractNum w:abstractNumId="40">
    <w:nsid w:val="9DAF632"/>
    <w:multiLevelType w:val="hybridMultilevel"/>
    <w:lvl w:ilvl="0">
      <w:lvlJc w:val="left"/>
      <w:lvlText w:val="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
      <w:numFmt w:val="bullet"/>
      <w:start w:val="1"/>
    </w:lvl>
  </w:abstractNum>
  <w:abstractNum w:abstractNumId="45">
    <w:nsid w:val="59ADEA3D"/>
    <w:multiLevelType w:val="hybridMultilevel"/>
    <w:lvl w:ilvl="0">
      <w:lvlJc w:val="left"/>
      <w:lvlText w:val="•"/>
      <w:numFmt w:val="bullet"/>
      <w:start w:val="1"/>
    </w:lvl>
  </w:abstractNum>
  <w:abstractNum w:abstractNumId="46">
    <w:nsid w:val="288F1A34"/>
    <w:multiLevelType w:val="hybridMultilevel"/>
    <w:lvl w:ilvl="0">
      <w:lvlJc w:val="left"/>
      <w:lvlText w:val="•"/>
      <w:numFmt w:val="bullet"/>
      <w:start w:val="1"/>
    </w:lvl>
  </w:abstractNum>
  <w:abstractNum w:abstractNumId="47">
    <w:nsid w:val="2A155DBC"/>
    <w:multiLevelType w:val="hybridMultilevel"/>
    <w:lvl w:ilvl="0">
      <w:lvlJc w:val="left"/>
      <w:lvlText w:val="•"/>
      <w:numFmt w:val="bullet"/>
      <w:start w:val="1"/>
    </w:lvl>
  </w:abstractNum>
  <w:abstractNum w:abstractNumId="48">
    <w:nsid w:val="1D9F6E5F"/>
    <w:multiLevelType w:val="hybridMultilevel"/>
    <w:lvl w:ilvl="0">
      <w:lvlJc w:val="left"/>
      <w:lvlText w:val="•"/>
      <w:numFmt w:val="bullet"/>
      <w:start w:val="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
      <w:numFmt w:val="bullet"/>
      <w:start w:val="1"/>
    </w:lvl>
  </w:abstractNum>
  <w:abstractNum w:abstractNumId="52">
    <w:nsid w:val="53584BCB"/>
    <w:multiLevelType w:val="hybridMultilevel"/>
    <w:lvl w:ilvl="0">
      <w:lvlJc w:val="left"/>
      <w:lvlText w:val="•"/>
      <w:numFmt w:val="bullet"/>
      <w:start w:val="1"/>
    </w:lvl>
  </w:abstractNum>
  <w:abstractNum w:abstractNumId="53">
    <w:nsid w:val="415E286C"/>
    <w:multiLevelType w:val="hybridMultilevel"/>
    <w:lvl w:ilvl="0">
      <w:lvlJc w:val="left"/>
      <w:lvlText w:val="•"/>
      <w:numFmt w:val="bullet"/>
      <w:start w:val="1"/>
    </w:lvl>
  </w:abstractNum>
  <w:abstractNum w:abstractNumId="54">
    <w:nsid w:val="7C58FD05"/>
    <w:multiLevelType w:val="hybridMultilevel"/>
    <w:lvl w:ilvl="0">
      <w:lvlJc w:val="left"/>
      <w:lvlText w:val="•"/>
      <w:numFmt w:val="bullet"/>
      <w:start w:val="1"/>
    </w:lvl>
  </w:abstractNum>
  <w:abstractNum w:abstractNumId="55">
    <w:nsid w:val="23D86AAC"/>
    <w:multiLevelType w:val="hybridMultilevel"/>
    <w:lvl w:ilvl="0">
      <w:lvlJc w:val="left"/>
      <w:lvlText w:val="•"/>
      <w:numFmt w:val="bullet"/>
      <w:start w:val="1"/>
    </w:lvl>
  </w:abstractNum>
  <w:abstractNum w:abstractNumId="56">
    <w:nsid w:val="45E6D486"/>
    <w:multiLevelType w:val="hybridMultilevel"/>
    <w:lvl w:ilvl="0">
      <w:lvlJc w:val="left"/>
      <w:lvlText w:val="•"/>
      <w:numFmt w:val="bullet"/>
      <w:start w:val="1"/>
    </w:lvl>
  </w:abstractNum>
  <w:abstractNum w:abstractNumId="57">
    <w:nsid w:val="5C10FE21"/>
    <w:multiLevelType w:val="hybridMultilevel"/>
    <w:lvl w:ilvl="0">
      <w:lvlJc w:val="left"/>
      <w:lvlText w:val="(%1)"/>
      <w:numFmt w:val="decimal"/>
      <w:start w:val="1"/>
    </w:lvl>
  </w:abstractNum>
  <w:abstractNum w:abstractNumId="58">
    <w:nsid w:val="E7FFA2B"/>
    <w:multiLevelType w:val="hybridMultilevel"/>
    <w:lvl w:ilvl="0">
      <w:lvlJc w:val="left"/>
      <w:lvlText w:val="•"/>
      <w:numFmt w:val="bullet"/>
      <w:start w:val="1"/>
    </w:lvl>
    <w:lvl w:ilvl="1">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
      <w:numFmt w:val="bullet"/>
      <w:start w:val="1"/>
    </w:lvl>
  </w:abstractNum>
  <w:abstractNum w:abstractNumId="61">
    <w:nsid w:val="78DF6A55"/>
    <w:multiLevelType w:val="hybridMultilevel"/>
    <w:lvl w:ilvl="0">
      <w:lvlJc w:val="left"/>
      <w:lvlText w:val="•"/>
      <w:numFmt w:val="bullet"/>
      <w:start w:val="1"/>
    </w:lvl>
    <w:lvl w:ilvl="1">
      <w:lvlJc w:val="left"/>
      <w:lvlText w:val="◦"/>
      <w:numFmt w:val="bullet"/>
      <w:start w:val="1"/>
    </w:lvl>
  </w:abstractNum>
  <w:abstractNum w:abstractNumId="62">
    <w:nsid w:val="39B7AAA2"/>
    <w:multiLevelType w:val="hybridMultilevel"/>
    <w:lvl w:ilvl="0">
      <w:lvlJc w:val="left"/>
      <w:lvlText w:val="•"/>
      <w:numFmt w:val="bullet"/>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
      <w:numFmt w:val="bullet"/>
      <w:start w:val="1"/>
    </w:lvl>
  </w:abstractNum>
  <w:abstractNum w:abstractNumId="65">
    <w:nsid w:val="379E21B5"/>
    <w:multiLevelType w:val="hybridMultilevel"/>
    <w:lvl w:ilvl="0">
      <w:lvlJc w:val="left"/>
      <w:lvlText w:val="•"/>
      <w:numFmt w:val="bullet"/>
      <w:start w:val="1"/>
    </w:lvl>
  </w:abstractNum>
  <w:abstractNum w:abstractNumId="66">
    <w:nsid w:val="69E373"/>
    <w:multiLevelType w:val="hybridMultilevel"/>
    <w:lvl w:ilvl="0">
      <w:lvlJc w:val="left"/>
      <w:lvlText w:val="•"/>
      <w:numFmt w:val="bullet"/>
      <w:start w:val="1"/>
    </w:lvl>
  </w:abstractNum>
  <w:abstractNum w:abstractNumId="67">
    <w:nsid w:val="2C27173B"/>
    <w:multiLevelType w:val="hybridMultilevel"/>
    <w:lvl w:ilvl="0">
      <w:lvlJc w:val="left"/>
      <w:lvlText w:val="•"/>
      <w:numFmt w:val="bullet"/>
      <w:start w:val="1"/>
    </w:lvl>
  </w:abstractNum>
  <w:abstractNum w:abstractNumId="68">
    <w:nsid w:val="4C9B0904"/>
    <w:multiLevelType w:val="hybridMultilevel"/>
    <w:lvl w:ilvl="0">
      <w:lvlJc w:val="left"/>
      <w:lvlText w:val="•"/>
      <w:numFmt w:val="bullet"/>
      <w:start w:val="1"/>
    </w:lvl>
  </w:abstractNum>
  <w:abstractNum w:abstractNumId="69">
    <w:nsid w:val="6AA7B75C"/>
    <w:multiLevelType w:val="hybridMultilevel"/>
    <w:lvl w:ilvl="0">
      <w:lvlJc w:val="left"/>
      <w:lvlText w:val="•"/>
      <w:numFmt w:val="bullet"/>
      <w:start w:val="1"/>
    </w:lvl>
  </w:abstractNum>
  <w:abstractNum w:abstractNumId="70">
    <w:nsid w:val="1DF029D3"/>
    <w:multiLevelType w:val="hybridMultilevel"/>
    <w:lvl w:ilvl="0">
      <w:lvlJc w:val="left"/>
      <w:lvlText w:val="•"/>
      <w:numFmt w:val="bullet"/>
      <w:start w:val="1"/>
    </w:lvl>
  </w:abstractNum>
  <w:abstractNum w:abstractNumId="71">
    <w:nsid w:val="5675FF36"/>
    <w:multiLevelType w:val="hybridMultilevel"/>
    <w:lvl w:ilvl="0">
      <w:lvlJc w:val="left"/>
      <w:lvlText w:val="•"/>
      <w:numFmt w:val="bullet"/>
      <w:start w:val="1"/>
    </w:lvl>
  </w:abstractNum>
  <w:abstractNum w:abstractNumId="72">
    <w:nsid w:val="3DD15094"/>
    <w:multiLevelType w:val="hybridMultilevel"/>
    <w:lvl w:ilvl="0">
      <w:lvlJc w:val="left"/>
      <w:lvlText w:val="•"/>
      <w:numFmt w:val="bullet"/>
      <w:start w:val="1"/>
    </w:lvl>
  </w:abstractNum>
  <w:abstractNum w:abstractNumId="73">
    <w:nsid w:val="3DB012B3"/>
    <w:multiLevelType w:val="hybridMultilevel"/>
    <w:lvl w:ilvl="0">
      <w:lvlJc w:val="left"/>
      <w:lvlText w:val="•"/>
      <w:numFmt w:val="bullet"/>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
      <w:numFmt w:val="bullet"/>
      <w:start w:val="1"/>
    </w:lvl>
  </w:abstractNum>
  <w:abstractNum w:abstractNumId="76">
    <w:nsid w:val="175DFCF0"/>
    <w:multiLevelType w:val="hybridMultilevel"/>
    <w:lvl w:ilvl="0">
      <w:lvlJc w:val="left"/>
      <w:lvlText w:val="•"/>
      <w:numFmt w:val="bullet"/>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1)"/>
      <w:numFmt w:val="decimal"/>
      <w:start w:val="1"/>
    </w:lvl>
  </w:abstractNum>
  <w:abstractNum w:abstractNumId="81">
    <w:nsid w:val="56438D15"/>
    <w:multiLevelType w:val="hybridMultilevel"/>
    <w:lvl w:ilvl="0">
      <w:lvlJc w:val="left"/>
      <w:lvlText w:val="(%1)"/>
      <w:numFmt w:val="lowerRoman"/>
      <w:start w:val="2"/>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1)"/>
      <w:numFmt w:val="lowerLetter"/>
      <w:start w:val="1"/>
    </w:lvl>
  </w:abstractNum>
  <w:abstractNum w:abstractNumId="84">
    <w:nsid w:val="17A1B582"/>
    <w:multiLevelType w:val="hybridMultilevel"/>
    <w:lvl w:ilvl="0">
      <w:lvlJc w:val="left"/>
      <w:lvlText w:val="•"/>
      <w:numFmt w:val="bullet"/>
      <w:start w:val="1"/>
    </w:lvl>
  </w:abstractNum>
  <w:abstractNum w:abstractNumId="85">
    <w:nsid w:val="4DF72E4E"/>
    <w:multiLevelType w:val="hybridMultilevel"/>
    <w:lvl w:ilvl="0">
      <w:lvlJc w:val="left"/>
      <w:lvlText w:val="*"/>
      <w:numFmt w:val="bullet"/>
      <w:start w:val="1"/>
    </w:lvl>
  </w:abstractNum>
  <w:abstractNum w:abstractNumId="86">
    <w:nsid w:val="5046B5A9"/>
    <w:multiLevelType w:val="hybridMultilevel"/>
    <w:lvl w:ilvl="0">
      <w:lvlJc w:val="left"/>
      <w:lvlText w:val="†"/>
      <w:numFmt w:val="bullet"/>
      <w:start w:val="1"/>
    </w:lvl>
  </w:abstractNum>
  <w:abstractNum w:abstractNumId="87">
    <w:nsid w:val="5D888A08"/>
    <w:multiLevelType w:val="hybridMultilevel"/>
    <w:lvl w:ilvl="0">
      <w:lvlJc w:val="left"/>
      <w:lvlText w:val="++"/>
      <w:numFmt w:val="bullet"/>
      <w:start w:val="1"/>
    </w:lvl>
  </w:abstractNum>
  <w:abstractNum w:abstractNumId="88">
    <w:nsid w:val="2A082C70"/>
    <w:multiLevelType w:val="hybridMultilevel"/>
    <w:lvl w:ilvl="0">
      <w:lvlJc w:val="left"/>
      <w:lvlText w:val="%1."/>
      <w:numFmt w:val="decimal"/>
      <w:start w:val="1"/>
    </w:lvl>
  </w:abstractNum>
  <w:abstractNum w:abstractNumId="89">
    <w:nsid w:val="5EC6AFD4"/>
    <w:multiLevelType w:val="hybridMultilevel"/>
    <w:lvl w:ilvl="0">
      <w:lvlJc w:val="left"/>
      <w:lvlText w:val="•"/>
      <w:numFmt w:val="bullet"/>
      <w:start w:val="1"/>
    </w:lvl>
  </w:abstractNum>
  <w:abstractNum w:abstractNumId="90">
    <w:nsid w:val="19E21BB2"/>
    <w:multiLevelType w:val="hybridMultilevel"/>
    <w:lvl w:ilvl="0">
      <w:lvlJc w:val="left"/>
      <w:lvlText w:val="(%1)"/>
      <w:numFmt w:val="lowerRoman"/>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1."/>
      <w:numFmt w:val="decimal"/>
      <w:start w:val="2"/>
    </w:lvl>
  </w:abstractNum>
  <w:abstractNum w:abstractNumId="93">
    <w:nsid w:val="5399C654"/>
    <w:multiLevelType w:val="hybridMultilevel"/>
    <w:lvl w:ilvl="0">
      <w:lvlJc w:val="left"/>
      <w:lvlText w:val="%1."/>
      <w:numFmt w:val="decimal"/>
      <w:start w:val="3"/>
    </w:lvl>
  </w:abstractNum>
  <w:abstractNum w:abstractNumId="94">
    <w:nsid w:val="20EE1348"/>
    <w:multiLevelType w:val="hybridMultilevel"/>
    <w:lvl w:ilvl="0">
      <w:lvlJc w:val="left"/>
      <w:lvlText w:val="%1."/>
      <w:numFmt w:val="decimal"/>
      <w:start w:val="4"/>
    </w:lvl>
  </w:abstractNum>
  <w:abstractNum w:abstractNumId="95">
    <w:nsid w:val="4427069A"/>
    <w:multiLevelType w:val="hybridMultilevel"/>
    <w:lvl w:ilvl="0">
      <w:lvlJc w:val="left"/>
      <w:lvlText w:val="(%1)"/>
      <w:numFmt w:val="decimal"/>
      <w:start w:val="1"/>
    </w:lvl>
  </w:abstractNum>
  <w:abstractNum w:abstractNumId="96">
    <w:nsid w:val="B37E80A"/>
    <w:multiLevelType w:val="hybridMultilevel"/>
    <w:lvl w:ilvl="0">
      <w:lvlJc w:val="left"/>
      <w:lvlText w:val="%1."/>
      <w:numFmt w:val="decimal"/>
      <w:start w:val="6"/>
    </w:lvl>
  </w:abstractNum>
  <w:abstractNum w:abstractNumId="97">
    <w:nsid w:val="2157F6BC"/>
    <w:multiLevelType w:val="hybridMultilevel"/>
    <w:lvl w:ilvl="0">
      <w:lvlJc w:val="left"/>
      <w:lvlText w:val="%1."/>
      <w:numFmt w:val="decimal"/>
      <w:start w:val="7"/>
    </w:lvl>
  </w:abstractNum>
  <w:abstractNum w:abstractNumId="98">
    <w:nsid w:val="704E1DD5"/>
    <w:multiLevelType w:val="hybridMultilevel"/>
    <w:lvl w:ilvl="0">
      <w:lvlJc w:val="left"/>
      <w:lvlText w:val="(%1)"/>
      <w:numFmt w:val="decimal"/>
      <w:start w:val="1"/>
    </w:lvl>
  </w:abstractNum>
  <w:abstractNum w:abstractNumId="99">
    <w:nsid w:val="57D2F10E"/>
    <w:multiLevelType w:val="hybridMultilevel"/>
    <w:lvl w:ilvl="0">
      <w:lvlJc w:val="left"/>
      <w:lvlText w:val="%1."/>
      <w:numFmt w:val="decimal"/>
      <w:start w:val="8"/>
    </w:lvl>
  </w:abstractNum>
  <w:abstractNum w:abstractNumId="100">
    <w:nsid w:val="BFFAE18"/>
    <w:multiLevelType w:val="hybridMultilevel"/>
    <w:lvl w:ilvl="0">
      <w:lvlJc w:val="left"/>
      <w:lvlText w:val="%1."/>
      <w:numFmt w:val="decimal"/>
      <w:start w:val="9"/>
    </w:lvl>
  </w:abstractNum>
  <w:abstractNum w:abstractNumId="101">
    <w:nsid w:val="E3E47A8"/>
    <w:multiLevelType w:val="hybridMultilevel"/>
    <w:lvl w:ilvl="0">
      <w:lvlJc w:val="left"/>
      <w:lvlText w:val="%1."/>
      <w:numFmt w:val="decimal"/>
      <w:start w:val="10"/>
    </w:lvl>
  </w:abstractNum>
  <w:abstractNum w:abstractNumId="102">
    <w:nsid w:val="2E48F044"/>
    <w:multiLevelType w:val="hybridMultilevel"/>
    <w:lvl w:ilvl="0">
      <w:lvlJc w:val="left"/>
      <w:lvlText w:val="%1."/>
      <w:numFmt w:val="decimal"/>
      <w:start w:val="11"/>
    </w:lvl>
  </w:abstractNum>
  <w:abstractNum w:abstractNumId="103">
    <w:nsid w:val="49D0FEAC"/>
    <w:multiLevelType w:val="hybridMultilevel"/>
    <w:lvl w:ilvl="0">
      <w:lvlJc w:val="left"/>
      <w:lvlText w:val="%1."/>
      <w:numFmt w:val="decimal"/>
      <w:start w:val="12"/>
    </w:lvl>
  </w:abstractNum>
  <w:abstractNum w:abstractNumId="104">
    <w:nsid w:val="4BEE5A5B"/>
    <w:multiLevelType w:val="hybridMultilevel"/>
    <w:lvl w:ilvl="0">
      <w:lvlJc w:val="left"/>
      <w:lvlText w:val="(%1)"/>
      <w:numFmt w:val="decimal"/>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1."/>
      <w:numFmt w:val="decimal"/>
      <w:start w:val="13"/>
    </w:lvl>
  </w:abstractNum>
  <w:abstractNum w:abstractNumId="108">
    <w:nsid w:val="24E99DD7"/>
    <w:multiLevelType w:val="hybridMultilevel"/>
    <w:lvl w:ilvl="0">
      <w:lvlJc w:val="left"/>
      <w:lvlText w:val="%1."/>
      <w:numFmt w:val="decimal"/>
      <w:start w:val="14"/>
    </w:lvl>
  </w:abstractNum>
  <w:abstractNum w:abstractNumId="109">
    <w:nsid w:val="2A31B62D"/>
    <w:multiLevelType w:val="hybridMultilevel"/>
    <w:lvl w:ilvl="0">
      <w:lvlJc w:val="left"/>
      <w:lvlText w:val="%1."/>
      <w:numFmt w:val="decimal"/>
      <w:start w:val="15"/>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1)"/>
      <w:numFmt w:val="decimal"/>
      <w:start w:val="1"/>
    </w:lvl>
  </w:abstractNum>
  <w:abstractNum w:abstractNumId="112">
    <w:nsid w:val="754342"/>
    <w:multiLevelType w:val="hybridMultilevel"/>
    <w:lvl w:ilvl="0">
      <w:lvlJc w:val="left"/>
      <w:lvlText w:val="(%1)"/>
      <w:numFmt w:val="decimal"/>
      <w:start w:val="1"/>
    </w:lvl>
  </w:abstractNum>
  <w:abstractNum w:abstractNumId="113">
    <w:nsid w:val="69E7F3E5"/>
    <w:multiLevelType w:val="hybridMultilevel"/>
    <w:lvl w:ilvl="0">
      <w:lvlJc w:val="left"/>
      <w:lvlText w:val="(%1)"/>
      <w:numFmt w:val="decimal"/>
      <w:start w:val="1"/>
    </w:lvl>
  </w:abstractNum>
  <w:abstractNum w:abstractNumId="114">
    <w:nsid w:val="2A6DE806"/>
    <w:multiLevelType w:val="hybridMultilevel"/>
    <w:lvl w:ilvl="0">
      <w:lvlJc w:val="left"/>
      <w:lvlText w:val="%1."/>
      <w:numFmt w:val="decimal"/>
      <w:start w:val="16"/>
    </w:lvl>
  </w:abstractNum>
  <w:abstractNum w:abstractNumId="115">
    <w:nsid w:val="1816F8C4"/>
    <w:multiLevelType w:val="hybridMultilevel"/>
    <w:lvl w:ilvl="0">
      <w:lvlJc w:val="left"/>
      <w:lvlText w:val="%1."/>
      <w:numFmt w:val="decimal"/>
      <w:start w:val="17"/>
    </w:lvl>
  </w:abstractNum>
  <w:abstractNum w:abstractNumId="116">
    <w:nsid w:val="37DF2233"/>
    <w:multiLevelType w:val="hybridMultilevel"/>
    <w:lvl w:ilvl="0">
      <w:lvlJc w:val="left"/>
      <w:lvlText w:val="%1."/>
      <w:numFmt w:val="decimal"/>
      <w:start w:val="18"/>
    </w:lvl>
  </w:abstractNum>
  <w:abstractNum w:abstractNumId="117">
    <w:nsid w:val="7AB49DAF"/>
    <w:multiLevelType w:val="hybridMultilevel"/>
    <w:lvl w:ilvl="0">
      <w:lvlJc w:val="left"/>
      <w:lvlText w:val="%1."/>
      <w:numFmt w:val="decimal"/>
      <w:start w:val="19"/>
    </w:lvl>
  </w:abstractNum>
  <w:abstractNum w:abstractNumId="118">
    <w:nsid w:val="759F82CD"/>
    <w:multiLevelType w:val="hybridMultilevel"/>
    <w:lvl w:ilvl="0">
      <w:lvlJc w:val="left"/>
      <w:lvlText w:val="%1."/>
      <w:numFmt w:val="decimal"/>
      <w:start w:val="20"/>
    </w:lvl>
  </w:abstractNum>
  <w:abstractNum w:abstractNumId="119">
    <w:nsid w:val="61E74EA3"/>
    <w:multiLevelType w:val="hybridMultilevel"/>
    <w:lvl w:ilvl="0">
      <w:lvlJc w:val="left"/>
      <w:lvlText w:val="%1."/>
      <w:numFmt w:val="decimal"/>
      <w:start w:val="21"/>
    </w:lvl>
  </w:abstractNum>
  <w:abstractNum w:abstractNumId="120">
    <w:nsid w:val="597B4D84"/>
    <w:multiLevelType w:val="hybridMultilevel"/>
    <w:lvl w:ilvl="0">
      <w:lvlJc w:val="left"/>
      <w:lvlText w:val="%1."/>
      <w:numFmt w:val="decimal"/>
      <w:start w:val="22"/>
    </w:lvl>
  </w:abstractNum>
  <w:abstractNum w:abstractNumId="121">
    <w:nsid w:val="F819E7F"/>
    <w:multiLevelType w:val="hybridMultilevel"/>
    <w:lvl w:ilvl="0">
      <w:lvlJc w:val="left"/>
      <w:lvlText w:val="%1."/>
      <w:numFmt w:val="decimal"/>
      <w:start w:val="23"/>
    </w:lvl>
  </w:abstractNum>
  <w:abstractNum w:abstractNumId="122">
    <w:nsid w:val="57C7D42D"/>
    <w:multiLevelType w:val="hybridMultilevel"/>
    <w:lvl w:ilvl="0">
      <w:lvlJc w:val="left"/>
      <w:lvlText w:val="%1."/>
      <w:numFmt w:val="decimal"/>
      <w:start w:val="24"/>
    </w:lvl>
  </w:abstractNum>
  <w:abstractNum w:abstractNumId="123">
    <w:nsid w:val="312167AD"/>
    <w:multiLevelType w:val="hybridMultilevel"/>
    <w:lvl w:ilvl="0">
      <w:lvlJc w:val="left"/>
      <w:lvlText w:val="(%1)"/>
      <w:numFmt w:val="decimal"/>
      <w:start w:val="1"/>
    </w:lvl>
  </w:abstractNum>
  <w:abstractNum w:abstractNumId="124">
    <w:nsid w:val="631B64D4"/>
    <w:multiLevelType w:val="hybridMultilevel"/>
    <w:lvl w:ilvl="0">
      <w:lvlJc w:val="left"/>
      <w:lvlText w:val="•"/>
      <w:numFmt w:val="bullet"/>
      <w:start w:val="1"/>
    </w:lvl>
  </w:abstractNum>
  <w:abstractNum w:abstractNumId="125">
    <w:nsid w:val="78B5E776"/>
    <w:multiLevelType w:val="hybridMultilevel"/>
    <w:lvl w:ilvl="0">
      <w:lvlJc w:val="left"/>
      <w:lvlText w:val="•"/>
      <w:numFmt w:val="bullet"/>
      <w:start w:val="1"/>
    </w:lvl>
  </w:abstractNum>
  <w:abstractNum w:abstractNumId="126">
    <w:nsid w:val="75486E47"/>
    <w:multiLevelType w:val="hybridMultilevel"/>
    <w:lvl w:ilvl="0">
      <w:lvlJc w:val="left"/>
      <w:lvlText w:val="•"/>
      <w:numFmt w:val="bullet"/>
      <w:start w:val="1"/>
    </w:lvl>
  </w:abstractNum>
  <w:abstractNum w:abstractNumId="127">
    <w:nsid w:val="6E534CDE"/>
    <w:multiLevelType w:val="hybridMultilevel"/>
    <w:lvl w:ilvl="0">
      <w:lvlJc w:val="left"/>
      <w:lvlText w:val="•"/>
      <w:numFmt w:val="bullet"/>
      <w:start w:val="1"/>
    </w:lvl>
  </w:abstractNum>
  <w:abstractNum w:abstractNumId="128">
    <w:nsid w:val="1A0DDE32"/>
    <w:multiLevelType w:val="hybridMultilevel"/>
    <w:lvl w:ilvl="0">
      <w:lvlJc w:val="left"/>
      <w:lvlText w:val="•"/>
      <w:numFmt w:val="bullet"/>
      <w:start w:val="1"/>
    </w:lvl>
  </w:abstractNum>
  <w:abstractNum w:abstractNumId="129">
    <w:nsid w:val="65968C1C"/>
    <w:multiLevelType w:val="hybridMultilevel"/>
    <w:lvl w:ilvl="0">
      <w:lvlJc w:val="left"/>
      <w:lvlText w:val="•"/>
      <w:numFmt w:val="bullet"/>
      <w:start w:val="1"/>
    </w:lvl>
  </w:abstractNum>
  <w:abstractNum w:abstractNumId="130">
    <w:nsid w:val="46263DEC"/>
    <w:multiLevelType w:val="hybridMultilevel"/>
    <w:lvl w:ilvl="0">
      <w:lvlJc w:val="left"/>
      <w:lvlText w:val="•"/>
      <w:numFmt w:val="bullet"/>
      <w:start w:val="1"/>
    </w:lvl>
  </w:abstractNum>
  <w:abstractNum w:abstractNumId="131">
    <w:nsid w:val="260D8C4A"/>
    <w:multiLevelType w:val="hybridMultilevel"/>
    <w:lvl w:ilvl="0">
      <w:lvlJc w:val="left"/>
      <w:lvlText w:val="•"/>
      <w:numFmt w:val="bullet"/>
      <w:start w:val="1"/>
    </w:lvl>
  </w:abstractNum>
  <w:abstractNum w:abstractNumId="132">
    <w:nsid w:val="73D4D3C4"/>
    <w:multiLevelType w:val="hybridMultilevel"/>
    <w:lvl w:ilvl="0">
      <w:lvlJc w:val="left"/>
      <w:lvlText w:val="•"/>
      <w:numFmt w:val="bullet"/>
      <w:start w:val="1"/>
    </w:lvl>
    <w:lvl w:ilvl="1">
      <w:lvlJc w:val="left"/>
      <w:lvlText w:val="%2."/>
      <w:numFmt w:val="lowerLetter"/>
      <w:start w:val="1"/>
    </w:lvl>
  </w:abstractNum>
  <w:abstractNum w:abstractNumId="133">
    <w:nsid w:val="746F2E30"/>
    <w:multiLevelType w:val="hybridMultilevel"/>
    <w:lvl w:ilvl="0">
      <w:lvlJc w:val="left"/>
      <w:lvlText w:val="•"/>
      <w:numFmt w:val="bullet"/>
      <w:start w:val="1"/>
    </w:lvl>
  </w:abstractNum>
  <w:abstractNum w:abstractNumId="134">
    <w:nsid w:val="6FDE8AF6"/>
    <w:multiLevelType w:val="hybridMultilevel"/>
    <w:lvl w:ilvl="0">
      <w:lvlJc w:val="left"/>
      <w:lvlText w:val="•"/>
      <w:numFmt w:val="bullet"/>
      <w:start w:val="1"/>
    </w:lvl>
  </w:abstractNum>
  <w:abstractNum w:abstractNumId="135">
    <w:nsid w:val="3FC32E20"/>
    <w:multiLevelType w:val="hybridMultilevel"/>
    <w:lvl w:ilvl="0">
      <w:lvlJc w:val="left"/>
      <w:lvlText w:val="•"/>
      <w:numFmt w:val="bullet"/>
      <w:start w:val="1"/>
    </w:lvl>
  </w:abstractNum>
  <w:abstractNum w:abstractNumId="136">
    <w:nsid w:val="49C0E823"/>
    <w:multiLevelType w:val="hybridMultilevel"/>
    <w:lvl w:ilvl="0">
      <w:lvlJc w:val="left"/>
      <w:lvlText w:val="•"/>
      <w:numFmt w:val="bullet"/>
      <w:start w:val="1"/>
    </w:lvl>
  </w:abstractNum>
  <w:abstractNum w:abstractNumId="137">
    <w:nsid w:val="14D53685"/>
    <w:multiLevelType w:val="hybridMultilevel"/>
    <w:lvl w:ilvl="0">
      <w:lvlJc w:val="left"/>
      <w:lvlText w:val="•"/>
      <w:numFmt w:val="bullet"/>
      <w:start w:val="1"/>
    </w:lvl>
  </w:abstractNum>
  <w:abstractNum w:abstractNumId="138">
    <w:nsid w:val="230F856C"/>
    <w:multiLevelType w:val="hybridMultilevel"/>
    <w:lvl w:ilvl="0">
      <w:lvlJc w:val="left"/>
      <w:lvlText w:val="•"/>
      <w:numFmt w:val="bullet"/>
      <w:start w:val="1"/>
    </w:lvl>
  </w:abstractNum>
  <w:abstractNum w:abstractNumId="139">
    <w:nsid w:val="6EAA85FB"/>
    <w:multiLevelType w:val="hybridMultilevel"/>
    <w:lvl w:ilvl="0">
      <w:lvlJc w:val="left"/>
      <w:lvlText w:val="•"/>
      <w:numFmt w:val="bullet"/>
      <w:start w:val="1"/>
    </w:lvl>
  </w:abstractNum>
  <w:abstractNum w:abstractNumId="140">
    <w:nsid w:val="3F06ECB2"/>
    <w:multiLevelType w:val="hybridMultilevel"/>
    <w:lvl w:ilvl="0">
      <w:lvlJc w:val="left"/>
      <w:lvlText w:val="•"/>
      <w:numFmt w:val="bullet"/>
      <w:start w:val="1"/>
    </w:lvl>
  </w:abstractNum>
  <w:abstractNum w:abstractNumId="141">
    <w:nsid w:val="3B594807"/>
    <w:multiLevelType w:val="hybridMultilevel"/>
    <w:lvl w:ilvl="0">
      <w:lvlJc w:val="left"/>
      <w:lvlText w:val="•"/>
      <w:numFmt w:val="bullet"/>
      <w:start w:val="1"/>
    </w:lvl>
  </w:abstractNum>
  <w:abstractNum w:abstractNumId="142">
    <w:nsid w:val="6CAA2304"/>
    <w:multiLevelType w:val="hybridMultilevel"/>
    <w:lvl w:ilvl="0">
      <w:lvlJc w:val="left"/>
      <w:lvlText w:val="•"/>
      <w:numFmt w:val="bullet"/>
      <w:start w:val="1"/>
    </w:lvl>
  </w:abstractNum>
  <w:abstractNum w:abstractNumId="143">
    <w:nsid w:val="3F7C2FF4"/>
    <w:multiLevelType w:val="hybridMultilevel"/>
    <w:lvl w:ilvl="0">
      <w:lvlJc w:val="left"/>
      <w:lvlText w:val="•"/>
      <w:numFmt w:val="bullet"/>
      <w:start w:val="1"/>
    </w:lvl>
  </w:abstractNum>
  <w:abstractNum w:abstractNumId="144">
    <w:nsid w:val="25413BEC"/>
    <w:multiLevelType w:val="hybridMultilevel"/>
    <w:lvl w:ilvl="0">
      <w:lvlJc w:val="left"/>
      <w:lvlText w:val="•"/>
      <w:numFmt w:val="bullet"/>
      <w:start w:val="1"/>
    </w:lvl>
  </w:abstractNum>
  <w:abstractNum w:abstractNumId="145">
    <w:nsid w:val="17180B0B"/>
    <w:multiLevelType w:val="hybridMultilevel"/>
    <w:lvl w:ilvl="0">
      <w:lvlJc w:val="left"/>
      <w:lvlText w:val="(%1)"/>
      <w:numFmt w:val="decimal"/>
      <w:start w:val="1"/>
    </w:lvl>
  </w:abstractNum>
  <w:abstractNum w:abstractNumId="146">
    <w:nsid w:val="579328B9"/>
    <w:multiLevelType w:val="hybridMultilevel"/>
    <w:lvl w:ilvl="0">
      <w:lvlJc w:val="left"/>
      <w:lvlText w:val="•"/>
      <w:numFmt w:val="bullet"/>
      <w:start w:val="1"/>
    </w:lvl>
  </w:abstractNum>
  <w:abstractNum w:abstractNumId="147">
    <w:nsid w:val="5D205E20"/>
    <w:multiLevelType w:val="hybridMultilevel"/>
    <w:lvl w:ilvl="0">
      <w:lvlJc w:val="left"/>
      <w:lvlText w:val="•"/>
      <w:numFmt w:val="bullet"/>
      <w:start w:val="1"/>
    </w:lvl>
  </w:abstractNum>
  <w:abstractNum w:abstractNumId="148">
    <w:nsid w:val="11CCA8BA"/>
    <w:multiLevelType w:val="hybridMultilevel"/>
    <w:lvl w:ilvl="0">
      <w:lvlJc w:val="left"/>
      <w:lvlText w:val="•"/>
      <w:numFmt w:val="bullet"/>
      <w:start w:val="1"/>
    </w:lvl>
  </w:abstractNum>
  <w:abstractNum w:abstractNumId="149">
    <w:nsid w:val="4D32AB86"/>
    <w:multiLevelType w:val="hybridMultilevel"/>
    <w:lvl w:ilvl="0">
      <w:lvlJc w:val="left"/>
      <w:lvlText w:val="•"/>
      <w:numFmt w:val="bullet"/>
      <w:start w:val="1"/>
    </w:lvl>
  </w:abstractNum>
  <w:abstractNum w:abstractNumId="150">
    <w:nsid w:val="3F07ACC3"/>
    <w:multiLevelType w:val="hybridMultilevel"/>
    <w:lvl w:ilvl="0">
      <w:lvlJc w:val="left"/>
      <w:lvlText w:val="•"/>
      <w:numFmt w:val="bullet"/>
      <w:start w:val="1"/>
    </w:lvl>
  </w:abstractNum>
  <w:abstractNum w:abstractNumId="151">
    <w:nsid w:val="6B47F63E"/>
    <w:multiLevelType w:val="hybridMultilevel"/>
    <w:lvl w:ilvl="0">
      <w:lvlJc w:val="left"/>
      <w:lvlText w:val="(%1)"/>
      <w:numFmt w:val="lowerRoman"/>
      <w:start w:val="2"/>
    </w:lvl>
  </w:abstractNum>
  <w:abstractNum w:abstractNumId="152">
    <w:nsid w:val="5CB44A05"/>
    <w:multiLevelType w:val="hybridMultilevel"/>
    <w:lvl w:ilvl="0">
      <w:lvlJc w:val="left"/>
      <w:lvlText w:val="•"/>
      <w:numFmt w:val="bullet"/>
      <w:start w:val="1"/>
    </w:lvl>
  </w:abstractNum>
  <w:abstractNum w:abstractNumId="153">
    <w:nsid w:val="16CF80F1"/>
    <w:multiLevelType w:val="hybridMultilevel"/>
    <w:lvl w:ilvl="0">
      <w:lvlJc w:val="left"/>
      <w:lvlText w:val="•"/>
      <w:numFmt w:val="bullet"/>
      <w:start w:val="1"/>
    </w:lvl>
  </w:abstractNum>
  <w:abstractNum w:abstractNumId="154">
    <w:nsid w:val="1C695DEC"/>
    <w:multiLevelType w:val="hybridMultilevel"/>
    <w:lvl w:ilvl="0">
      <w:lvlJc w:val="left"/>
      <w:lvlText w:val="•"/>
      <w:numFmt w:val="bullet"/>
      <w:start w:val="1"/>
    </w:lvl>
    <w:lvl w:ilvl="1">
      <w:lvlJc w:val="left"/>
      <w:lvlText w:val="(%2)"/>
      <w:numFmt w:val="lowerLetter"/>
      <w:start w:val="1"/>
    </w:lvl>
  </w:abstractNum>
  <w:abstractNum w:abstractNumId="155">
    <w:nsid w:val="3FCFAED9"/>
    <w:multiLevelType w:val="hybridMultilevel"/>
    <w:lvl w:ilvl="0">
      <w:lvlJc w:val="left"/>
      <w:lvlText w:val="•"/>
      <w:numFmt w:val="bullet"/>
      <w:start w:val="1"/>
    </w:lvl>
  </w:abstractNum>
  <w:abstractNum w:abstractNumId="156">
    <w:nsid w:val="F856867"/>
    <w:multiLevelType w:val="hybridMultilevel"/>
    <w:lvl w:ilvl="0">
      <w:lvlJc w:val="left"/>
      <w:lvlText w:val="•"/>
      <w:numFmt w:val="bullet"/>
      <w:start w:val="1"/>
    </w:lvl>
  </w:abstractNum>
  <w:abstractNum w:abstractNumId="157">
    <w:nsid w:val="11B1CC33"/>
    <w:multiLevelType w:val="hybridMultilevel"/>
    <w:lvl w:ilvl="0">
      <w:lvlJc w:val="left"/>
      <w:lvlText w:val="•"/>
      <w:numFmt w:val="bullet"/>
      <w:start w:val="1"/>
    </w:lvl>
  </w:abstractNum>
  <w:abstractNum w:abstractNumId="158">
    <w:nsid w:val="2E22FBB7"/>
    <w:multiLevelType w:val="hybridMultilevel"/>
    <w:lvl w:ilvl="0">
      <w:lvlJc w:val="left"/>
      <w:lvlText w:val="•"/>
      <w:numFmt w:val="bullet"/>
      <w:start w:val="1"/>
    </w:lvl>
  </w:abstractNum>
  <w:abstractNum w:abstractNumId="159">
    <w:nsid w:val="29934699"/>
    <w:multiLevelType w:val="hybridMultilevel"/>
    <w:lvl w:ilvl="0">
      <w:lvlJc w:val="left"/>
      <w:lvlText w:val="•"/>
      <w:numFmt w:val="bullet"/>
      <w:start w:val="1"/>
    </w:lvl>
  </w:abstractNum>
  <w:abstractNum w:abstractNumId="160">
    <w:nsid w:val="77485850"/>
    <w:multiLevelType w:val="hybridMultilevel"/>
    <w:lvl w:ilvl="0">
      <w:lvlJc w:val="left"/>
      <w:lvlText w:val="•"/>
      <w:numFmt w:val="bullet"/>
      <w:start w:val="1"/>
    </w:lvl>
  </w:abstractNum>
  <w:abstractNum w:abstractNumId="161">
    <w:nsid w:val="744939A3"/>
    <w:multiLevelType w:val="hybridMultilevel"/>
    <w:lvl w:ilvl="0">
      <w:lvlJc w:val="left"/>
      <w:lvlText w:val="•"/>
      <w:numFmt w:val="bullet"/>
      <w:start w:val="1"/>
    </w:lvl>
  </w:abstractNum>
  <w:abstractNum w:abstractNumId="162">
    <w:nsid w:val="4FA0D2E3"/>
    <w:multiLevelType w:val="hybridMultilevel"/>
    <w:lvl w:ilvl="0">
      <w:lvlJc w:val="left"/>
      <w:lvlText w:val="•"/>
      <w:numFmt w:val="bullet"/>
      <w:start w:val="1"/>
    </w:lvl>
  </w:abstractNum>
  <w:abstractNum w:abstractNumId="163">
    <w:nsid w:val="6B1D2C14"/>
    <w:multiLevelType w:val="hybridMultilevel"/>
    <w:lvl w:ilvl="0">
      <w:lvlJc w:val="left"/>
      <w:lvlText w:val="•"/>
      <w:numFmt w:val="bullet"/>
      <w:start w:val="1"/>
    </w:lvl>
  </w:abstractNum>
  <w:abstractNum w:abstractNumId="164">
    <w:nsid w:val="68B867D3"/>
    <w:multiLevelType w:val="hybridMultilevel"/>
    <w:lvl w:ilvl="0">
      <w:lvlJc w:val="left"/>
      <w:lvlText w:val="•"/>
      <w:numFmt w:val="bullet"/>
      <w:start w:val="1"/>
    </w:lvl>
  </w:abstractNum>
  <w:abstractNum w:abstractNumId="165">
    <w:nsid w:val="3F7F5DD9"/>
    <w:multiLevelType w:val="hybridMultilevel"/>
    <w:lvl w:ilvl="0">
      <w:lvlJc w:val="left"/>
      <w:lvlText w:val="•"/>
      <w:numFmt w:val="bullet"/>
      <w:start w:val="1"/>
    </w:lvl>
  </w:abstractNum>
  <w:abstractNum w:abstractNumId="166">
    <w:nsid w:val="2AE05A34"/>
    <w:multiLevelType w:val="hybridMultilevel"/>
    <w:lvl w:ilvl="0">
      <w:lvlJc w:val="left"/>
      <w:lvlText w:val="•"/>
      <w:numFmt w:val="bullet"/>
      <w:start w:val="1"/>
    </w:lvl>
  </w:abstractNum>
  <w:abstractNum w:abstractNumId="167">
    <w:nsid w:val="32794FF7"/>
    <w:multiLevelType w:val="hybridMultilevel"/>
    <w:lvl w:ilvl="0">
      <w:lvlJc w:val="left"/>
      <w:lvlText w:val="%1."/>
      <w:numFmt w:val="decimal"/>
      <w:start w:val="1"/>
    </w:lvl>
    <w:lvl w:ilvl="1">
      <w:lvlJc w:val="left"/>
      <w:lvlText w:val="(%2)"/>
      <w:numFmt w:val="lowerLetter"/>
      <w:start w:val="1"/>
    </w:lvl>
  </w:abstractNum>
  <w:abstractNum w:abstractNumId="168">
    <w:nsid w:val="5454945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30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359" Type="http://schemas.openxmlformats.org/officeDocument/2006/relationships/image" Target="media/image295.png"/><Relationship Id="rId360" Type="http://schemas.openxmlformats.org/officeDocument/2006/relationships/image" Target="media/image296.png"/><Relationship Id="rId361" Type="http://schemas.openxmlformats.org/officeDocument/2006/relationships/image" Target="media/image297.png"/><Relationship Id="rId362" Type="http://schemas.openxmlformats.org/officeDocument/2006/relationships/image" Target="media/image298.png"/><Relationship Id="rId363" Type="http://schemas.openxmlformats.org/officeDocument/2006/relationships/image" Target="media/image299.png"/><Relationship Id="rId364" Type="http://schemas.openxmlformats.org/officeDocument/2006/relationships/image" Target="media/image300.png"/><Relationship Id="rId365" Type="http://schemas.openxmlformats.org/officeDocument/2006/relationships/image" Target="media/image301.png"/><Relationship Id="rId366" Type="http://schemas.openxmlformats.org/officeDocument/2006/relationships/image" Target="media/image302.png"/><Relationship Id="rId367" Type="http://schemas.openxmlformats.org/officeDocument/2006/relationships/image" Target="media/image303.png"/><Relationship Id="rId368" Type="http://schemas.openxmlformats.org/officeDocument/2006/relationships/image" Target="media/image304.png"/><Relationship Id="rId369" Type="http://schemas.openxmlformats.org/officeDocument/2006/relationships/image" Target="media/image305.png"/><Relationship Id="rId370" Type="http://schemas.openxmlformats.org/officeDocument/2006/relationships/image" Target="media/image306.png"/><Relationship Id="rId371" Type="http://schemas.openxmlformats.org/officeDocument/2006/relationships/image" Target="media/image307.png"/><Relationship Id="rId372" Type="http://schemas.openxmlformats.org/officeDocument/2006/relationships/image" Target="media/image308.png"/><Relationship Id="rId373"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396" Type="http://schemas.openxmlformats.org/officeDocument/2006/relationships/image" Target="media/image332.png"/><Relationship Id="rId397" Type="http://schemas.openxmlformats.org/officeDocument/2006/relationships/image" Target="media/image333.png"/><Relationship Id="rId398" Type="http://schemas.openxmlformats.org/officeDocument/2006/relationships/image" Target="media/image334.png"/><Relationship Id="rId399" Type="http://schemas.openxmlformats.org/officeDocument/2006/relationships/image" Target="media/image335.png"/><Relationship Id="rId400" Type="http://schemas.openxmlformats.org/officeDocument/2006/relationships/image" Target="media/image336.png"/><Relationship Id="rId401" Type="http://schemas.openxmlformats.org/officeDocument/2006/relationships/image" Target="media/image337.png"/><Relationship Id="rId402" Type="http://schemas.openxmlformats.org/officeDocument/2006/relationships/image" Target="media/image338.png"/><Relationship Id="rId403" Type="http://schemas.openxmlformats.org/officeDocument/2006/relationships/image" Target="media/image339.png"/><Relationship Id="rId404" Type="http://schemas.openxmlformats.org/officeDocument/2006/relationships/image" Target="media/image340.png"/><Relationship Id="rId405" Type="http://schemas.openxmlformats.org/officeDocument/2006/relationships/image" Target="media/image341.png"/><Relationship Id="rId406" Type="http://schemas.openxmlformats.org/officeDocument/2006/relationships/image" Target="media/image342.png"/><Relationship Id="rId407"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1" Type="http://schemas.openxmlformats.org/officeDocument/2006/relationships/image" Target="media/image347.png"/><Relationship Id="rId412" Type="http://schemas.openxmlformats.org/officeDocument/2006/relationships/image" Target="media/image348.png"/><Relationship Id="rId413" Type="http://schemas.openxmlformats.org/officeDocument/2006/relationships/image" Target="media/image349.png"/><Relationship Id="rId414" Type="http://schemas.openxmlformats.org/officeDocument/2006/relationships/image" Target="media/image350.png"/><Relationship Id="rId415" Type="http://schemas.openxmlformats.org/officeDocument/2006/relationships/image" Target="media/image351.png"/><Relationship Id="rId416" Type="http://schemas.openxmlformats.org/officeDocument/2006/relationships/image" Target="media/image352.png"/><Relationship Id="rId417"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20" Type="http://schemas.openxmlformats.org/officeDocument/2006/relationships/image" Target="media/image356.png"/><Relationship Id="rId421" Type="http://schemas.openxmlformats.org/officeDocument/2006/relationships/image" Target="media/image357.png"/><Relationship Id="rId422" Type="http://schemas.openxmlformats.org/officeDocument/2006/relationships/image" Target="media/image358.png"/><Relationship Id="rId423" Type="http://schemas.openxmlformats.org/officeDocument/2006/relationships/image" Target="media/image359.png"/><Relationship Id="rId424" Type="http://schemas.openxmlformats.org/officeDocument/2006/relationships/image" Target="media/image360.png"/><Relationship Id="rId425" Type="http://schemas.openxmlformats.org/officeDocument/2006/relationships/image" Target="media/image361.png"/><Relationship Id="rId426" Type="http://schemas.openxmlformats.org/officeDocument/2006/relationships/image" Target="media/image362.png"/><Relationship Id="rId427" Type="http://schemas.openxmlformats.org/officeDocument/2006/relationships/image" Target="media/image363.png"/><Relationship Id="rId428" Type="http://schemas.openxmlformats.org/officeDocument/2006/relationships/image" Target="media/image364.png"/><Relationship Id="rId256" Type="http://schemas.openxmlformats.org/officeDocument/2006/relationships/hyperlink" Target="http://www.sec.gov/Archives/edgar/data/875045/000087504513000010/apa.htm" TargetMode="External"/><Relationship Id="rId257" Type="http://schemas.openxmlformats.org/officeDocument/2006/relationships/hyperlink" Target="http://www.sec.gov/Archives/edgar/data/875045/000087504517000007/ex21_separationxagreement.htm" TargetMode="External"/><Relationship Id="rId258" Type="http://schemas.openxmlformats.org/officeDocument/2006/relationships/hyperlink" Target="http://www.sec.gov/Archives/edgar/data/875045/000119312512312222/d362642dex31.htm" TargetMode="External"/><Relationship Id="rId259" Type="http://schemas.openxmlformats.org/officeDocument/2006/relationships/hyperlink" Target="http://www.sec.gov/Archives/edgar/data/875045/000087504515000008/biib-2015x327xexhibit31.htm" TargetMode="External"/><Relationship Id="rId260" Type="http://schemas.openxmlformats.org/officeDocument/2006/relationships/hyperlink" Target="https://www.sec.gov/Archives/edgar/data/0000875045/000087504521000032/formxex31xcertificateofame.htm" TargetMode="External"/><Relationship Id="rId261" Type="http://schemas.openxmlformats.org/officeDocument/2006/relationships/hyperlink" Target="http://www.sec.gov/Archives/edgar/data/875045/000119312517200127/d406783dex31.htm" TargetMode="External"/><Relationship Id="rId262" Type="http://schemas.openxmlformats.org/officeDocument/2006/relationships/hyperlink" Target="https://www.sec.gov/Archives/edgar/data/0000875045/000119312520128818/d857739dex42.htm" TargetMode="External"/><Relationship Id="rId263" Type="http://schemas.openxmlformats.org/officeDocument/2006/relationships/hyperlink" Target="http://www.sec.gov/Archives/edgar/data/875045/000119312515320650/d78596dex41.htm" TargetMode="External"/><Relationship Id="rId264" Type="http://schemas.openxmlformats.org/officeDocument/2006/relationships/hyperlink" Target="http://www.sec.gov/Archives/edgar/data/875045/000119312515320650/d78596dex42.htm" TargetMode="External"/><Relationship Id="rId265" Type="http://schemas.openxmlformats.org/officeDocument/2006/relationships/hyperlink" Target="https://www.sec.gov/Archives/edgar/data/875045/000119312521044891/d124092dex42.htm" TargetMode="External"/><Relationship Id="rId266" Type="http://schemas.openxmlformats.org/officeDocument/2006/relationships/hyperlink" Target="https://www.sec.gov/Archives/edgar/data/875045/000119312521044891/d124092dex43.htm" TargetMode="External"/><Relationship Id="rId267" Type="http://schemas.openxmlformats.org/officeDocument/2006/relationships/hyperlink" Target="https://www.sec.gov/Archives/edgar/data/875045/000119312521044891/d124092dex44.htm" TargetMode="External"/><Relationship Id="rId268" Type="http://schemas.openxmlformats.org/officeDocument/2006/relationships/hyperlink" Target="https://www.sec.gov/Archives/edgar/data/875045/000119312521044891/d124092dex45.htm" TargetMode="External"/><Relationship Id="rId269" Type="http://schemas.openxmlformats.org/officeDocument/2006/relationships/hyperlink" Target="http://www.sec.gov/Archives/edgar/data/875045/000087504515000028/creditagreement2015biogen.htm" TargetMode="External"/><Relationship Id="rId270" Type="http://schemas.openxmlformats.org/officeDocument/2006/relationships/hyperlink" Target="http://www.sec.gov/Archives/edgar/data/875045/000119312520022940/d854655dex101.htm" TargetMode="External"/><Relationship Id="rId271" Type="http://schemas.openxmlformats.org/officeDocument/2006/relationships/hyperlink" Target="http://www.sec.gov/Archives/edgar/data/875045/000095012311009300/b83162exv10w5.htm" TargetMode="External"/><Relationship Id="rId272" Type="http://schemas.openxmlformats.org/officeDocument/2006/relationships/hyperlink" Target="http://www.sec.gov/Archives/edgar/data/875045/000095012311009300/b83162exv10w6.htm" TargetMode="External"/><Relationship Id="rId273" Type="http://schemas.openxmlformats.org/officeDocument/2006/relationships/hyperlink" Target="http://www.sec.gov/Archives/edgar/data/875045/000095015717000082/ex10-1.htm" TargetMode="External"/><Relationship Id="rId274" Type="http://schemas.openxmlformats.org/officeDocument/2006/relationships/hyperlink" Target="http://www.sec.gov/Archives/edgar/data/875045/000119312517139450/d43428ddef14a.htm#toc43428_63" TargetMode="External"/><Relationship Id="rId275" Type="http://schemas.openxmlformats.org/officeDocument/2006/relationships/hyperlink" Target="http://www.sec.gov/Archives/edgar/data/875045/000087504517000024/biib-2017630xexhibit102.htm" TargetMode="External"/><Relationship Id="rId276" Type="http://schemas.openxmlformats.org/officeDocument/2006/relationships/hyperlink" Target="http://www.sec.gov/Archives/edgar/data/875045/000087504517000024/biib-2017630xexhibit103.htm" TargetMode="External"/><Relationship Id="rId277" Type="http://schemas.openxmlformats.org/officeDocument/2006/relationships/hyperlink" Target="http://www.sec.gov/Archives/edgar/data/875045/000087504517000024/biib-2017630xexhibit104.htm" TargetMode="External"/><Relationship Id="rId278" Type="http://schemas.openxmlformats.org/officeDocument/2006/relationships/hyperlink" Target="http://www.sec.gov/Archives/edgar/data/875045/000087504517000024/biib-2017630xexhibit105.htm" TargetMode="External"/><Relationship Id="rId281" Type="http://schemas.openxmlformats.org/officeDocument/2006/relationships/hyperlink" Target="http://www.sec.gov/Archives/edgar/data/875045/000087504518000005/biib-20171231xex1010.htm" TargetMode="External"/><Relationship Id="rId282" Type="http://schemas.openxmlformats.org/officeDocument/2006/relationships/hyperlink" Target="http://www.sec.gov/Archives/edgar/data/875045/000087504518000005/biib-20171231xex1011.htm" TargetMode="External"/><Relationship Id="rId283" Type="http://schemas.openxmlformats.org/officeDocument/2006/relationships/hyperlink" Target="http://www.sec.gov/Archives/edgar/data/875045/000087504518000010/biib-2018331xex101.htm" TargetMode="External"/><Relationship Id="rId284" Type="http://schemas.openxmlformats.org/officeDocument/2006/relationships/hyperlink" Target="http://www.sec.gov/Archives/edgar/data/875045/000087504518000010/biib-2018331xex102.htm" TargetMode="External"/><Relationship Id="rId285" Type="http://schemas.openxmlformats.org/officeDocument/2006/relationships/hyperlink" Target="http://www.sec.gov/Archives/edgar/data/875045/000087504518000010/biib-2018331xex103.htm" TargetMode="External"/><Relationship Id="rId286" Type="http://schemas.openxmlformats.org/officeDocument/2006/relationships/hyperlink" Target="http://www.sec.gov/Archives/edgar/data/875045/000087504519000029/biib-2019630xex101.htm" TargetMode="External"/><Relationship Id="rId287" Type="http://schemas.openxmlformats.org/officeDocument/2006/relationships/hyperlink" Target="http://www.sec.gov/Archives/edgar/data/875045/000087504519000029/biib-2019630xex102.htm" TargetMode="External"/><Relationship Id="rId288" Type="http://schemas.openxmlformats.org/officeDocument/2006/relationships/hyperlink" Target="http://www.sec.gov/Archives/edgar/data/875045/000087504519000029/biib-2019630xex103.htm" TargetMode="External"/><Relationship Id="rId289" Type="http://schemas.openxmlformats.org/officeDocument/2006/relationships/hyperlink" Target="http://www.sec.gov/Archives/edgar/data/875045/000087504514000011/biib-2014331xex101.htm" TargetMode="External"/><Relationship Id="rId290" Type="http://schemas.openxmlformats.org/officeDocument/2006/relationships/hyperlink" Target="http://www.sec.gov/Archives/edgar/data/875045/000087504514000011/biib-2014331xex102.htm" TargetMode="External"/><Relationship Id="rId291" Type="http://schemas.openxmlformats.org/officeDocument/2006/relationships/hyperlink" Target="http://www.sec.gov/Archives/edgar/data/875045/000087504514000011/biib-2014331xex103.htm" TargetMode="External"/><Relationship Id="rId292" Type="http://schemas.openxmlformats.org/officeDocument/2006/relationships/hyperlink" Target="http://www.sec.gov/Archives/edgar/data/875045/000095013508005246/b71469biexv10w1.htm" TargetMode="External"/><Relationship Id="rId293" Type="http://schemas.openxmlformats.org/officeDocument/2006/relationships/hyperlink" Target="http://www.sec.gov/Archives/edgar/data/875045/000095013508005246/b71469biexv10w2.htm" TargetMode="External"/><Relationship Id="rId294" Type="http://schemas.openxmlformats.org/officeDocument/2006/relationships/hyperlink" Target="http://www.sec.gov/Archives/edgar/data/875045/000095012310036233/b79987exv10w1.htm" TargetMode="External"/><Relationship Id="rId295" Type="http://schemas.openxmlformats.org/officeDocument/2006/relationships/hyperlink" Target="http://www.sec.gov/Archives/edgar/data/875045/000087504515000014/biib-2015331xex101.htm" TargetMode="External"/><Relationship Id="rId296" Type="http://schemas.openxmlformats.org/officeDocument/2006/relationships/hyperlink" Target="http://www.sec.gov/Archives/edgar/data/875045/000119312515159387/d786327ddef14a.htm#toc786327_57" TargetMode="External"/><Relationship Id="rId297" Type="http://schemas.openxmlformats.org/officeDocument/2006/relationships/hyperlink" Target="http://www.sec.gov/Archives/edgar/data/875045/000095013508003542/b67068dfdefc14a.htm#152" TargetMode="External"/><Relationship Id="rId298" Type="http://schemas.openxmlformats.org/officeDocument/2006/relationships/hyperlink" Target="http://www.sec.gov/Archives/edgar/data/875045/000087504519000017/biib-2019331xex101.htm" TargetMode="External"/><Relationship Id="rId299" Type="http://schemas.openxmlformats.org/officeDocument/2006/relationships/hyperlink" Target="http://www.sec.gov/Archives/edgar/data/875045/000095013504001180/b48790biexv10w13.txt" TargetMode="External"/><Relationship Id="rId300" Type="http://schemas.openxmlformats.org/officeDocument/2006/relationships/hyperlink" Target="http://www.sec.gov/Archives/edgar/data/875045/000087504516000042/biib-20151231xex1023.htm" TargetMode="External"/><Relationship Id="rId301" Type="http://schemas.openxmlformats.org/officeDocument/2006/relationships/hyperlink" Target="http://www.sec.gov/Archives/edgar/data/875045/000087504516000042/biib-20151231xex1024.htm" TargetMode="External"/><Relationship Id="rId302" Type="http://schemas.openxmlformats.org/officeDocument/2006/relationships/hyperlink" Target="http://www.sec.gov/Archives/edgar/data/875045/000087504519000029/biib-2019630xex104.htm" TargetMode="External"/><Relationship Id="rId303" Type="http://schemas.openxmlformats.org/officeDocument/2006/relationships/hyperlink" Target="https://www.sec.gov/Archives/edgar/data/875045/000087504520000036/exhibit101-severancepo.htm" TargetMode="External"/><Relationship Id="rId304" Type="http://schemas.openxmlformats.org/officeDocument/2006/relationships/hyperlink" Target="http://www.sec.gov/Archives/edgar/data/875045/000087504519000041/biib-2019930xex101.htm" TargetMode="External"/><Relationship Id="rId306" Type="http://schemas.openxmlformats.org/officeDocument/2006/relationships/hyperlink" Target="http://www.sec.gov/Archives/edgar/data/875045/000095012311057276/b86869exv10w1.htm" TargetMode="External"/><Relationship Id="rId307" Type="http://schemas.openxmlformats.org/officeDocument/2006/relationships/hyperlink" Target="http://www.sec.gov/Archives/edgar/data/875045/000087504516000076/biogenemploymentagreementf.htm" TargetMode="External"/><Relationship Id="rId308" Type="http://schemas.openxmlformats.org/officeDocument/2006/relationships/hyperlink" Target="https://www.sec.gov/Archives/edgar/data/875045/000087504520000036/exhibit102-mcdonnellof.htm" TargetMode="External"/><Relationship Id="rId309" Type="http://schemas.openxmlformats.org/officeDocument/2006/relationships/hyperlink" Target="http://www.sec.gov/Archives/edgar/data/875045/000095012310010528/b77985exv10w58.htm" TargetMode="External"/><Relationship Id="rId310" Type="http://schemas.openxmlformats.org/officeDocument/2006/relationships/hyperlink" Target="https://www.sec.gov/Archives/edgar/data/875045/000087504513000027/biib-2013630xex101.htm" TargetMode="External"/><Relationship Id="rId311" Type="http://schemas.openxmlformats.org/officeDocument/2006/relationships/hyperlink" Target="https://www.sec.gov/Archives/edgar/data/875045/000087504516000042/biib-20151231xex1037.htm" TargetMode="External"/><Relationship Id="rId312" Type="http://schemas.openxmlformats.org/officeDocument/2006/relationships/hyperlink" Target="https://www.sec.gov/Archives/edgar/data/0000875045/000087504521000010/biib-20201231xex1041.htm" TargetMode="External"/><Relationship Id="rId313" Type="http://schemas.openxmlformats.org/officeDocument/2006/relationships/hyperlink" Target="http://www.sec.gov/Archives/edgar/data/875045/000087504518000005/biib-20171231xex1031.htm" TargetMode="External"/><Relationship Id="rId314" Type="http://schemas.openxmlformats.org/officeDocument/2006/relationships/hyperlink" Target="https://www.sec.gov/Archives/edgar/data/875045/000087504520000036/exhibit103-capellosepa.htm" TargetMode="External"/><Relationship Id="rId315" Type="http://schemas.openxmlformats.org/officeDocument/2006/relationships/hyperlink" Target="https://www.sec.gov/Archives/edgar/data/0000875045/000087504521000028/biib-2021331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2022-02-03T16:31:49Z</dcterms:created>
  <dcterms:modified xsi:type="dcterms:W3CDTF">2022-02-03T16:31:49Z</dcterms:modified>
</cp:coreProperties>
</file>