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png" ContentType="image/pn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12.png" ContentType="image/pn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UNITED STATES</w:t>
      </w:r>
    </w:p>
    <w:p>
      <w:pPr>
        <w:pStyle w:val="TextBody"/>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SECURITIES AND EXCHANGE COMMISSION</w:t>
      </w:r>
    </w:p>
    <w:p>
      <w:pPr>
        <w:pStyle w:val="TextBody"/>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Washington, D.C. 20549</w:t>
      </w:r>
    </w:p>
    <w:p>
      <w:pPr>
        <w:pStyle w:val="TextBody"/>
        <w:spacing w:lineRule="auto" w:line="288" w:before="100" w:after="283"/>
        <w:jc w:val="center"/>
        <w:rPr>
          <w:rFonts w:ascii="Franklin Gothic Book;sans-serif" w:hAnsi="Franklin Gothic Book;sans-serif"/>
          <w:b/>
          <w:color w:val="000000"/>
          <w:sz w:val="36"/>
        </w:rPr>
      </w:pPr>
      <w:r>
        <w:rPr>
          <w:rFonts w:ascii="Franklin Gothic Book;sans-serif" w:hAnsi="Franklin Gothic Book;sans-serif"/>
          <w:b/>
          <w:color w:val="000000"/>
          <w:sz w:val="36"/>
        </w:rPr>
        <w:t xml:space="preserve">Form 10-Q </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24"/>
              </w:rPr>
            </w:pPr>
            <w:r>
              <w:rPr>
                <w:rFonts w:ascii="Franklin Gothic Book;sans-serif" w:hAnsi="Franklin Gothic Book;sans-serif"/>
                <w:b/>
                <w:color w:val="000000"/>
                <w:sz w:val="24"/>
              </w:rPr>
              <w:t>QUARTERLY REPORT PURSUANT TO SECTION 13 OR 15(d) OF THE SECURITIES EXCHANGE ACT OF 1934</w:t>
            </w:r>
          </w:p>
        </w:tc>
      </w:tr>
    </w:tbl>
    <w:p>
      <w:pPr>
        <w:pStyle w:val="TextBody"/>
        <w:spacing w:lineRule="auto" w:line="288" w:before="0" w:after="0"/>
        <w:rPr>
          <w:rFonts w:ascii="Franklin Gothic Book;sans-serif" w:hAnsi="Franklin Gothic Book;sans-serif"/>
          <w:b/>
          <w:color w:val="000000"/>
          <w:sz w:val="20"/>
        </w:rPr>
      </w:pPr>
      <w:r>
        <w:rPr>
          <w:rFonts w:ascii="Franklin Gothic Book;sans-serif" w:hAnsi="Franklin Gothic Book;sans-serif"/>
          <w:b/>
          <w:color w:val="000000"/>
          <w:sz w:val="20"/>
        </w:rPr>
        <w:t xml:space="preserve">For the quarterly period ended March 31, 2023 </w:t>
      </w:r>
    </w:p>
    <w:p>
      <w:pPr>
        <w:pStyle w:val="TextBody"/>
        <w:spacing w:lineRule="auto" w:line="288" w:before="8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24"/>
              </w:rPr>
            </w:pPr>
            <w:r>
              <w:rPr>
                <w:rFonts w:ascii="Franklin Gothic Book;sans-serif" w:hAnsi="Franklin Gothic Book;sans-serif"/>
                <w:b/>
                <w:color w:val="000000"/>
                <w:sz w:val="24"/>
              </w:rPr>
              <w:t>TRANSITION REPORT PURSUANT TO SECTION 13 OR 15(d) OF THE SECURITIES EXCHANGE ACT OF 1934</w:t>
            </w:r>
          </w:p>
        </w:tc>
      </w:tr>
    </w:tbl>
    <w:p>
      <w:pPr>
        <w:pStyle w:val="TextBody"/>
        <w:spacing w:lineRule="auto" w:line="288" w:before="4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Commission File Number 0-19311</w:t>
      </w:r>
    </w:p>
    <w:p>
      <w:pPr>
        <w:pStyle w:val="TextBody"/>
        <w:spacing w:before="140" w:after="283"/>
        <w:jc w:val="center"/>
        <w:rPr/>
      </w:pPr>
      <w:r>
        <w:rPr/>
        <w:drawing>
          <wp:inline distT="0" distB="63500" distL="0" distR="0">
            <wp:extent cx="8763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76300" cy="285750"/>
                    </a:xfrm>
                    <a:prstGeom prst="rect">
                      <a:avLst/>
                    </a:prstGeom>
                  </pic:spPr>
                </pic:pic>
              </a:graphicData>
            </a:graphic>
          </wp:inline>
        </w:drawing>
      </w:r>
    </w:p>
    <w:p>
      <w:pPr>
        <w:pStyle w:val="TextBody"/>
        <w:spacing w:lineRule="auto" w:line="288" w:before="0" w:after="0"/>
        <w:jc w:val="center"/>
        <w:rPr>
          <w:rFonts w:ascii="Franklin Gothic Book;sans-serif" w:hAnsi="Franklin Gothic Book;sans-serif"/>
          <w:b/>
          <w:color w:val="000000"/>
          <w:sz w:val="48"/>
        </w:rPr>
      </w:pPr>
      <w:r>
        <w:rPr>
          <w:rFonts w:ascii="Franklin Gothic Book;sans-serif" w:hAnsi="Franklin Gothic Book;sans-serif"/>
          <w:b/>
          <w:color w:val="000000"/>
          <w:sz w:val="48"/>
        </w:rPr>
        <w:t xml:space="preserve">BIOGEN INC. </w:t>
      </w:r>
    </w:p>
    <w:p>
      <w:pPr>
        <w:pStyle w:val="TextBody"/>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(Exact name of registrant as specified in its charter)</w:t>
      </w:r>
    </w:p>
    <w:tbl>
      <w:tblPr>
        <w:tblW w:w="4555" w:type="dxa"/>
        <w:jc w:val="center"/>
        <w:tblInd w:w="0" w:type="dxa"/>
        <w:tblCellMar>
          <w:top w:w="28" w:type="dxa"/>
          <w:left w:w="28" w:type="dxa"/>
          <w:bottom w:w="28" w:type="dxa"/>
          <w:right w:w="28" w:type="dxa"/>
        </w:tblCellMar>
      </w:tblPr>
      <w:tblGrid>
        <w:gridCol w:w="950"/>
        <w:gridCol w:w="834"/>
        <w:gridCol w:w="840"/>
        <w:gridCol w:w="109"/>
        <w:gridCol w:w="109"/>
        <w:gridCol w:w="109"/>
        <w:gridCol w:w="470"/>
        <w:gridCol w:w="470"/>
        <w:gridCol w:w="664"/>
      </w:tblGrid>
      <w:tr>
        <w:trPr/>
        <w:tc>
          <w:tcPr>
            <w:tcW w:w="95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33-0112644</w:t>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(I.R.S. Employer</w:t>
              <w:br/>
              <w:t>Identification No.)</w:t>
            </w:r>
          </w:p>
        </w:tc>
      </w:tr>
    </w:tbl>
    <w:p>
      <w:pPr>
        <w:pStyle w:val="TextBody"/>
        <w:spacing w:lineRule="auto" w:line="288" w:before="2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225 Binney Street, Cambridge, MA 02142 </w:t>
      </w:r>
    </w:p>
    <w:p>
      <w:pPr>
        <w:pStyle w:val="TextBody"/>
        <w:spacing w:lineRule="auto" w:line="288"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(617) 679-2000 </w:t>
      </w:r>
    </w:p>
    <w:p>
      <w:pPr>
        <w:pStyle w:val="TextBody"/>
        <w:spacing w:lineRule="auto" w:line="288" w:before="8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(Address, including zip code, and telephone number, including</w:t>
      </w:r>
    </w:p>
    <w:p>
      <w:pPr>
        <w:pStyle w:val="TextBody"/>
        <w:spacing w:lineRule="auto" w:line="288" w:before="0" w:after="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area code, of registrant’s principal executive offices)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1339"/>
        <w:gridCol w:w="1136"/>
        <w:gridCol w:w="1141"/>
        <w:gridCol w:w="109"/>
        <w:gridCol w:w="109"/>
        <w:gridCol w:w="109"/>
        <w:gridCol w:w="594"/>
        <w:gridCol w:w="594"/>
        <w:gridCol w:w="596"/>
        <w:gridCol w:w="109"/>
        <w:gridCol w:w="109"/>
        <w:gridCol w:w="109"/>
        <w:gridCol w:w="643"/>
        <w:gridCol w:w="643"/>
        <w:gridCol w:w="643"/>
        <w:gridCol w:w="643"/>
        <w:gridCol w:w="643"/>
        <w:gridCol w:w="936"/>
      </w:tblGrid>
      <w:tr>
        <w:trPr/>
        <w:tc>
          <w:tcPr>
            <w:tcW w:w="133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3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Name of each exchange on which registered</w:t>
            </w:r>
          </w:p>
        </w:tc>
      </w:tr>
      <w:tr>
        <w:trPr/>
        <w:tc>
          <w:tcPr>
            <w:tcW w:w="3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Common Stock, $0.0005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BIIB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The Nasdaq Global Select Market</w:t>
            </w:r>
          </w:p>
        </w:tc>
      </w:tr>
    </w:tbl>
    <w:p>
      <w:pPr>
        <w:pStyle w:val="TextBody"/>
        <w:spacing w:lineRule="auto" w:line="288" w:before="20" w:after="283"/>
        <w:ind w:left="0" w:right="0" w:firstLine="495"/>
        <w:rPr/>
      </w:pPr>
      <w:r>
        <w:rPr>
          <w:rFonts w:ascii="Franklin Gothic Book;sans-serif" w:hAnsi="Franklin Gothic Book;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20"/>
        </w:rPr>
        <w:t>x</w:t>
      </w:r>
      <w:r>
        <w:rPr>
          <w:color w:val="000000"/>
        </w:rPr>
        <w:t>    </w:t>
      </w:r>
      <w:r>
        <w:rPr>
          <w:rFonts w:ascii="Franklin Gothic Book;sans-serif" w:hAnsi="Franklin Gothic Book;sans-serif"/>
          <w:b w:val="false"/>
          <w:color w:val="000000"/>
          <w:sz w:val="20"/>
        </w:rPr>
        <w:t>No</w:t>
      </w:r>
      <w:r>
        <w:rPr>
          <w:color w:val="000000"/>
        </w:rPr>
        <w:t>  </w:t>
      </w:r>
      <w:r>
        <w:rPr>
          <w:rFonts w:ascii="Wingdings;sans-serif" w:hAnsi="Wingdings;sans-serif"/>
          <w:b w:val="false"/>
          <w:color w:val="000000"/>
          <w:sz w:val="20"/>
        </w:rPr>
        <w:t>o</w:t>
      </w:r>
    </w:p>
    <w:p>
      <w:pPr>
        <w:pStyle w:val="TextBody"/>
        <w:spacing w:lineRule="auto" w:line="288" w:before="120" w:after="283"/>
        <w:ind w:left="0" w:right="0" w:firstLine="495"/>
        <w:rPr/>
      </w:pPr>
      <w:r>
        <w:rPr>
          <w:rFonts w:ascii="Franklin Gothic Book;sans-serif" w:hAnsi="Franklin Gothic Book;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w:t>
      </w:r>
      <w:r>
        <w:rPr>
          <w:rFonts w:ascii="Wingdings;sans-serif" w:hAnsi="Wingdings;sans-serif"/>
          <w:b w:val="false"/>
          <w:color w:val="000000"/>
          <w:sz w:val="20"/>
        </w:rPr>
        <w:t>x</w:t>
      </w:r>
      <w:r>
        <w:rPr>
          <w:color w:val="000000"/>
        </w:rPr>
        <w:t>    </w:t>
      </w:r>
      <w:r>
        <w:rPr>
          <w:rFonts w:ascii="Franklin Gothic Book;sans-serif" w:hAnsi="Franklin Gothic Book;sans-serif"/>
          <w:b w:val="false"/>
          <w:color w:val="000000"/>
          <w:sz w:val="20"/>
        </w:rPr>
        <w:t>No</w:t>
      </w:r>
      <w:r>
        <w:rPr>
          <w:color w:val="000000"/>
        </w:rPr>
        <w:t>  </w:t>
      </w:r>
      <w:r>
        <w:rPr>
          <w:rFonts w:ascii="Wingdings;sans-serif" w:hAnsi="Wingdings;sans-serif"/>
          <w:b w:val="false"/>
          <w:color w:val="000000"/>
          <w:sz w:val="20"/>
        </w:rPr>
        <w:t>o</w:t>
      </w:r>
    </w:p>
    <w:p>
      <w:pPr>
        <w:pStyle w:val="TextBody"/>
        <w:spacing w:lineRule="auto" w:line="288" w:before="12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82" w:type="dxa"/>
        <w:jc w:val="left"/>
        <w:tblInd w:w="0" w:type="dxa"/>
        <w:tblCellMar>
          <w:top w:w="28" w:type="dxa"/>
          <w:left w:w="28" w:type="dxa"/>
          <w:bottom w:w="28" w:type="dxa"/>
          <w:right w:w="28" w:type="dxa"/>
        </w:tblCellMar>
      </w:tblPr>
      <w:tblGrid>
        <w:gridCol w:w="832"/>
        <w:gridCol w:w="730"/>
        <w:gridCol w:w="733"/>
        <w:gridCol w:w="109"/>
        <w:gridCol w:w="109"/>
        <w:gridCol w:w="109"/>
        <w:gridCol w:w="109"/>
        <w:gridCol w:w="109"/>
        <w:gridCol w:w="109"/>
        <w:gridCol w:w="919"/>
        <w:gridCol w:w="919"/>
        <w:gridCol w:w="923"/>
        <w:gridCol w:w="109"/>
        <w:gridCol w:w="109"/>
        <w:gridCol w:w="154"/>
      </w:tblGrid>
      <w:tr>
        <w:trPr/>
        <w:tc>
          <w:tcPr>
            <w:tcW w:w="83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88" w:before="20" w:after="283"/>
        <w:ind w:left="0" w:right="0" w:firstLine="495"/>
        <w:rPr/>
      </w:pPr>
      <w:r>
        <w:rPr>
          <w:rFonts w:ascii="Franklin Gothic Book;sans-serif" w:hAnsi="Franklin Gothic Book;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20" w:after="283"/>
        <w:ind w:left="0" w:right="0" w:firstLine="495"/>
        <w:rPr/>
      </w:pPr>
      <w:r>
        <w:rPr>
          <w:rFonts w:ascii="Franklin Gothic Book;sans-serif" w:hAnsi="Franklin Gothic Book;sans-serif"/>
          <w:b w:val="false"/>
          <w:color w:val="000000"/>
          <w:sz w:val="20"/>
        </w:rPr>
        <w:t>Indicate by check mark whether the registrant is a shell company (as defined in Rule 12b-2 of the Exchange Act).    Yes  </w:t>
      </w:r>
      <w:r>
        <w:rPr>
          <w:color w:val="000000"/>
        </w:rPr>
        <w:t>☐    </w:t>
      </w:r>
      <w:r>
        <w:rPr>
          <w:rFonts w:ascii="Franklin Gothic Book;sans-serif" w:hAnsi="Franklin Gothic Book;sans-serif"/>
          <w:b w:val="false"/>
          <w:color w:val="000000"/>
          <w:sz w:val="20"/>
        </w:rPr>
        <w:t>No </w:t>
      </w:r>
      <w:r>
        <w:rPr>
          <w:color w:val="000000"/>
        </w:rPr>
        <w:t> </w:t>
      </w:r>
      <w:r>
        <w:rPr>
          <w:rFonts w:ascii="Wingdings;sans-serif" w:hAnsi="Wingdings;sans-serif"/>
          <w:b w:val="false"/>
          <w:color w:val="000000"/>
          <w:sz w:val="20"/>
        </w:rPr>
        <w:t>x</w:t>
      </w:r>
    </w:p>
    <w:p>
      <w:pPr>
        <w:pStyle w:val="TextBody"/>
        <w:spacing w:lineRule="auto" w:line="288" w:before="12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number of shares of the issuer’s Common Stock, $0.0005 par value, outstanding as of April 24, 2023, was 144,742,305 shares.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578196"/>
          <w:sz w:val="24"/>
        </w:rPr>
      </w:pPr>
      <w:r>
        <w:rPr>
          <w:rFonts w:ascii="Franklin Gothic Book;sans-serif" w:hAnsi="Franklin Gothic Book;sans-serif"/>
          <w:b/>
          <w:color w:val="578196"/>
          <w:sz w:val="24"/>
        </w:rPr>
        <w:t>BIOGEN INC.</w:t>
      </w:r>
    </w:p>
    <w:p>
      <w:pPr>
        <w:pStyle w:val="TextBody"/>
        <w:spacing w:lineRule="auto" w:line="288" w:before="0" w:after="0"/>
        <w:jc w:val="center"/>
        <w:rPr>
          <w:rFonts w:ascii="Franklin Gothic Book;sans-serif" w:hAnsi="Franklin Gothic Book;sans-serif"/>
          <w:b/>
          <w:color w:val="578196"/>
          <w:sz w:val="24"/>
        </w:rPr>
      </w:pPr>
      <w:r>
        <w:rPr>
          <w:rFonts w:ascii="Franklin Gothic Book;sans-serif" w:hAnsi="Franklin Gothic Book;sans-serif"/>
          <w:b/>
          <w:color w:val="578196"/>
          <w:sz w:val="24"/>
        </w:rPr>
        <w:t>FORM 10-Q — Quarterly Report</w:t>
      </w:r>
    </w:p>
    <w:p>
      <w:pPr>
        <w:pStyle w:val="TextBody"/>
        <w:spacing w:lineRule="auto" w:line="288" w:before="0" w:after="0"/>
        <w:jc w:val="center"/>
        <w:rPr>
          <w:rFonts w:ascii="Franklin Gothic Book;sans-serif" w:hAnsi="Franklin Gothic Book;sans-serif"/>
          <w:b/>
          <w:color w:val="578196"/>
          <w:sz w:val="24"/>
        </w:rPr>
      </w:pPr>
      <w:r>
        <w:rPr>
          <w:rFonts w:ascii="Franklin Gothic Book;sans-serif" w:hAnsi="Franklin Gothic Book;sans-serif"/>
          <w:b/>
          <w:color w:val="578196"/>
          <w:sz w:val="24"/>
        </w:rPr>
        <w:t xml:space="preserve">For the Quarterly Period Ended March 31, 2023 </w:t>
      </w:r>
    </w:p>
    <w:p>
      <w:pPr>
        <w:pStyle w:val="TextBody"/>
        <w:spacing w:lineRule="auto" w:line="288" w:before="280" w:after="283"/>
        <w:jc w:val="center"/>
        <w:rPr>
          <w:rFonts w:ascii="Franklin Gothic Medium;sans-serif" w:hAnsi="Franklin Gothic Medium;sans-serif"/>
          <w:b/>
          <w:color w:val="0070C0"/>
          <w:sz w:val="28"/>
        </w:rPr>
      </w:pPr>
      <w:r>
        <w:rPr>
          <w:rFonts w:ascii="Franklin Gothic Medium;sans-serif" w:hAnsi="Franklin Gothic Medium;sans-serif"/>
          <w:b/>
          <w:color w:val="0070C0"/>
          <w:sz w:val="28"/>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37"/>
        <w:gridCol w:w="298"/>
        <w:gridCol w:w="286"/>
        <w:gridCol w:w="2685"/>
        <w:gridCol w:w="2566"/>
        <w:gridCol w:w="2573"/>
        <w:gridCol w:w="423"/>
        <w:gridCol w:w="423"/>
        <w:gridCol w:w="614"/>
      </w:tblGrid>
      <w:tr>
        <w:trPr/>
        <w:tc>
          <w:tcPr>
            <w:tcW w:w="3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Page</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Franklin Gothic Book;sans-serif" w:hAnsi="Franklin Gothic Book;sans-serif"/>
                <w:b/>
                <w:color w:val="000000"/>
                <w:sz w:val="18"/>
              </w:rPr>
              <w:t xml:space="preserve">PART I — </w:t>
            </w:r>
            <w:hyperlink w:anchor="i8bcb7f8074f1462595a9f97441f9f8b3_13">
              <w:r>
                <w:rPr>
                  <w:rStyle w:val="InternetLink"/>
                  <w:rFonts w:ascii="Franklin Gothic Book;sans-serif" w:hAnsi="Franklin Gothic Book;sans-serif"/>
                  <w:b/>
                  <w:color w:val="0000FF"/>
                  <w:sz w:val="18"/>
                  <w:u w:val="single"/>
                </w:rPr>
                <w:t>FINANCIAL INFORMATION</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16">
              <w:r>
                <w:rPr>
                  <w:rStyle w:val="InternetLink"/>
                  <w:rFonts w:ascii="Franklin Gothic Book;sans-serif" w:hAnsi="Franklin Gothic Book;sans-serif"/>
                  <w:b w:val="false"/>
                  <w:color w:val="0000FF"/>
                  <w:sz w:val="18"/>
                  <w:u w:val="single"/>
                </w:rPr>
                <w:t>Financial Statements (unaudited)</w:t>
              </w:r>
            </w:hyperlink>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19">
              <w:r>
                <w:rPr>
                  <w:rStyle w:val="InternetLink"/>
                  <w:rFonts w:ascii="Franklin Gothic Book;sans-serif" w:hAnsi="Franklin Gothic Book;sans-serif"/>
                  <w:b w:val="false"/>
                  <w:color w:val="0000FF"/>
                  <w:sz w:val="18"/>
                  <w:u w:val="single"/>
                </w:rPr>
                <w:t>Condensed Consolidated Statements of Income — For the Three Months Ended March 31, 2023 and 2022</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19">
              <w:r>
                <w:rPr>
                  <w:rStyle w:val="InternetLink"/>
                  <w:rFonts w:ascii="Franklin Gothic Book;sans-serif" w:hAnsi="Franklin Gothic Book;sans-serif"/>
                  <w:b w:val="false"/>
                  <w:color w:val="0000FF"/>
                  <w:sz w:val="18"/>
                  <w:u w:val="single"/>
                </w:rPr>
                <w:t>7</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2">
              <w:r>
                <w:rPr>
                  <w:rStyle w:val="InternetLink"/>
                  <w:rFonts w:ascii="Franklin Gothic Book;sans-serif" w:hAnsi="Franklin Gothic Book;sans-serif"/>
                  <w:b w:val="false"/>
                  <w:color w:val="0000FF"/>
                  <w:sz w:val="18"/>
                  <w:u w:val="single"/>
                </w:rPr>
                <w:t>Condensed Consolidated Statements of Comprehensive Income — For the Three Months Ended March 31, 2023 and 2022</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2">
              <w:r>
                <w:rPr>
                  <w:rStyle w:val="InternetLink"/>
                  <w:rFonts w:ascii="Franklin Gothic Book;sans-serif" w:hAnsi="Franklin Gothic Book;sans-serif"/>
                  <w:b w:val="false"/>
                  <w:color w:val="0000FF"/>
                  <w:sz w:val="18"/>
                  <w:u w:val="single"/>
                </w:rPr>
                <w:t>8</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5">
              <w:r>
                <w:rPr>
                  <w:rStyle w:val="InternetLink"/>
                  <w:rFonts w:ascii="Franklin Gothic Book;sans-serif" w:hAnsi="Franklin Gothic Book;sans-serif"/>
                  <w:b w:val="false"/>
                  <w:color w:val="0000FF"/>
                  <w:sz w:val="18"/>
                  <w:u w:val="single"/>
                </w:rPr>
                <w:t>Condensed Consolidated Balance Sheets — As of March 31, 2023 and December 31, 2022</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5">
              <w:r>
                <w:rPr>
                  <w:rStyle w:val="InternetLink"/>
                  <w:rFonts w:ascii="Franklin Gothic Book;sans-serif" w:hAnsi="Franklin Gothic Book;sans-serif"/>
                  <w:b w:val="false"/>
                  <w:color w:val="0000FF"/>
                  <w:sz w:val="18"/>
                  <w:u w:val="single"/>
                </w:rPr>
                <w:t>9</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8">
              <w:r>
                <w:rPr>
                  <w:rStyle w:val="InternetLink"/>
                  <w:rFonts w:ascii="Franklin Gothic Book;sans-serif" w:hAnsi="Franklin Gothic Book;sans-serif"/>
                  <w:b w:val="false"/>
                  <w:color w:val="0000FF"/>
                  <w:sz w:val="18"/>
                  <w:u w:val="single"/>
                </w:rPr>
                <w:t>Condensed Consolidated Statements of Cash Flow — For the Three Months Ended March 31, 2023 and 2022</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8">
              <w:r>
                <w:rPr>
                  <w:rStyle w:val="InternetLink"/>
                  <w:rFonts w:ascii="Franklin Gothic Book;sans-serif" w:hAnsi="Franklin Gothic Book;sans-serif"/>
                  <w:b w:val="false"/>
                  <w:color w:val="0000FF"/>
                  <w:sz w:val="18"/>
                  <w:u w:val="single"/>
                </w:rPr>
                <w:t>10</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31">
              <w:r>
                <w:rPr>
                  <w:rStyle w:val="InternetLink"/>
                  <w:rFonts w:ascii="Franklin Gothic Book;sans-serif" w:hAnsi="Franklin Gothic Book;sans-serif"/>
                  <w:b w:val="false"/>
                  <w:color w:val="0000FF"/>
                  <w:sz w:val="18"/>
                  <w:u w:val="single"/>
                </w:rPr>
                <w:t>Condensed Consolidated Statements of Equity — For the Three Months Ended March 31, 2023 and 2022</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31">
              <w:r>
                <w:rPr>
                  <w:rStyle w:val="InternetLink"/>
                  <w:rFonts w:ascii="Franklin Gothic Book;sans-serif" w:hAnsi="Franklin Gothic Book;sans-serif"/>
                  <w:b w:val="false"/>
                  <w:color w:val="0000FF"/>
                  <w:sz w:val="18"/>
                  <w:u w:val="single"/>
                </w:rPr>
                <w:t>11</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34">
              <w:r>
                <w:rPr>
                  <w:rStyle w:val="InternetLink"/>
                  <w:rFonts w:ascii="Franklin Gothic Book;sans-serif" w:hAnsi="Franklin Gothic Book;sans-serif"/>
                  <w:b w:val="false"/>
                  <w:color w:val="0000FF"/>
                  <w:sz w:val="18"/>
                  <w:u w:val="single"/>
                </w:rPr>
                <w:t>Notes to Condensed Consolidated Financial Statements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34">
              <w:r>
                <w:rPr>
                  <w:rStyle w:val="InternetLink"/>
                  <w:rFonts w:ascii="Franklin Gothic Book;sans-serif" w:hAnsi="Franklin Gothic Book;sans-serif"/>
                  <w:b w:val="false"/>
                  <w:color w:val="0000FF"/>
                  <w:sz w:val="18"/>
                  <w:u w:val="single"/>
                </w:rPr>
                <w:t>13</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2.</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112">
              <w:r>
                <w:rPr>
                  <w:rStyle w:val="InternetLink"/>
                  <w:rFonts w:ascii="Franklin Gothic Book;sans-serif" w:hAnsi="Franklin Gothic Book;sans-serif"/>
                  <w:b w:val="false"/>
                  <w:color w:val="0000FF"/>
                  <w:sz w:val="18"/>
                  <w:u w:val="single"/>
                </w:rPr>
                <w:t>Management’s Discussion and Analysis of Financial Condition and Results of Operations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112">
              <w:r>
                <w:rPr>
                  <w:rStyle w:val="InternetLink"/>
                  <w:rFonts w:ascii="Franklin Gothic Book;sans-serif" w:hAnsi="Franklin Gothic Book;sans-serif"/>
                  <w:b w:val="false"/>
                  <w:color w:val="0000FF"/>
                  <w:sz w:val="18"/>
                  <w:u w:val="single"/>
                </w:rPr>
                <w:t>43</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3.</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199">
              <w:r>
                <w:rPr>
                  <w:rStyle w:val="InternetLink"/>
                  <w:rFonts w:ascii="Franklin Gothic Book;sans-serif" w:hAnsi="Franklin Gothic Book;sans-serif"/>
                  <w:b w:val="false"/>
                  <w:color w:val="0000FF"/>
                  <w:sz w:val="18"/>
                  <w:u w:val="single"/>
                </w:rPr>
                <w:t>Quantitative and Qualitative Disclosures About Market Risk</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199">
              <w:r>
                <w:rPr>
                  <w:rStyle w:val="InternetLink"/>
                  <w:rFonts w:ascii="Franklin Gothic Book;sans-serif" w:hAnsi="Franklin Gothic Book;sans-serif"/>
                  <w:b w:val="false"/>
                  <w:color w:val="0000FF"/>
                  <w:sz w:val="18"/>
                  <w:u w:val="single"/>
                </w:rPr>
                <w:t>60</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4.</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02">
              <w:r>
                <w:rPr>
                  <w:rStyle w:val="InternetLink"/>
                  <w:rFonts w:ascii="Franklin Gothic Book;sans-serif" w:hAnsi="Franklin Gothic Book;sans-serif"/>
                  <w:b w:val="false"/>
                  <w:color w:val="0000FF"/>
                  <w:sz w:val="18"/>
                  <w:u w:val="single"/>
                </w:rPr>
                <w:t>Controls and Procedures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02">
              <w:r>
                <w:rPr>
                  <w:rStyle w:val="InternetLink"/>
                  <w:rFonts w:ascii="Franklin Gothic Book;sans-serif" w:hAnsi="Franklin Gothic Book;sans-serif"/>
                  <w:b w:val="false"/>
                  <w:color w:val="0000FF"/>
                  <w:sz w:val="18"/>
                  <w:u w:val="single"/>
                </w:rPr>
                <w:t>62</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Franklin Gothic Book;sans-serif" w:hAnsi="Franklin Gothic Book;sans-serif"/>
                <w:b/>
                <w:color w:val="000000"/>
                <w:sz w:val="18"/>
              </w:rPr>
              <w:t xml:space="preserve">PART II — </w:t>
            </w:r>
            <w:hyperlink w:anchor="i8bcb7f8074f1462595a9f97441f9f8b3_205">
              <w:r>
                <w:rPr>
                  <w:rStyle w:val="InternetLink"/>
                  <w:rFonts w:ascii="Franklin Gothic Book;sans-serif" w:hAnsi="Franklin Gothic Book;sans-serif"/>
                  <w:b/>
                  <w:color w:val="0000FF"/>
                  <w:sz w:val="18"/>
                  <w:u w:val="single"/>
                </w:rPr>
                <w:t>OTHER INFORMATION</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08">
              <w:r>
                <w:rPr>
                  <w:rStyle w:val="InternetLink"/>
                  <w:rFonts w:ascii="Franklin Gothic Book;sans-serif" w:hAnsi="Franklin Gothic Book;sans-serif"/>
                  <w:b w:val="false"/>
                  <w:color w:val="0000FF"/>
                  <w:sz w:val="18"/>
                  <w:u w:val="single"/>
                </w:rPr>
                <w:t>Legal Proceedings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08">
              <w:r>
                <w:rPr>
                  <w:rStyle w:val="InternetLink"/>
                  <w:rFonts w:ascii="Franklin Gothic Book;sans-serif" w:hAnsi="Franklin Gothic Book;sans-serif"/>
                  <w:b w:val="false"/>
                  <w:color w:val="0000FF"/>
                  <w:sz w:val="18"/>
                  <w:u w:val="single"/>
                </w:rPr>
                <w:t>64</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1A.</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11">
              <w:r>
                <w:rPr>
                  <w:rStyle w:val="InternetLink"/>
                  <w:rFonts w:ascii="Franklin Gothic Book;sans-serif" w:hAnsi="Franklin Gothic Book;sans-serif"/>
                  <w:b w:val="false"/>
                  <w:color w:val="0000FF"/>
                  <w:sz w:val="18"/>
                  <w:u w:val="single"/>
                </w:rPr>
                <w:t>Risk Factors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11">
              <w:r>
                <w:rPr>
                  <w:rStyle w:val="InternetLink"/>
                  <w:rFonts w:ascii="Franklin Gothic Book;sans-serif" w:hAnsi="Franklin Gothic Book;sans-serif"/>
                  <w:b w:val="false"/>
                  <w:color w:val="0000FF"/>
                  <w:sz w:val="18"/>
                  <w:u w:val="single"/>
                </w:rPr>
                <w:t>64</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2.</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14">
              <w:r>
                <w:rPr>
                  <w:rStyle w:val="InternetLink"/>
                  <w:rFonts w:ascii="Franklin Gothic Book;sans-serif" w:hAnsi="Franklin Gothic Book;sans-serif"/>
                  <w:b w:val="false"/>
                  <w:color w:val="0000FF"/>
                  <w:sz w:val="18"/>
                  <w:u w:val="single"/>
                </w:rPr>
                <w:t>Unregistered Sales of Equity Securities and Use of Proceeds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14">
              <w:r>
                <w:rPr>
                  <w:rStyle w:val="InternetLink"/>
                  <w:rFonts w:ascii="Franklin Gothic Book;sans-serif" w:hAnsi="Franklin Gothic Book;sans-serif"/>
                  <w:b w:val="false"/>
                  <w:color w:val="0000FF"/>
                  <w:sz w:val="18"/>
                  <w:u w:val="single"/>
                </w:rPr>
                <w:t>79</w:t>
              </w:r>
            </w:hyperlink>
          </w:p>
        </w:tc>
      </w:tr>
      <w:tr>
        <w:trPr/>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Item 6.</w:t>
            </w:r>
          </w:p>
        </w:tc>
        <w:tc>
          <w:tcPr>
            <w:tcW w:w="7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17">
              <w:r>
                <w:rPr>
                  <w:rStyle w:val="InternetLink"/>
                  <w:rFonts w:ascii="Franklin Gothic Book;sans-serif" w:hAnsi="Franklin Gothic Book;sans-serif"/>
                  <w:b w:val="false"/>
                  <w:color w:val="0000FF"/>
                  <w:sz w:val="18"/>
                  <w:u w:val="single"/>
                </w:rPr>
                <w:t>Exhibits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17">
              <w:r>
                <w:rPr>
                  <w:rStyle w:val="InternetLink"/>
                  <w:rFonts w:ascii="Franklin Gothic Book;sans-serif" w:hAnsi="Franklin Gothic Book;sans-serif"/>
                  <w:b w:val="false"/>
                  <w:color w:val="0000FF"/>
                  <w:sz w:val="18"/>
                  <w:u w:val="single"/>
                </w:rPr>
                <w:t>80</w:t>
              </w:r>
            </w:hyperlink>
          </w:p>
        </w:tc>
      </w:tr>
      <w:tr>
        <w:trPr/>
        <w:tc>
          <w:tcPr>
            <w:tcW w:w="874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4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bcb7f8074f1462595a9f97441f9f8b3_223">
              <w:r>
                <w:rPr>
                  <w:rStyle w:val="InternetLink"/>
                  <w:rFonts w:ascii="Franklin Gothic Book;sans-serif" w:hAnsi="Franklin Gothic Book;sans-serif"/>
                  <w:b w:val="false"/>
                  <w:color w:val="0000FF"/>
                  <w:sz w:val="18"/>
                  <w:u w:val="single"/>
                </w:rPr>
                <w:t>Signatures</w:t>
              </w:r>
            </w:hyperlink>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bcb7f8074f1462595a9f97441f9f8b3_223">
              <w:r>
                <w:rPr>
                  <w:rStyle w:val="InternetLink"/>
                  <w:rFonts w:ascii="Franklin Gothic Book;sans-serif" w:hAnsi="Franklin Gothic Book;sans-serif"/>
                  <w:b w:val="false"/>
                  <w:color w:val="0000FF"/>
                  <w:sz w:val="18"/>
                  <w:u w:val="single"/>
                </w:rPr>
                <w:t>81</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280" w:after="283"/>
        <w:rPr>
          <w:rFonts w:ascii="Franklin Gothic Medium;sans-serif" w:hAnsi="Franklin Gothic Medium;sans-serif"/>
          <w:b/>
          <w:color w:val="0070C0"/>
          <w:sz w:val="28"/>
        </w:rPr>
      </w:pPr>
      <w:r>
        <w:rPr>
          <w:rFonts w:ascii="Franklin Gothic Medium;sans-serif" w:hAnsi="Franklin Gothic Medium;sans-serif"/>
          <w:b/>
          <w:color w:val="0070C0"/>
          <w:sz w:val="28"/>
        </w:rPr>
        <w:t>NOTE REGARDING FORWARD-LOOKING STATEMENTS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expectations, plans and prospects relating to sales, pricing, growth, reimbursement and launch of our marketed and pipeline products;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 or competing products;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patent terms, patent term extensions, patent office actions and expected availability and period of regulatory exclusivity;</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our plans and investments in our portfolio as well as implementation of our corporate strategy;</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 and cost-reduction measures;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expectations, development plans and anticipated timelines, including costs and timing of potential clinical trials, filings and approvals, of our products, drug candidates and pipeline programs, including collaborations with third-parties, as well as the potential therapeutic scope of the development and commercialization of our and our collaborators’ pipeline products;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our ability to finance our operations and business initiatives and obtain funding for such activities;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adverse safety events involving our marketed products, generic or biosimilar versions of our marketed products or any other products from the same class as one of our products;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direct and indirect impact of the COVID-19 pandemic and other global health outbreaks on our business and operations, including sales, expense, reserves and allowances, the supply chain, manufacturing, cyber-attacks or other privacy or data security incidents, research and development costs, clinical trials and employees;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current and potential impacts of the conflict in Ukraine, including impacts on our operations, sales and the possible disruptions or delays in our plans to conduct clinical trial activities in affected regions;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potential impact of healthcare reform in the U.S., including the IRA, and measures being taken worldwide designed to reduce healthcare costs and limit the overall level of government expenditures, including the impact of pricing actions and reduced reimbursement for our products;</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our manufacturing capacity, use of third-party contract manufacturing organizations, plans and timing relating to changes in our manufacturing capabilities, activities in new or existing manufacturing facilities and the expected timeline for the remaining portion of the Solothurn manufacturing facility to begin manufacturing products or product candidates and for the gene therapy manufacturing facility in RTP, North Carolina to be operational;</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impact of the continued uncertainty of the credit and economic conditions in certain countries and our collection of accounts receivable in such countries;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lease commitments, purchase obligations and the timing and satisfaction of other contractual obligations; and</w:t>
      </w:r>
    </w:p>
    <w:p>
      <w:pPr>
        <w:pStyle w:val="TextBody"/>
        <w:spacing w:lineRule="auto" w:line="288" w:before="140" w:after="283"/>
        <w:ind w:left="0" w:right="0" w:hanging="360"/>
        <w:rPr/>
      </w:pPr>
      <w:r>
        <w:rPr>
          <w:color w:val="000000"/>
        </w:rPr>
        <w:t>•</w:t>
      </w:r>
      <w:r>
        <w:rPr>
          <w:rFonts w:ascii="Franklin Gothic Book;sans-serif" w:hAnsi="Franklin Gothic Book;sans-serif"/>
          <w:b w:val="false"/>
          <w:color w:val="000000"/>
          <w:sz w:val="20"/>
        </w:rPr>
        <w:t>the impact of new laws (including tax), regulatory requirements, judicial decisions and accounting standards.</w:t>
      </w:r>
    </w:p>
    <w:p>
      <w:pPr>
        <w:pStyle w:val="TextBody"/>
        <w:spacing w:lineRule="auto" w:line="288" w:before="120" w:after="283"/>
        <w:rPr/>
      </w:pPr>
      <w:r>
        <w:rPr>
          <w:rFonts w:ascii="Franklin Gothic Book;sans-serif" w:hAnsi="Franklin Gothic Book;sans-serif"/>
          <w:b w:val="false"/>
          <w:color w:val="000000"/>
          <w:sz w:val="20"/>
        </w:rPr>
        <w:t xml:space="preserve">These forward-looking statements involve risks and uncertainties, including those that are described in </w:t>
      </w:r>
      <w:r>
        <w:rPr>
          <w:rFonts w:ascii="Franklin Gothic Book;sans-serif" w:hAnsi="Franklin Gothic Book;sans-serif"/>
          <w:b w:val="false"/>
          <w:i/>
          <w:color w:val="000000"/>
          <w:sz w:val="20"/>
        </w:rPr>
        <w:t>Item 1A. Risk Factors</w:t>
      </w:r>
      <w:r>
        <w:rPr>
          <w:color w:val="000000"/>
        </w:rPr>
        <w:t xml:space="preserve"> </w:t>
      </w:r>
      <w:r>
        <w:rPr>
          <w:rFonts w:ascii="Franklin Gothic Book;sans-serif" w:hAnsi="Franklin Gothic Book;sans-serif"/>
          <w:b w:val="false"/>
          <w:color w:val="000000"/>
          <w:sz w:val="20"/>
        </w:rPr>
        <w:t>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pStyle w:val="TextBody"/>
        <w:spacing w:lineRule="auto" w:line="288" w:before="280" w:after="283"/>
        <w:rPr>
          <w:rFonts w:ascii="Franklin Gothic Medium;sans-serif" w:hAnsi="Franklin Gothic Medium;sans-serif"/>
          <w:b/>
          <w:color w:val="0070C0"/>
          <w:sz w:val="28"/>
        </w:rPr>
      </w:pPr>
      <w:r>
        <w:rPr>
          <w:rFonts w:ascii="Franklin Gothic Medium;sans-serif" w:hAnsi="Franklin Gothic Medium;sans-serif"/>
          <w:b/>
          <w:color w:val="0070C0"/>
          <w:sz w:val="28"/>
        </w:rPr>
        <w:t>NOTE REGARDING COMPANY AND PRODUCT REFERENCES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References in this report to:</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Biogen,” the “company,” “we,” “us” and “our” refer to Biogen Inc. and its consolidated subsidiaries;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RITUXAN” refers to both RITUXAN (the trade name for rituximab in the U.S., Canada and Japan) and MabThera (the trade name for rituximab outside the U.S., Canada and Japan).</w:t>
      </w:r>
    </w:p>
    <w:p>
      <w:pPr>
        <w:pStyle w:val="TextBody"/>
        <w:spacing w:lineRule="auto" w:line="288" w:before="280" w:after="283"/>
        <w:rPr>
          <w:rFonts w:ascii="Franklin Gothic Medium;sans-serif" w:hAnsi="Franklin Gothic Medium;sans-serif"/>
          <w:b/>
          <w:color w:val="0070C0"/>
          <w:sz w:val="28"/>
        </w:rPr>
      </w:pPr>
      <w:r>
        <w:rPr>
          <w:rFonts w:ascii="Franklin Gothic Medium;sans-serif" w:hAnsi="Franklin Gothic Medium;sans-serif"/>
          <w:b/>
          <w:color w:val="0070C0"/>
          <w:sz w:val="28"/>
        </w:rPr>
        <w:t>NOTE REGARDING TRADEMARKS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ADUHELM®, AVONEX®, PLEGRIDY®, RITUXAN®, RITUXAN HYCELA®, SPINRAZA®, TECFIDERA®, TYSABRI® and VUMERITY® are registered trademarks of Biogen.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BENEPALI™, BYOOVIZ™, FLIXABI™, FUMADERM™, IMRALDI™ and QALSODY™ are trademarks of Biogen.</w:t>
      </w:r>
    </w:p>
    <w:p>
      <w:pPr>
        <w:pStyle w:val="TextBody"/>
        <w:spacing w:lineRule="auto" w:line="288" w:before="120" w:after="283"/>
        <w:rPr/>
      </w:pPr>
      <w:r>
        <w:rPr>
          <w:rFonts w:ascii="Franklin Gothic Book;sans-serif" w:hAnsi="Franklin Gothic Book;sans-serif"/>
          <w:b w:val="false"/>
          <w:color w:val="000000"/>
          <w:sz w:val="20"/>
        </w:rPr>
        <w:t>ACTEMRA®, ENBREL®, EYLEA®, FAMPYRA™, GAZYVA®, LEQEMBI™, HUMIRA®, LUCENTIS®, LUNSUMIO™, OCREVUS®, REMICADE®</w:t>
      </w:r>
      <w:r>
        <w:rPr>
          <w:color w:val="000000"/>
        </w:rPr>
        <w:t xml:space="preserve"> </w:t>
      </w:r>
      <w:r>
        <w:rPr>
          <w:rFonts w:ascii="Franklin Gothic Book;sans-serif" w:hAnsi="Franklin Gothic Book;sans-serif"/>
          <w:b w:val="false"/>
          <w:color w:val="000000"/>
          <w:sz w:val="20"/>
        </w:rPr>
        <w:t>and other trademarks referenced in this report are the property of their respective owners.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DEFINED TERMS</w:t>
      </w:r>
    </w:p>
    <w:tbl>
      <w:tblPr>
        <w:tblW w:w="10205" w:type="dxa"/>
        <w:jc w:val="center"/>
        <w:tblInd w:w="0" w:type="dxa"/>
        <w:tblCellMar>
          <w:top w:w="28" w:type="dxa"/>
          <w:left w:w="28" w:type="dxa"/>
          <w:bottom w:w="28" w:type="dxa"/>
          <w:right w:w="28" w:type="dxa"/>
        </w:tblCellMar>
      </w:tblPr>
      <w:tblGrid>
        <w:gridCol w:w="1059"/>
        <w:gridCol w:w="899"/>
        <w:gridCol w:w="869"/>
        <w:gridCol w:w="2222"/>
        <w:gridCol w:w="2129"/>
        <w:gridCol w:w="3027"/>
      </w:tblGrid>
      <w:tr>
        <w:trPr/>
        <w:tc>
          <w:tcPr>
            <w:tcW w:w="105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129" w:type="dxa"/>
            <w:tcBorders/>
            <w:shd w:fill="auto" w:val="clear"/>
            <w:vAlign w:val="center"/>
          </w:tcPr>
          <w:p>
            <w:pPr>
              <w:pStyle w:val="TableContents"/>
              <w:spacing w:before="0" w:after="283"/>
              <w:rPr>
                <w:sz w:val="4"/>
                <w:szCs w:val="4"/>
              </w:rPr>
            </w:pPr>
            <w:r>
              <w:rPr>
                <w:sz w:val="4"/>
                <w:szCs w:val="4"/>
              </w:rPr>
            </w:r>
          </w:p>
        </w:tc>
        <w:tc>
          <w:tcPr>
            <w:tcW w:w="3027" w:type="dxa"/>
            <w:tcBorders/>
            <w:shd w:fill="auto" w:val="clear"/>
            <w:vAlign w:val="center"/>
          </w:tcPr>
          <w:p>
            <w:pPr>
              <w:pStyle w:val="TableContents"/>
              <w:spacing w:before="0" w:after="283"/>
              <w:rPr>
                <w:sz w:val="4"/>
                <w:szCs w:val="4"/>
              </w:rPr>
            </w:pPr>
            <w:r>
              <w:rPr>
                <w:sz w:val="4"/>
                <w:szCs w:val="4"/>
              </w:rPr>
            </w:r>
          </w:p>
        </w:tc>
      </w:tr>
      <w:tr>
        <w:trPr/>
        <w:tc>
          <w:tcPr>
            <w:tcW w:w="2827" w:type="dxa"/>
            <w:gridSpan w:val="3"/>
            <w:tcBorders>
              <w:top w:val="single" w:sz="8"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2022 Form 10-K</w:t>
            </w:r>
          </w:p>
        </w:tc>
        <w:tc>
          <w:tcPr>
            <w:tcW w:w="7378" w:type="dxa"/>
            <w:gridSpan w:val="3"/>
            <w:tcBorders>
              <w:top w:val="single" w:sz="8"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Annual Report on Form 10-K for the year ended December 31, 2022</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2020 Share Repurchase Program</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Board of Directors authorized program to repurchase up to $5.0 billion of our common stock</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300 Binney Street</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300 Binney Street, Cambridge, MA</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Advisory Committee</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12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Peripheral and Central Nervous System Drugs Advisory Committee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AI</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Artificial Intelligence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ALS</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Amyotrophic Lateral Sclerosis</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AOCI</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Accumulated Other Comprehensive Income (Loss)</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ASO</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Antisense Oligonucleotide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ASU</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Accounting Standards Update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ATV</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Antibody Transport Vehicle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BLA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Biologics License Application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CCPA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California Consumer Privacy Act</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CEO</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Chief Executive Officer</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cGMP</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Good Manufacturing Practices</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CHMP</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Committee for Medicinal Products for Human Use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CJEU</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Court of Justice of the European Union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CLE</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Cutaneous Lupus Erythematosus</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CLL</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Chronic Lymphocytic Leukemia</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CMS</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Centers for Medicare &amp; Medicaid Services</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Convergence</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Convergence Pharmaceuticals Ltd.</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CROs</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Research Organizations</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Denali</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Denali Therapeutics Inc.</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DPN</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Diabetic Painful Neuropathy</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EC</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European Commission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Eisai</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Eisai Co., Ltd.</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EMA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European Medicines Agency</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EPO</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European Patent Office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ERISA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Employee Retirement Income Security Act of 1974</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E.U.</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European Union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FASB</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Financial Accounting Standards Board</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FCPA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Foreign Corrupt Practices Act</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FDA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U.S. Food and Drug Administration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FDIC</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Federal Deposit Insurance Corporation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Genentech</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Genentech, Inc.</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GILTI</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Global Intangible Low Tax Income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GloBE</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Global Anti-Base Erosion</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GMP</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Good Manufacturing Practice</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Humana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Humana Inc.</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IPR&amp;D</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In-process research and development</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Ionis</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Ionis Pharmaceuticals Inc.</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IRA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Inflation Reduction Act of 2022</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LRRK2</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Leucine-Rich Repeat Kinase 2</w:t>
            </w:r>
          </w:p>
        </w:tc>
      </w:tr>
      <w:tr>
        <w:trPr/>
        <w:tc>
          <w:tcPr>
            <w:tcW w:w="2827"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MAA</w:t>
            </w:r>
          </w:p>
        </w:tc>
        <w:tc>
          <w:tcPr>
            <w:tcW w:w="7378"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Marketing Authorization Application</w:t>
            </w:r>
          </w:p>
        </w:tc>
      </w:tr>
      <w:tr>
        <w:trPr/>
        <w:tc>
          <w:tcPr>
            <w:tcW w:w="2827" w:type="dxa"/>
            <w:gridSpan w:val="3"/>
            <w:tcBorders>
              <w:top w:val="single" w:sz="4" w:space="0" w:color="0070C0"/>
              <w:bottom w:val="single" w:sz="4" w:space="0" w:color="0070C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MDD</w:t>
            </w:r>
          </w:p>
        </w:tc>
        <w:tc>
          <w:tcPr>
            <w:tcW w:w="7378" w:type="dxa"/>
            <w:gridSpan w:val="3"/>
            <w:tcBorders>
              <w:top w:val="single" w:sz="4" w:space="0" w:color="0070C0"/>
              <w:bottom w:val="single" w:sz="4" w:space="0" w:color="0070C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Major Depressive Disorder</w:t>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DEFINED TERMS (continued)</w:t>
      </w:r>
    </w:p>
    <w:tbl>
      <w:tblPr>
        <w:tblW w:w="10205" w:type="dxa"/>
        <w:jc w:val="center"/>
        <w:tblInd w:w="0" w:type="dxa"/>
        <w:tblCellMar>
          <w:top w:w="28" w:type="dxa"/>
          <w:left w:w="28" w:type="dxa"/>
          <w:bottom w:w="28" w:type="dxa"/>
          <w:right w:w="28" w:type="dxa"/>
        </w:tblCellMar>
      </w:tblPr>
      <w:tblGrid>
        <w:gridCol w:w="618"/>
        <w:gridCol w:w="544"/>
        <w:gridCol w:w="548"/>
        <w:gridCol w:w="2659"/>
        <w:gridCol w:w="2422"/>
        <w:gridCol w:w="3414"/>
      </w:tblGrid>
      <w:tr>
        <w:trPr/>
        <w:tc>
          <w:tcPr>
            <w:tcW w:w="6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422" w:type="dxa"/>
            <w:tcBorders/>
            <w:shd w:fill="auto" w:val="clear"/>
            <w:vAlign w:val="center"/>
          </w:tcPr>
          <w:p>
            <w:pPr>
              <w:pStyle w:val="TableContents"/>
              <w:spacing w:before="0" w:after="283"/>
              <w:rPr>
                <w:sz w:val="4"/>
                <w:szCs w:val="4"/>
              </w:rPr>
            </w:pPr>
            <w:r>
              <w:rPr>
                <w:sz w:val="4"/>
                <w:szCs w:val="4"/>
              </w:rPr>
            </w:r>
          </w:p>
        </w:tc>
        <w:tc>
          <w:tcPr>
            <w:tcW w:w="3414"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MS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Multiple Sclerosis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Mylan Ireland</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Mylan Ireland Ltd.</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NDA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New Drug Application</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Neurimmune</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Neurimmune SubOne AG</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NMPA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National Medicinal Products Administration</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OECD</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Organization for Economic Co-operation and Development</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OIG</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Office of Inspector General</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PDUFA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Prescription Drug User Fee Act</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PMDA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Pharmaceuticals and Medical Devices Agency</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Polpharma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Polpharma SA</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PPACA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Patient Protection and Affordable Care Act</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PPD</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Postpartum Depression</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PPMS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Primary Progressive MS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RMS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Relapsing MS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RRMS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Relapsing-Remitting MS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RTP</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Research Triangle Park</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Sage</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Sage Therapeutics, Inc.</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Samsung Bioepis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Samsung Bioepis Co., Ltd.</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Samsung BioLogics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Samsung BioLogics Co., Ltd.</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Sangamo</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Sangamo Therapeutics, Inc.</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SG&amp;A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Selling, General and Administrative</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SLE</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Systemic Lupus Erythematosus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SMA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Spinal Muscular Atrophy</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SOD1</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Superoxide Dismutase 1</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SVB</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Silicon Valley Bank</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SWISSMEDIC</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Swiss Agency for Therapeutic Products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TBA</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Technical Boards of Appeal</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TGN</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Trigeminal Neuralgia</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Transition Toll Tax</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 one-time mandatory deemed repatriation tax on accumulated foreign subsidiaries' previously untaxed foreign earnings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U.K.</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United Kingdom</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U.S.</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United States</w:t>
            </w:r>
          </w:p>
        </w:tc>
      </w:tr>
      <w:tr>
        <w:trPr/>
        <w:tc>
          <w:tcPr>
            <w:tcW w:w="1710" w:type="dxa"/>
            <w:gridSpan w:val="3"/>
            <w:tcBorders>
              <w:top w:val="single" w:sz="4" w:space="0" w:color="0070C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U.S. GAAP</w:t>
            </w:r>
          </w:p>
        </w:tc>
        <w:tc>
          <w:tcPr>
            <w:tcW w:w="8495" w:type="dxa"/>
            <w:gridSpan w:val="3"/>
            <w:tcBorders>
              <w:top w:val="single" w:sz="4" w:space="0" w:color="0070C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Accounting Principles Generally Accepted in the U.S.</w:t>
            </w:r>
          </w:p>
        </w:tc>
      </w:tr>
      <w:tr>
        <w:trPr/>
        <w:tc>
          <w:tcPr>
            <w:tcW w:w="1710" w:type="dxa"/>
            <w:gridSpan w:val="3"/>
            <w:tcBorders>
              <w:top w:val="single" w:sz="4" w:space="0" w:color="0070C0"/>
              <w:bottom w:val="single" w:sz="8" w:space="0" w:color="0070C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8"/>
              </w:rPr>
            </w:pPr>
            <w:r>
              <w:rPr>
                <w:rFonts w:ascii="Franklin Gothic Book;sans-serif" w:hAnsi="Franklin Gothic Book;sans-serif"/>
                <w:b w:val="false"/>
                <w:color w:val="0070C0"/>
                <w:sz w:val="18"/>
              </w:rPr>
              <w:t>VA</w:t>
            </w:r>
          </w:p>
        </w:tc>
        <w:tc>
          <w:tcPr>
            <w:tcW w:w="8495" w:type="dxa"/>
            <w:gridSpan w:val="3"/>
            <w:tcBorders>
              <w:top w:val="single" w:sz="4" w:space="0" w:color="0070C0"/>
              <w:bottom w:val="single" w:sz="8" w:space="0" w:color="0070C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Veterans Administration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INCOME</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 except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55"/>
        <w:gridCol w:w="1869"/>
        <w:gridCol w:w="1878"/>
        <w:gridCol w:w="303"/>
        <w:gridCol w:w="1190"/>
        <w:gridCol w:w="146"/>
        <w:gridCol w:w="146"/>
        <w:gridCol w:w="146"/>
        <w:gridCol w:w="146"/>
        <w:gridCol w:w="303"/>
        <w:gridCol w:w="1190"/>
        <w:gridCol w:w="146"/>
        <w:gridCol w:w="109"/>
        <w:gridCol w:w="109"/>
        <w:gridCol w:w="109"/>
        <w:gridCol w:w="160"/>
      </w:tblGrid>
      <w:tr>
        <w:trPr/>
        <w:tc>
          <w:tcPr>
            <w:tcW w:w="2255"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w:t>
            </w:r>
          </w:p>
        </w:tc>
        <w:tc>
          <w:tcPr>
            <w:tcW w:w="163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Product, net</w:t>
            </w:r>
          </w:p>
        </w:tc>
        <w:tc>
          <w:tcPr>
            <w:tcW w:w="30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19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1,763.3 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2,066.3 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from LEQEMBI Collaboration</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(18.9)</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Revenue from anti-CD20 therapeutic programs</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399.5 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399.4 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Contract manufacturing, royalty and other revenue</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319.1 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66.1 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revenue</w:t>
            </w:r>
          </w:p>
        </w:tc>
        <w:tc>
          <w:tcPr>
            <w:tcW w:w="149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2,463.0 </w:t>
            </w:r>
          </w:p>
        </w:tc>
        <w:tc>
          <w:tcPr>
            <w:tcW w:w="1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2,531.8 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and expense:</w:t>
            </w:r>
          </w:p>
        </w:tc>
        <w:tc>
          <w:tcPr>
            <w:tcW w:w="1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Cost of sales, excluding amortization and impairment of acquired intangible assets</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662.8 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753.9 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Research and development</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570.6 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551.7 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Selling, general and administrative</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605.0 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634.9 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and impairment of acquired intangible assets</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50.2 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66.9 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Collaboration profit sharing/(loss reimbursement)</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57.1 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(117.3)</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loss on fair value remeasurement of contingent consideration</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(7.1)</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Restructuring charges</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9.6 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38.1 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6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(income) expense, net</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69.4 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263.3 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cost and expense</w:t>
            </w:r>
          </w:p>
        </w:tc>
        <w:tc>
          <w:tcPr>
            <w:tcW w:w="149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2,024.7 </w:t>
            </w:r>
          </w:p>
        </w:tc>
        <w:tc>
          <w:tcPr>
            <w:tcW w:w="1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2,184.4 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before income tax expense and equity in loss of investee, net of tax</w:t>
            </w:r>
          </w:p>
        </w:tc>
        <w:tc>
          <w:tcPr>
            <w:tcW w:w="149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438.3 </w:t>
            </w:r>
          </w:p>
        </w:tc>
        <w:tc>
          <w:tcPr>
            <w:tcW w:w="1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347.4 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Income tax (benefit) expense</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50.7 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125.6 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Equity in (income) loss of investee, net of tax</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w:t>
            </w:r>
          </w:p>
        </w:tc>
        <w:tc>
          <w:tcPr>
            <w:tcW w:w="149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387.6 </w:t>
            </w:r>
          </w:p>
        </w:tc>
        <w:tc>
          <w:tcPr>
            <w:tcW w:w="1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218.5 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(loss) attributable to noncontrolling interests, net of tax</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(0.3)</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(85.3)</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19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387.9 </w:t>
            </w:r>
          </w:p>
        </w:tc>
        <w:tc>
          <w:tcPr>
            <w:tcW w:w="1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9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303.8 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per share:</w:t>
            </w:r>
          </w:p>
        </w:tc>
        <w:tc>
          <w:tcPr>
            <w:tcW w:w="1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30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19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2.69 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30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19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2.67 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1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Weighted-average shares used in calculating:</w:t>
            </w:r>
          </w:p>
        </w:tc>
        <w:tc>
          <w:tcPr>
            <w:tcW w:w="1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Basic earnings per share attributable to Biogen Inc.</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144.4 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147.1 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Diluted earnings per share attributable to Biogen Inc.</w:t>
            </w:r>
          </w:p>
        </w:tc>
        <w:tc>
          <w:tcPr>
            <w:tcW w:w="1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145.2 </w:t>
            </w:r>
          </w:p>
        </w:tc>
        <w:tc>
          <w:tcPr>
            <w:tcW w:w="1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147.6 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COMPREHENSIVE INCOME</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232"/>
        <w:gridCol w:w="1890"/>
        <w:gridCol w:w="1900"/>
        <w:gridCol w:w="346"/>
        <w:gridCol w:w="1085"/>
        <w:gridCol w:w="167"/>
        <w:gridCol w:w="167"/>
        <w:gridCol w:w="167"/>
        <w:gridCol w:w="167"/>
        <w:gridCol w:w="346"/>
        <w:gridCol w:w="1085"/>
        <w:gridCol w:w="167"/>
        <w:gridCol w:w="109"/>
        <w:gridCol w:w="109"/>
        <w:gridCol w:w="109"/>
        <w:gridCol w:w="159"/>
      </w:tblGrid>
      <w:tr>
        <w:trPr/>
        <w:tc>
          <w:tcPr>
            <w:tcW w:w="2232"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98"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8"/>
              </w:rPr>
            </w:pPr>
            <w:r>
              <w:rPr>
                <w:rFonts w:ascii="Franklin Gothic Book;sans-serif" w:hAnsi="Franklin Gothic Book;sans-serif"/>
                <w:b/>
                <w:color w:val="257ACB"/>
                <w:sz w:val="18"/>
              </w:rPr>
              <w:t>2023</w:t>
            </w:r>
          </w:p>
        </w:tc>
        <w:tc>
          <w:tcPr>
            <w:tcW w:w="5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attributable to Biogen Inc.</w:t>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8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387.9 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303.8 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comprehensive income:</w:t>
            </w:r>
          </w:p>
        </w:tc>
        <w:tc>
          <w:tcPr>
            <w:tcW w:w="159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securities available for sale, net of tax</w:t>
            </w:r>
          </w:p>
        </w:tc>
        <w:tc>
          <w:tcPr>
            <w:tcW w:w="14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5.7 </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(9.7)</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cash flow hedges, net of tax</w:t>
            </w:r>
          </w:p>
        </w:tc>
        <w:tc>
          <w:tcPr>
            <w:tcW w:w="14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(35.4)</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15.9 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Gains (losses) on net investment hedges, net of tax</w:t>
            </w:r>
          </w:p>
        </w:tc>
        <w:tc>
          <w:tcPr>
            <w:tcW w:w="14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6.2 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Unrealized gains (losses) on pension benefit obligation, net of tax</w:t>
            </w:r>
          </w:p>
        </w:tc>
        <w:tc>
          <w:tcPr>
            <w:tcW w:w="14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0.5 </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0.9 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Currency translation adjustment</w:t>
            </w:r>
          </w:p>
        </w:tc>
        <w:tc>
          <w:tcPr>
            <w:tcW w:w="14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22.1 </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(21.8)</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other comprehensive income (loss), net of tax</w:t>
            </w:r>
          </w:p>
        </w:tc>
        <w:tc>
          <w:tcPr>
            <w:tcW w:w="14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(7.1)</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(8.5)</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Comprehensive income (loss) attributable to Biogen Inc.</w:t>
            </w:r>
          </w:p>
        </w:tc>
        <w:tc>
          <w:tcPr>
            <w:tcW w:w="14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380.8 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295.3 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Comprehensive income (loss) attributable to noncontrolling interests, net of tax</w:t>
            </w:r>
          </w:p>
        </w:tc>
        <w:tc>
          <w:tcPr>
            <w:tcW w:w="14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(0.3)</w:t>
            </w:r>
          </w:p>
        </w:tc>
        <w:tc>
          <w:tcPr>
            <w:tcW w:w="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(85.3)</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Comprehensive income (loss)</w:t>
            </w:r>
          </w:p>
        </w:tc>
        <w:tc>
          <w:tcPr>
            <w:tcW w:w="3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0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380.5 </w:t>
            </w:r>
          </w:p>
        </w:tc>
        <w:tc>
          <w:tcPr>
            <w:tcW w:w="1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0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210.0 </w:t>
            </w:r>
          </w:p>
        </w:tc>
        <w:tc>
          <w:tcPr>
            <w:tcW w:w="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BALANCE SHEETS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 except per share amounts)</w:t>
      </w:r>
    </w:p>
    <w:p>
      <w:pPr>
        <w:pStyle w:val="TextBody"/>
        <w:spacing w:lineRule="auto" w:line="288" w:before="0" w:after="0"/>
        <w:rPr>
          <w:color w:val="000000"/>
        </w:rPr>
      </w:pPr>
      <w:r>
        <w:rPr>
          <w:color w:val="000000"/>
        </w:rPr>
        <w:t> </w:t>
      </w:r>
    </w:p>
    <w:tbl>
      <w:tblPr>
        <w:tblW w:w="9746" w:type="dxa"/>
        <w:jc w:val="left"/>
        <w:tblInd w:w="0" w:type="dxa"/>
        <w:tblCellMar>
          <w:top w:w="28" w:type="dxa"/>
          <w:left w:w="28" w:type="dxa"/>
          <w:bottom w:w="28" w:type="dxa"/>
          <w:right w:w="28" w:type="dxa"/>
        </w:tblCellMar>
      </w:tblPr>
      <w:tblGrid>
        <w:gridCol w:w="1653"/>
        <w:gridCol w:w="1450"/>
        <w:gridCol w:w="1457"/>
        <w:gridCol w:w="371"/>
        <w:gridCol w:w="1654"/>
        <w:gridCol w:w="179"/>
        <w:gridCol w:w="109"/>
        <w:gridCol w:w="109"/>
        <w:gridCol w:w="109"/>
        <w:gridCol w:w="433"/>
        <w:gridCol w:w="1927"/>
        <w:gridCol w:w="295"/>
      </w:tblGrid>
      <w:tr>
        <w:trPr/>
        <w:tc>
          <w:tcPr>
            <w:tcW w:w="1653"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65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4"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26DCE"/>
                <w:sz w:val="18"/>
              </w:rPr>
            </w:pPr>
            <w:r>
              <w:rPr>
                <w:rFonts w:ascii="Franklin Gothic Book;sans-serif" w:hAnsi="Franklin Gothic Book;sans-serif"/>
                <w:b/>
                <w:color w:val="026DCE"/>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 of December 31, 2022</w:t>
            </w:r>
          </w:p>
        </w:tc>
      </w:tr>
      <w:tr>
        <w:trPr/>
        <w:tc>
          <w:tcPr>
            <w:tcW w:w="974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ASSETS</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assets:</w:t>
            </w:r>
          </w:p>
        </w:tc>
        <w:tc>
          <w:tcPr>
            <w:tcW w:w="2204"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w:t>
            </w:r>
          </w:p>
        </w:tc>
        <w:tc>
          <w:tcPr>
            <w:tcW w:w="37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65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2,898.2 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3,419.3 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Marketable securities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2,143.1 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1,473.5 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1,634.4 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1,705.0 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Due from anti-CD20 therapeutic programs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393.8 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431.4 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Inventory</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1,281.0 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1,344.4 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assets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1,412.0 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1,417.6 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assets</w:t>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9,762.5 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9,791.2 </w:t>
            </w:r>
          </w:p>
        </w:tc>
        <w:tc>
          <w:tcPr>
            <w:tcW w:w="2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Marketable securities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978.2 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705.7 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Property, plant and equipment, net</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3,300.9 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3,298.6 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Operating lease assets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399.1 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403.9 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Intangible assets, net</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1,813.3 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1,850.1 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Goodwill</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5,751.8 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5,749.0 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asset</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1,211.8 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1,226.4 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Investments and other assets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1,380.8 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1,529.2 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assets</w:t>
            </w:r>
          </w:p>
        </w:tc>
        <w:tc>
          <w:tcPr>
            <w:tcW w:w="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6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24,598.4 </w:t>
            </w:r>
          </w:p>
        </w:tc>
        <w:tc>
          <w:tcPr>
            <w:tcW w:w="1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24,554.1 </w:t>
            </w:r>
          </w:p>
        </w:tc>
        <w:tc>
          <w:tcPr>
            <w:tcW w:w="2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74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LIABILITIES AND EQUITY</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Current liabilities:</w:t>
            </w:r>
          </w:p>
        </w:tc>
        <w:tc>
          <w:tcPr>
            <w:tcW w:w="2204"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2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37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65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235.5 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259.9 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491.2 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491.5 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Accrued expense and other</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2,288.2 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2,521.4 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current liabilities</w:t>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3,014.9 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3,272.8 </w:t>
            </w:r>
          </w:p>
        </w:tc>
        <w:tc>
          <w:tcPr>
            <w:tcW w:w="2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Notes payable</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6,282.7 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6,281.0 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tax liability</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251.3 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334.7 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Long-term operating lease liabilities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327.0 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333.0 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long-term liabilities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935.5 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944.2 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w:t>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10,811.4 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11,165.7 </w:t>
            </w:r>
          </w:p>
        </w:tc>
        <w:tc>
          <w:tcPr>
            <w:tcW w:w="2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Commitments, contingencies and guarantees</w:t>
            </w:r>
          </w:p>
        </w:tc>
        <w:tc>
          <w:tcPr>
            <w:tcW w:w="220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Equity:</w:t>
            </w:r>
          </w:p>
        </w:tc>
        <w:tc>
          <w:tcPr>
            <w:tcW w:w="220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Biogen Inc. shareholders’ equity:</w:t>
            </w:r>
          </w:p>
        </w:tc>
        <w:tc>
          <w:tcPr>
            <w:tcW w:w="220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Preferred stock, par value $0.001 per share</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Common stock, par value $0.0005 per share</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0.1 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0.1 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Additional paid-in capital</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91.2 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73.3 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Accumulated other comprehensive income (loss)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(172.0)</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(164.9)</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Retained earnings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16,854.4 </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16,466.5 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Treasury stock, at cost</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(2,977.1)</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(2,977.1)</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Biogen Inc. shareholders’ equity</w:t>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13,796.6 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13,397.9 </w:t>
            </w:r>
          </w:p>
        </w:tc>
        <w:tc>
          <w:tcPr>
            <w:tcW w:w="2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Noncontrolling interests</w:t>
            </w:r>
          </w:p>
        </w:tc>
        <w:tc>
          <w:tcPr>
            <w:tcW w:w="20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(9.6)</w:t>
            </w:r>
          </w:p>
        </w:tc>
        <w:tc>
          <w:tcPr>
            <w:tcW w:w="17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(9.5)</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equity</w:t>
            </w:r>
          </w:p>
        </w:tc>
        <w:tc>
          <w:tcPr>
            <w:tcW w:w="20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13,787.0 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13,388.4 </w:t>
            </w:r>
          </w:p>
        </w:tc>
        <w:tc>
          <w:tcPr>
            <w:tcW w:w="2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Total liabilities and equity</w:t>
            </w:r>
          </w:p>
        </w:tc>
        <w:tc>
          <w:tcPr>
            <w:tcW w:w="3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8"/>
              </w:rPr>
            </w:pPr>
            <w:r>
              <w:rPr>
                <w:rFonts w:ascii="Franklin Gothic Book;sans-serif" w:hAnsi="Franklin Gothic Book;sans-serif"/>
                <w:b w:val="false"/>
                <w:color w:val="257ACB"/>
                <w:sz w:val="18"/>
              </w:rPr>
              <w:t>$</w:t>
            </w:r>
          </w:p>
        </w:tc>
        <w:tc>
          <w:tcPr>
            <w:tcW w:w="16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8"/>
              </w:rPr>
            </w:pPr>
            <w:r>
              <w:rPr>
                <w:rFonts w:ascii="Franklin Gothic Book;sans-serif" w:hAnsi="Franklin Gothic Book;sans-serif"/>
                <w:b w:val="false"/>
                <w:color w:val="257ACB"/>
                <w:sz w:val="18"/>
              </w:rPr>
              <w:t>24,598.4 </w:t>
            </w:r>
          </w:p>
        </w:tc>
        <w:tc>
          <w:tcPr>
            <w:tcW w:w="1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w:t>
            </w:r>
          </w:p>
        </w:tc>
        <w:tc>
          <w:tcPr>
            <w:tcW w:w="19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24,554.1 </w:t>
            </w:r>
          </w:p>
        </w:tc>
        <w:tc>
          <w:tcPr>
            <w:tcW w:w="2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CASH FLOW</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tbl>
      <w:tblPr>
        <w:tblW w:w="10205" w:type="dxa"/>
        <w:jc w:val="left"/>
        <w:tblInd w:w="0" w:type="dxa"/>
        <w:tblCellMar>
          <w:top w:w="28" w:type="dxa"/>
          <w:left w:w="28" w:type="dxa"/>
          <w:bottom w:w="28" w:type="dxa"/>
          <w:right w:w="28" w:type="dxa"/>
        </w:tblCellMar>
      </w:tblPr>
      <w:tblGrid>
        <w:gridCol w:w="2419"/>
        <w:gridCol w:w="2079"/>
        <w:gridCol w:w="2085"/>
        <w:gridCol w:w="300"/>
        <w:gridCol w:w="1090"/>
        <w:gridCol w:w="154"/>
        <w:gridCol w:w="154"/>
        <w:gridCol w:w="154"/>
        <w:gridCol w:w="154"/>
        <w:gridCol w:w="300"/>
        <w:gridCol w:w="1090"/>
        <w:gridCol w:w="226"/>
      </w:tblGrid>
      <w:tr>
        <w:trPr/>
        <w:tc>
          <w:tcPr>
            <w:tcW w:w="2419"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7"/>
              </w:rPr>
            </w:pPr>
            <w:r>
              <w:rPr>
                <w:rFonts w:ascii="Franklin Gothic Book;sans-serif" w:hAnsi="Franklin Gothic Book;sans-serif"/>
                <w:b/>
                <w:color w:val="000000"/>
                <w:sz w:val="17"/>
              </w:rPr>
              <w:t>For the Three Months Ended March 31,</w:t>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44"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7"/>
              </w:rPr>
            </w:pPr>
            <w:r>
              <w:rPr>
                <w:rFonts w:ascii="Franklin Gothic Book;sans-serif" w:hAnsi="Franklin Gothic Book;sans-serif"/>
                <w:b/>
                <w:color w:val="257ACB"/>
                <w:sz w:val="17"/>
              </w:rPr>
              <w:t>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7"/>
              </w:rPr>
            </w:pPr>
            <w:r>
              <w:rPr>
                <w:rFonts w:ascii="Franklin Gothic Book;sans-serif" w:hAnsi="Franklin Gothic Book;sans-serif"/>
                <w:b/>
                <w:color w:val="000000"/>
                <w:sz w:val="17"/>
              </w:rPr>
              <w:t>2022</w:t>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operating activities:</w:t>
            </w:r>
          </w:p>
        </w:tc>
        <w:tc>
          <w:tcPr>
            <w:tcW w:w="1544"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income</w:t>
            </w:r>
          </w:p>
        </w:tc>
        <w:tc>
          <w:tcPr>
            <w:tcW w:w="300"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7"/>
              </w:rPr>
            </w:pPr>
            <w:r>
              <w:rPr>
                <w:rFonts w:ascii="Franklin Gothic Book;sans-serif" w:hAnsi="Franklin Gothic Book;sans-serif"/>
                <w:b w:val="false"/>
                <w:color w:val="257ACB"/>
                <w:sz w:val="17"/>
              </w:rPr>
              <w:t>$</w:t>
            </w:r>
          </w:p>
        </w:tc>
        <w:tc>
          <w:tcPr>
            <w:tcW w:w="109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387.6 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w:t>
            </w:r>
          </w:p>
        </w:tc>
        <w:tc>
          <w:tcPr>
            <w:tcW w:w="10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218.5 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Adjustments to reconcile net income to net cash flow from operating activities:</w:t>
            </w:r>
          </w:p>
        </w:tc>
        <w:tc>
          <w:tcPr>
            <w:tcW w:w="15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Depreciation and amortization</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112.3 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143.1 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Excess and obsolescence charges related to inventory</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17.4 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281.5 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Share-based compensation</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75.6 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67.6 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Contingent consideration</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(7.1)</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Deferred income taxes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(64.5)</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(Gain) loss on strategic investments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79.6 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191.1 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(Gain) loss on equity method investments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31.4 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43.3 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Changes in operating assets and liabilities, net:</w:t>
            </w:r>
          </w:p>
        </w:tc>
        <w:tc>
          <w:tcPr>
            <w:tcW w:w="154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Accounts receivable</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77.2 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(87.5)</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Due from anti-CD20 therapeutic programs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37.6 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22.9 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Inventory</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27.9 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(142.6)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Accrued expense and other current liabilities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(295.0)</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(461.6)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Income tax assets and liabilities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65.0 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101.9 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 changes in operating assets and liabilities, net</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(96.8)</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(213.6)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operating activities</w:t>
            </w:r>
          </w:p>
        </w:tc>
        <w:tc>
          <w:tcPr>
            <w:tcW w:w="13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455.3 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161.8 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investing activities:</w:t>
            </w:r>
          </w:p>
        </w:tc>
        <w:tc>
          <w:tcPr>
            <w:tcW w:w="15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Purchases of property, plant and equipment</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(66.6)</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(57.9)</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sales and maturities of marketable securities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406.7 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543.6 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Purchases of marketable securities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(1,321.2)</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(1,133.5)</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Acquisitions of intangible assets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(5.0)</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Proceeds from sales of strategic investments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33.8 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(0.7)</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(0.2)</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investing activities</w:t>
            </w:r>
          </w:p>
        </w:tc>
        <w:tc>
          <w:tcPr>
            <w:tcW w:w="13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(953.0)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(648.0)</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7"/>
              </w:rPr>
            </w:pPr>
            <w:r>
              <w:rPr>
                <w:rFonts w:ascii="Franklin Gothic Book;sans-serif" w:hAnsi="Franklin Gothic Book;sans-serif"/>
                <w:b/>
                <w:color w:val="000000"/>
                <w:sz w:val="17"/>
              </w:rPr>
              <w:t>Cash flow from financing activities:</w:t>
            </w:r>
          </w:p>
        </w:tc>
        <w:tc>
          <w:tcPr>
            <w:tcW w:w="15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Payments related to issuance of stock for share-based compensation arrangements, net</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(60.1)</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(20.8)</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(distribution) contribution to noncontrolling interest</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0.2 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0.2 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Other</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16.5 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4.1 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cash flow provided by (used in) financing activities</w:t>
            </w:r>
          </w:p>
        </w:tc>
        <w:tc>
          <w:tcPr>
            <w:tcW w:w="13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(43.4)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(16.5)</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Net increase (decrease) in cash and cash equivalents</w:t>
            </w:r>
          </w:p>
        </w:tc>
        <w:tc>
          <w:tcPr>
            <w:tcW w:w="13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(541.1)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(502.7)</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Effect of exchange rate changes on cash and cash equivalents</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(9.4)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Cash and cash equivalents, beginning of the period</w:t>
            </w:r>
          </w:p>
        </w:tc>
        <w:tc>
          <w:tcPr>
            <w:tcW w:w="13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3,419.3 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2,261.4 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Cash and cash equivalents, end of the period</w:t>
            </w:r>
          </w:p>
        </w:tc>
        <w:tc>
          <w:tcPr>
            <w:tcW w:w="3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7"/>
              </w:rPr>
            </w:pPr>
            <w:r>
              <w:rPr>
                <w:rFonts w:ascii="Franklin Gothic Book;sans-serif" w:hAnsi="Franklin Gothic Book;sans-serif"/>
                <w:b w:val="false"/>
                <w:color w:val="257ACB"/>
                <w:sz w:val="17"/>
              </w:rPr>
              <w:t>$</w:t>
            </w:r>
          </w:p>
        </w:tc>
        <w:tc>
          <w:tcPr>
            <w:tcW w:w="10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7"/>
              </w:rPr>
            </w:pPr>
            <w:r>
              <w:rPr>
                <w:rFonts w:ascii="Franklin Gothic Book;sans-serif" w:hAnsi="Franklin Gothic Book;sans-serif"/>
                <w:b w:val="false"/>
                <w:color w:val="257ACB"/>
                <w:sz w:val="17"/>
              </w:rPr>
              <w:t>2,898.2 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7"/>
              </w:rPr>
            </w:pPr>
            <w:r>
              <w:rPr>
                <w:rFonts w:ascii="Franklin Gothic Book;sans-serif" w:hAnsi="Franklin Gothic Book;sans-serif"/>
                <w:b w:val="false"/>
                <w:color w:val="000000"/>
                <w:sz w:val="17"/>
              </w:rPr>
              <w:t>$</w:t>
            </w:r>
          </w:p>
        </w:tc>
        <w:tc>
          <w:tcPr>
            <w:tcW w:w="10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7"/>
              </w:rPr>
            </w:pPr>
            <w:r>
              <w:rPr>
                <w:rFonts w:ascii="Franklin Gothic Book;sans-serif" w:hAnsi="Franklin Gothic Book;sans-serif"/>
                <w:b w:val="false"/>
                <w:color w:val="000000"/>
                <w:sz w:val="17"/>
              </w:rPr>
              <w:t>1,749.3 </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lineRule="auto" w:line="288" w:before="6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EQUITY</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spacing w:before="0" w:after="0"/>
        <w:jc w:val="center"/>
        <w:rPr/>
      </w:pPr>
      <w:r>
        <w:rPr/>
      </w:r>
    </w:p>
    <w:tbl>
      <w:tblPr>
        <w:tblW w:w="17701" w:type="dxa"/>
        <w:jc w:val="center"/>
        <w:tblInd w:w="0" w:type="dxa"/>
        <w:tblCellMar>
          <w:top w:w="28" w:type="dxa"/>
          <w:left w:w="28" w:type="dxa"/>
          <w:bottom w:w="28" w:type="dxa"/>
          <w:right w:w="28" w:type="dxa"/>
        </w:tblCellMar>
      </w:tblPr>
      <w:tblGrid>
        <w:gridCol w:w="851"/>
        <w:gridCol w:w="287"/>
        <w:gridCol w:w="288"/>
        <w:gridCol w:w="245"/>
        <w:gridCol w:w="245"/>
        <w:gridCol w:w="246"/>
        <w:gridCol w:w="109"/>
        <w:gridCol w:w="109"/>
        <w:gridCol w:w="109"/>
        <w:gridCol w:w="231"/>
        <w:gridCol w:w="480"/>
        <w:gridCol w:w="130"/>
        <w:gridCol w:w="109"/>
        <w:gridCol w:w="109"/>
        <w:gridCol w:w="109"/>
        <w:gridCol w:w="278"/>
        <w:gridCol w:w="278"/>
        <w:gridCol w:w="246"/>
        <w:gridCol w:w="109"/>
        <w:gridCol w:w="109"/>
        <w:gridCol w:w="109"/>
        <w:gridCol w:w="242"/>
        <w:gridCol w:w="464"/>
        <w:gridCol w:w="135"/>
        <w:gridCol w:w="109"/>
        <w:gridCol w:w="109"/>
        <w:gridCol w:w="109"/>
        <w:gridCol w:w="274"/>
        <w:gridCol w:w="653"/>
        <w:gridCol w:w="154"/>
        <w:gridCol w:w="109"/>
        <w:gridCol w:w="109"/>
        <w:gridCol w:w="109"/>
        <w:gridCol w:w="339"/>
        <w:gridCol w:w="988"/>
        <w:gridCol w:w="189"/>
        <w:gridCol w:w="109"/>
        <w:gridCol w:w="109"/>
        <w:gridCol w:w="109"/>
        <w:gridCol w:w="196"/>
        <w:gridCol w:w="781"/>
        <w:gridCol w:w="109"/>
        <w:gridCol w:w="109"/>
        <w:gridCol w:w="109"/>
        <w:gridCol w:w="109"/>
        <w:gridCol w:w="245"/>
        <w:gridCol w:w="245"/>
        <w:gridCol w:w="246"/>
        <w:gridCol w:w="109"/>
        <w:gridCol w:w="109"/>
        <w:gridCol w:w="109"/>
        <w:gridCol w:w="196"/>
        <w:gridCol w:w="706"/>
        <w:gridCol w:w="109"/>
        <w:gridCol w:w="109"/>
        <w:gridCol w:w="109"/>
        <w:gridCol w:w="109"/>
        <w:gridCol w:w="249"/>
        <w:gridCol w:w="993"/>
        <w:gridCol w:w="139"/>
        <w:gridCol w:w="109"/>
        <w:gridCol w:w="109"/>
        <w:gridCol w:w="109"/>
        <w:gridCol w:w="426"/>
        <w:gridCol w:w="851"/>
        <w:gridCol w:w="239"/>
        <w:gridCol w:w="327"/>
        <w:gridCol w:w="196"/>
        <w:gridCol w:w="781"/>
        <w:gridCol w:w="154"/>
      </w:tblGrid>
      <w:tr>
        <w:trPr/>
        <w:tc>
          <w:tcPr>
            <w:tcW w:w="85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Biogen Inc.</w:t>
              <w:br/>
              <w:t>shareholders’</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br/>
              <w:t>equity</w:t>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December 31, 2022</w:t>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167.9 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5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73.3 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(164.9)</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16,466.5 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9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13,397.9 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85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(9.5)</w:t>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13,388.4 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387.9 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387.9 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(0.3)</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387.6 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(7.1)</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Capital contribution from noncontrolling interest</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0.2 </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20.1 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20.1 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0.6 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(80.2)</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(80.2)</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(80.2)</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78.9 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78.9 </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78.9 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(0.9)</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(0.9)</w:t>
            </w:r>
          </w:p>
        </w:tc>
        <w:tc>
          <w:tcPr>
            <w:tcW w:w="1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3BA"/>
              </w:rPr>
            </w:pPr>
            <w:r>
              <w:rPr>
                <w:color w:val="2573BA"/>
              </w:rPr>
              <w:t>— </w:t>
            </w:r>
          </w:p>
        </w:tc>
        <w:tc>
          <w:tcPr>
            <w:tcW w:w="23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(0.9)</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March 31, 2023</w:t>
            </w:r>
          </w:p>
        </w:tc>
        <w:tc>
          <w:tcPr>
            <w:tcW w:w="49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2573BA"/>
              </w:rPr>
            </w:pPr>
            <w:r>
              <w:rPr>
                <w:color w:val="2573BA"/>
              </w:rPr>
              <w:t>—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2573BA"/>
              </w:rPr>
            </w:pPr>
            <w:r>
              <w:rPr>
                <w:color w:val="2573BA"/>
              </w:rPr>
              <w:t>—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168.6 </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4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0.1 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6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91.2 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(172.0)</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16,854.4 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(23.8)</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(2,977.1)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9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13,796.6 </w:t>
            </w:r>
          </w:p>
        </w:tc>
        <w:tc>
          <w:tcPr>
            <w:tcW w:w="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8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(9.6)</w:t>
            </w:r>
          </w:p>
        </w:tc>
        <w:tc>
          <w:tcPr>
            <w:tcW w:w="2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15"/>
              </w:rPr>
            </w:pPr>
            <w:r>
              <w:rPr>
                <w:rFonts w:ascii="Franklin Gothic Book;sans-serif" w:hAnsi="Franklin Gothic Book;sans-serif"/>
                <w:b w:val="false"/>
                <w:color w:val="2573BA"/>
                <w:sz w:val="15"/>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15"/>
              </w:rPr>
            </w:pPr>
            <w:r>
              <w:rPr>
                <w:rFonts w:ascii="Franklin Gothic Book;sans-serif" w:hAnsi="Franklin Gothic Book;sans-serif"/>
                <w:b w:val="false"/>
                <w:color w:val="2573BA"/>
                <w:sz w:val="15"/>
              </w:rPr>
              <w:t>13,787.0 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BIOGEN INC. AND SUBSIDIARIES</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CONDENSED CONSOLIDATED STATEMENTS OF EQUITY - (Continued)</w:t>
      </w:r>
    </w:p>
    <w:p>
      <w:pPr>
        <w:pStyle w:val="TextBody"/>
        <w:spacing w:lineRule="auto" w:line="288" w:before="0" w:after="0"/>
        <w:jc w:val="center"/>
        <w:rPr>
          <w:rFonts w:ascii="Franklin Gothic Book;sans-serif" w:hAnsi="Franklin Gothic Book;sans-serif"/>
          <w:b/>
          <w:color w:val="1C5A7D"/>
          <w:sz w:val="24"/>
        </w:rPr>
      </w:pPr>
      <w:r>
        <w:rPr>
          <w:rFonts w:ascii="Franklin Gothic Book;sans-serif" w:hAnsi="Franklin Gothic Book;sans-serif"/>
          <w:b/>
          <w:color w:val="1C5A7D"/>
          <w:sz w:val="24"/>
        </w:rPr>
        <w:t>(unaudited, in millions)</w:t>
      </w:r>
    </w:p>
    <w:p>
      <w:pPr>
        <w:pStyle w:val="TextBody"/>
        <w:spacing w:before="0" w:after="0"/>
        <w:jc w:val="center"/>
        <w:rPr/>
      </w:pPr>
      <w:r>
        <w:rPr/>
      </w:r>
    </w:p>
    <w:tbl>
      <w:tblPr>
        <w:tblW w:w="16942" w:type="dxa"/>
        <w:jc w:val="center"/>
        <w:tblInd w:w="0" w:type="dxa"/>
        <w:tblCellMar>
          <w:top w:w="28" w:type="dxa"/>
          <w:left w:w="28" w:type="dxa"/>
          <w:bottom w:w="28" w:type="dxa"/>
          <w:right w:w="28" w:type="dxa"/>
        </w:tblCellMar>
      </w:tblPr>
      <w:tblGrid>
        <w:gridCol w:w="851"/>
        <w:gridCol w:w="287"/>
        <w:gridCol w:w="288"/>
        <w:gridCol w:w="230"/>
        <w:gridCol w:w="230"/>
        <w:gridCol w:w="231"/>
        <w:gridCol w:w="109"/>
        <w:gridCol w:w="109"/>
        <w:gridCol w:w="109"/>
        <w:gridCol w:w="211"/>
        <w:gridCol w:w="437"/>
        <w:gridCol w:w="118"/>
        <w:gridCol w:w="109"/>
        <w:gridCol w:w="109"/>
        <w:gridCol w:w="109"/>
        <w:gridCol w:w="278"/>
        <w:gridCol w:w="278"/>
        <w:gridCol w:w="231"/>
        <w:gridCol w:w="109"/>
        <w:gridCol w:w="109"/>
        <w:gridCol w:w="109"/>
        <w:gridCol w:w="220"/>
        <w:gridCol w:w="422"/>
        <w:gridCol w:w="124"/>
        <w:gridCol w:w="109"/>
        <w:gridCol w:w="109"/>
        <w:gridCol w:w="109"/>
        <w:gridCol w:w="218"/>
        <w:gridCol w:w="620"/>
        <w:gridCol w:w="123"/>
        <w:gridCol w:w="109"/>
        <w:gridCol w:w="109"/>
        <w:gridCol w:w="109"/>
        <w:gridCol w:w="312"/>
        <w:gridCol w:w="909"/>
        <w:gridCol w:w="175"/>
        <w:gridCol w:w="109"/>
        <w:gridCol w:w="109"/>
        <w:gridCol w:w="109"/>
        <w:gridCol w:w="196"/>
        <w:gridCol w:w="781"/>
        <w:gridCol w:w="109"/>
        <w:gridCol w:w="109"/>
        <w:gridCol w:w="109"/>
        <w:gridCol w:w="109"/>
        <w:gridCol w:w="240"/>
        <w:gridCol w:w="241"/>
        <w:gridCol w:w="231"/>
        <w:gridCol w:w="109"/>
        <w:gridCol w:w="109"/>
        <w:gridCol w:w="109"/>
        <w:gridCol w:w="196"/>
        <w:gridCol w:w="706"/>
        <w:gridCol w:w="109"/>
        <w:gridCol w:w="109"/>
        <w:gridCol w:w="109"/>
        <w:gridCol w:w="109"/>
        <w:gridCol w:w="230"/>
        <w:gridCol w:w="917"/>
        <w:gridCol w:w="129"/>
        <w:gridCol w:w="109"/>
        <w:gridCol w:w="109"/>
        <w:gridCol w:w="109"/>
        <w:gridCol w:w="333"/>
        <w:gridCol w:w="817"/>
        <w:gridCol w:w="186"/>
        <w:gridCol w:w="327"/>
        <w:gridCol w:w="196"/>
        <w:gridCol w:w="781"/>
        <w:gridCol w:w="154"/>
      </w:tblGrid>
      <w:tr>
        <w:trPr/>
        <w:tc>
          <w:tcPr>
            <w:tcW w:w="85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Total</w:t>
              <w:br/>
              <w:t>Biogen Inc.</w:t>
              <w:br/>
              <w:t>shareholders’</w:t>
              <w:br/>
              <w:t>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Total</w:t>
              <w:br/>
              <w:t>equity</w:t>
            </w:r>
          </w:p>
        </w:tc>
      </w:tr>
      <w:tr>
        <w:trPr/>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5"/>
              </w:rPr>
            </w:pPr>
            <w:r>
              <w:rPr>
                <w:rFonts w:ascii="Franklin Gothic Book;sans-serif" w:hAnsi="Franklin Gothic Book;sans-serif"/>
                <w:b/>
                <w:color w:val="000000"/>
                <w:sz w:val="15"/>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December 31, 2021</w:t>
            </w:r>
          </w:p>
        </w:tc>
        <w:tc>
          <w:tcPr>
            <w:tcW w:w="4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4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170.8 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0.1 </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6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68.2 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(106.7)</w:t>
            </w:r>
          </w:p>
        </w:tc>
        <w:tc>
          <w:tcPr>
            <w:tcW w:w="17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7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13,911.7 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(23.8)</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(2,977.1)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9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10,896.2 </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8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63.5 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7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10,959.7 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303.8 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303.8 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(85.3)</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218.5 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net of tax</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(8.5)</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(8.5)</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(8.5)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Capital contribution from noncontrolling interest</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0.2 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option and stock purchase plans</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0.1 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18.9 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18.9 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18.9 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Issuance of common stock under stock award plan</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0.4 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(39.7)</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(39.7)</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(39.7)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Compensation related to share-based payments</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70.4 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70.4 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70.4 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4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1.2 </w:t>
            </w:r>
          </w:p>
        </w:tc>
        <w:tc>
          <w:tcPr>
            <w:tcW w:w="1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1.2 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March 31, 2022</w:t>
            </w:r>
          </w:p>
        </w:tc>
        <w:tc>
          <w:tcPr>
            <w:tcW w:w="46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4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171.3 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4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0.1 </w:t>
            </w:r>
          </w:p>
        </w:tc>
        <w:tc>
          <w:tcPr>
            <w:tcW w:w="1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6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119.0 </w:t>
            </w:r>
          </w:p>
        </w:tc>
        <w:tc>
          <w:tcPr>
            <w:tcW w:w="1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9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(115.2)</w:t>
            </w:r>
          </w:p>
        </w:tc>
        <w:tc>
          <w:tcPr>
            <w:tcW w:w="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7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14,215.5 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(23.8)</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7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(2,977.1)</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9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11,242.3 </w:t>
            </w:r>
          </w:p>
        </w:tc>
        <w:tc>
          <w:tcPr>
            <w:tcW w:w="1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8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(21.6)</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5"/>
              </w:rPr>
            </w:pPr>
            <w:r>
              <w:rPr>
                <w:rFonts w:ascii="Franklin Gothic Book;sans-serif" w:hAnsi="Franklin Gothic Book;sans-serif"/>
                <w:b w:val="false"/>
                <w:color w:val="000000"/>
                <w:sz w:val="15"/>
              </w:rPr>
              <w:t>$</w:t>
            </w:r>
          </w:p>
        </w:tc>
        <w:tc>
          <w:tcPr>
            <w:tcW w:w="7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5"/>
              </w:rPr>
            </w:pPr>
            <w:r>
              <w:rPr>
                <w:rFonts w:ascii="Franklin Gothic Book;sans-serif" w:hAnsi="Franklin Gothic Book;sans-serif"/>
                <w:b w:val="false"/>
                <w:color w:val="000000"/>
                <w:sz w:val="15"/>
              </w:rPr>
              <w:t>11,220.7 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See accompanying notes to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BIOGEN INC. AND SUBSIDIARIES</w:t>
      </w:r>
    </w:p>
    <w:p>
      <w:pPr>
        <w:pStyle w:val="TextBody"/>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NOTES TO CONDENSED CONSOLIDATED FINANCIAL STATEMENTS</w:t>
      </w:r>
    </w:p>
    <w:p>
      <w:pPr>
        <w:pStyle w:val="TextBody"/>
        <w:spacing w:lineRule="auto" w:line="288" w:before="0" w:after="0"/>
        <w:jc w:val="center"/>
        <w:rPr>
          <w:rFonts w:ascii="Franklin Gothic Book;sans-serif" w:hAnsi="Franklin Gothic Book;sans-serif"/>
          <w:b/>
          <w:color w:val="1C5A7D"/>
          <w:sz w:val="20"/>
        </w:rPr>
      </w:pPr>
      <w:r>
        <w:rPr>
          <w:rFonts w:ascii="Franklin Gothic Book;sans-serif" w:hAnsi="Franklin Gothic Book;sans-serif"/>
          <w:b/>
          <w:color w:val="1C5A7D"/>
          <w:sz w:val="20"/>
        </w:rPr>
        <w:t>(unaudited)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094" w:type="dxa"/>
        <w:jc w:val="left"/>
        <w:tblInd w:w="0" w:type="dxa"/>
        <w:tblCellMar>
          <w:top w:w="28" w:type="dxa"/>
          <w:left w:w="28" w:type="dxa"/>
          <w:bottom w:w="28" w:type="dxa"/>
          <w:right w:w="28" w:type="dxa"/>
        </w:tblCellMar>
      </w:tblPr>
      <w:tblGrid>
        <w:gridCol w:w="401"/>
        <w:gridCol w:w="353"/>
        <w:gridCol w:w="355"/>
        <w:gridCol w:w="1750"/>
        <w:gridCol w:w="1750"/>
        <w:gridCol w:w="2485"/>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2485"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w:t>
            </w:r>
          </w:p>
        </w:tc>
        <w:tc>
          <w:tcPr>
            <w:tcW w:w="5985"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Summary of Significant Accounting Policies</w:t>
            </w:r>
          </w:p>
        </w:tc>
      </w:tr>
    </w:tbl>
    <w:p>
      <w:pPr>
        <w:pStyle w:val="TextBody"/>
        <w:spacing w:lineRule="auto" w:line="288" w:before="120" w:after="283"/>
        <w:ind w:left="0" w:right="0" w:hanging="540"/>
        <w:rPr>
          <w:rFonts w:ascii="Franklin Gothic Book;sans-serif" w:hAnsi="Franklin Gothic Book;sans-serif"/>
          <w:b w:val="false"/>
          <w:color w:val="000000"/>
          <w:sz w:val="20"/>
        </w:rPr>
      </w:pPr>
      <w:r>
        <w:rPr>
          <w:rFonts w:ascii="Franklin Gothic Book;sans-serif" w:hAnsi="Franklin Gothic Book;sans-serif"/>
          <w:b w:val="false"/>
          <w:color w:val="000000"/>
          <w:sz w:val="20"/>
        </w:rPr>
        <w:t>References in these notes to "Biogen," the "company," "we," "us" and "our" refer to Biogen Inc. and its consolidated subsidiaries.</w:t>
      </w:r>
    </w:p>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Business Overview</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and co-developed two treatments to address a defining pathology of Alzheimer's disease. We are focused on advancing our pipeline in neurology, neuropsychiatry, specialized immunology and rare diseases. We support our drug discovery and development efforts through internal research and development programs and external collaborations.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marketed products include TECFIDERA, VUMERITY, AVONEX, PLEGRIDY, TYSABRI and FAMPYRA for the treatment of MS; SPINRAZA for the treatment of SMA; ADUHELM for the treatment of Alzheimer's disease; and FUMADERM for the treatment of severe plaque psoriasis. We also collaborate with Eisai on the commercialization of LEQEMBI for the treatment of Alzheimer's disease, which was granted accelerated approval by the FDA in January 2023.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which was granted accelerated approval in the U.S. during the fourth quarter of 2022 for the treatment of relapsed or refractory follicular lymphoma; glofitamab, an investigational bispecific antibody for the potential treatment of non-Hodgkin's lymphoma; and have the option to add other potential anti-CD20 therapies, pursuant to our collaboration arrangements with Genentech, a wholly-owned member of the Roche Group.</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to continuing to invest in new potential innovation in MS and SMA we are advancing our mid-to-late stage programs including zuranolone for MDD and PPD, BIIB080 for Alzheimer's disease, QALSODY (tofersen) for ALS and both litifilimab and dapirolizumab pegol for certain forms of lupus.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commercialize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in the U.S. We continue to develop potential biosimilar products including BIIB800, a proposed tocilizumab biosimilar referencing ACTEMRA, and SB15, a proposed aflibercept biosimilar referencing EYLEA.</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16, Collaborative and Other Relationships,</w:t>
      </w:r>
      <w:r>
        <w:rPr>
          <w:color w:val="000000"/>
        </w:rPr>
        <w:t xml:space="preserve"> </w:t>
      </w:r>
      <w:r>
        <w:rPr>
          <w:rFonts w:ascii="Franklin Gothic Book;sans-serif" w:hAnsi="Franklin Gothic Book;sans-serif"/>
          <w:b w:val="false"/>
          <w:color w:val="000000"/>
          <w:sz w:val="20"/>
        </w:rPr>
        <w:t xml:space="preserve">to these unaudited condensed consolidated financial statements (condensed consolidated financial statements). For additional information on our collaboration arrangements with Genentech,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to our audited consolidated financial statements included in our 2022 Form 10-K.</w:t>
      </w:r>
    </w:p>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Basis of Presentation</w:t>
      </w:r>
    </w:p>
    <w:p>
      <w:pPr>
        <w:pStyle w:val="TextBody"/>
        <w:spacing w:lineRule="auto" w:line="288" w:before="120" w:after="283"/>
        <w:rPr/>
      </w:pPr>
      <w:r>
        <w:rPr>
          <w:rFonts w:ascii="Franklin Gothic Book;sans-serif" w:hAnsi="Franklin Gothic Book;sans-serif"/>
          <w:b w:val="false"/>
          <w:color w:val="000000"/>
          <w:sz w:val="20"/>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2022 Form 10-K. Our accounting policies are described in the </w:t>
      </w:r>
      <w:r>
        <w:rPr>
          <w:rFonts w:ascii="Franklin Gothic Book;sans-serif" w:hAnsi="Franklin Gothic Book;sans-serif"/>
          <w:b w:val="false"/>
          <w:i/>
          <w:color w:val="000000"/>
          <w:sz w:val="20"/>
        </w:rPr>
        <w:t>Notes to Consolidated Financial Statements</w:t>
      </w:r>
      <w:r>
        <w:rPr>
          <w:color w:val="000000"/>
        </w:rPr>
        <w:t xml:space="preserve"> </w:t>
      </w:r>
      <w:r>
        <w:rPr>
          <w:rFonts w:ascii="Franklin Gothic Book;sans-serif" w:hAnsi="Franklin Gothic Book;sans-serif"/>
          <w:b w:val="false"/>
          <w:color w:val="000000"/>
          <w:sz w:val="20"/>
        </w:rPr>
        <w:t xml:space="preserve">in our 2022 Form 10-K and updated, as necessary, in this report. The year-end condensed consolidated balance sheet data presented for comparative purposes was derived from our audited financial statements, but does not include all disclosures required by U.S. GAAP. The results of operations for the three months ended March 31, 2023, are not necessarily indicative of the operating results for the full year or for any other subsequent interim period.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as one operating segment, focused on discovering, developing and delivering worldwide innovative therapies for people living with serious neurological and neurodegenerative diseases as well as related therapeutic adjacencies.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Consolidation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condensed consolidated financial statements reflect our financial statements, those of our wholly-owned subsidiaries and certain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Use of Estimates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 Additionally, the ongoing geopolitical tensions related to the conflict in Ukraine, and the related sanctions and other penalties imposed, are creating substantial uncertainty in the global economy. The extent and duration of the conflict, sanctions and resulting market disruptions are highly unpredictable. We have made estimates of the impact of the COVID-19 pandemic and the ongoing geopolitical conflict within our condensed consolidated financial statements and there may be changes to those estimates in future periods.</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New Accounting Pronouncements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Fair Value Measurements</w:t>
      </w:r>
    </w:p>
    <w:p>
      <w:pPr>
        <w:pStyle w:val="TextBody"/>
        <w:spacing w:lineRule="auto" w:line="268" w:before="120" w:after="283"/>
        <w:rPr/>
      </w:pPr>
      <w:r>
        <w:rPr>
          <w:rFonts w:ascii="Franklin Gothic Book;sans-serif" w:hAnsi="Franklin Gothic Book;sans-serif"/>
          <w:b w:val="false"/>
          <w:color w:val="000000"/>
          <w:sz w:val="20"/>
        </w:rPr>
        <w:t xml:space="preserve">In June 2022 the FASB issued ASU No. 2022-03, </w:t>
      </w:r>
      <w:r>
        <w:rPr>
          <w:rFonts w:ascii="Franklin Gothic Book;sans-serif" w:hAnsi="Franklin Gothic Book;sans-serif"/>
          <w:b w:val="false"/>
          <w:i/>
          <w:color w:val="000000"/>
          <w:sz w:val="20"/>
        </w:rPr>
        <w:t>Fair Value Measurement</w:t>
      </w:r>
      <w:r>
        <w:rPr>
          <w:color w:val="000000"/>
        </w:rPr>
        <w:t xml:space="preserve"> </w:t>
      </w:r>
      <w:r>
        <w:rPr>
          <w:rFonts w:ascii="Franklin Gothic Book;sans-serif" w:hAnsi="Franklin Gothic Book;sans-serif"/>
          <w:b w:val="false"/>
          <w:color w:val="000000"/>
          <w:sz w:val="20"/>
        </w:rPr>
        <w:t xml:space="preserve">(Topic 820): </w:t>
      </w:r>
      <w:r>
        <w:rPr>
          <w:rFonts w:ascii="Franklin Gothic Book;sans-serif" w:hAnsi="Franklin Gothic Book;sans-serif"/>
          <w:b w:val="false"/>
          <w:i/>
          <w:color w:val="000000"/>
          <w:sz w:val="20"/>
        </w:rPr>
        <w:t>Fair Value Measurement of Equity Securities Subject to Contractual Sale Restrictions</w:t>
      </w:r>
      <w:r>
        <w:rPr>
          <w:rFonts w:ascii="Franklin Gothic Book;sans-serif" w:hAnsi="Franklin Gothic Book;sans-serif"/>
          <w:b w:val="false"/>
          <w:color w:val="000000"/>
          <w:sz w:val="20"/>
        </w:rPr>
        <w:t>. This standard clarifies that a contractual restriction on the sale of an equity security is not considered part of the unit of account of the equity security and, therefore, is not considered in measuring fair value. This standard becomes effective for us on January 1, 2024. We elected to early adopt this standard on a prospective basis during the third quarter of 2022. Upon adoption, we recorded an immaterial amount in other (income) expense, net in our condensed consolidated statements of income, as a result of removing the impact of the remaining contractual sale restrictions from the fair value measurement of certain shares in Sage.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910" w:type="dxa"/>
        <w:jc w:val="left"/>
        <w:tblInd w:w="0" w:type="dxa"/>
        <w:tblCellMar>
          <w:top w:w="28" w:type="dxa"/>
          <w:left w:w="28" w:type="dxa"/>
          <w:bottom w:w="28" w:type="dxa"/>
          <w:right w:w="28" w:type="dxa"/>
        </w:tblCellMar>
      </w:tblPr>
      <w:tblGrid>
        <w:gridCol w:w="401"/>
        <w:gridCol w:w="353"/>
        <w:gridCol w:w="355"/>
        <w:gridCol w:w="527"/>
        <w:gridCol w:w="527"/>
        <w:gridCol w:w="747"/>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2:</w:t>
            </w:r>
          </w:p>
        </w:tc>
        <w:tc>
          <w:tcPr>
            <w:tcW w:w="1801"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Dispositions</w:t>
            </w:r>
          </w:p>
        </w:tc>
      </w:tr>
    </w:tbl>
    <w:p>
      <w:pPr>
        <w:pStyle w:val="TextBody"/>
        <w:spacing w:lineRule="auto" w:line="288" w:before="180" w:after="283"/>
        <w:ind w:left="0" w:right="0" w:hanging="540"/>
        <w:rPr>
          <w:rFonts w:ascii="Franklin Gothic Book;sans-serif" w:hAnsi="Franklin Gothic Book;sans-serif"/>
          <w:b/>
          <w:color w:val="2573BA"/>
          <w:sz w:val="22"/>
        </w:rPr>
      </w:pPr>
      <w:r>
        <w:rPr>
          <w:rFonts w:ascii="Franklin Gothic Book;sans-serif" w:hAnsi="Franklin Gothic Book;sans-serif"/>
          <w:b/>
          <w:color w:val="2573BA"/>
          <w:sz w:val="22"/>
        </w:rPr>
        <w:t>Sale of Joint Venture Equity Interest in Samsung Bioepis</w:t>
      </w:r>
    </w:p>
    <w:p>
      <w:pPr>
        <w:pStyle w:val="TextBody"/>
        <w:spacing w:lineRule="auto" w:line="288" w:before="180" w:after="283"/>
        <w:rPr/>
      </w:pPr>
      <w:r>
        <w:rPr>
          <w:rFonts w:ascii="Franklin Gothic Book;sans-serif" w:hAnsi="Franklin Gothic Book;sans-serif"/>
          <w:b w:val="false"/>
          <w:color w:val="000000"/>
          <w:sz w:val="20"/>
          <w:highlight w:val="white"/>
        </w:rPr>
        <w:t xml:space="preserve">In April 2022 we completed the sale of our 49.9% equity interest in Samsung Bioepis to Samsung BioLogics. Under the terms of this transaction, we received approximately $1.0 billion in cash at closing and expect to receive approximately $1.3 billion in cash to be deferred over two payments. The first payment of approximately </w:t>
      </w:r>
      <w:r>
        <w:rPr>
          <w:rFonts w:ascii="Franklin Gothic Book;sans-serif" w:hAnsi="Franklin Gothic Book;sans-serif"/>
          <w:b w:val="false"/>
          <w:color w:val="000000"/>
          <w:sz w:val="20"/>
        </w:rPr>
        <w:t>$812.5 million</w:t>
      </w:r>
      <w:r>
        <w:rPr>
          <w:color w:val="000000"/>
          <w:highlight w:val="white"/>
        </w:rPr>
        <w:t xml:space="preserve"> </w:t>
      </w:r>
      <w:r>
        <w:rPr>
          <w:rFonts w:ascii="Franklin Gothic Book;sans-serif" w:hAnsi="Franklin Gothic Book;sans-serif"/>
          <w:b w:val="false"/>
          <w:color w:val="000000"/>
          <w:sz w:val="20"/>
          <w:highlight w:val="white"/>
        </w:rPr>
        <w:t>was received in April 2023 and the second payment of approximately $437.5 million is due at the second anniversary of the closing of this transaction.</w:t>
      </w:r>
    </w:p>
    <w:p>
      <w:pPr>
        <w:pStyle w:val="TextBody"/>
        <w:spacing w:lineRule="auto" w:line="288" w:before="120" w:after="283"/>
        <w:rPr/>
      </w:pPr>
      <w:r>
        <w:rPr>
          <w:rFonts w:ascii="Franklin Gothic Book;sans-serif" w:hAnsi="Franklin Gothic Book;sans-serif"/>
          <w:b w:val="false"/>
          <w:color w:val="000000"/>
          <w:sz w:val="20"/>
          <w:highlight w:val="white"/>
        </w:rPr>
        <w:t>Prior to the sale, the carrying value</w:t>
      </w:r>
      <w:r>
        <w:rPr>
          <w:color w:val="000000"/>
        </w:rPr>
        <w:t xml:space="preserve"> </w:t>
      </w:r>
      <w:r>
        <w:rPr>
          <w:rFonts w:ascii="Franklin Gothic Book;sans-serif" w:hAnsi="Franklin Gothic Book;sans-serif"/>
          <w:b w:val="false"/>
          <w:color w:val="000000"/>
          <w:sz w:val="20"/>
        </w:rPr>
        <w:t xml:space="preserve">of our investment in Samsung Bioepis totaled $581.6 million. </w:t>
      </w:r>
      <w:r>
        <w:rPr>
          <w:rFonts w:ascii="Franklin Gothic Book;sans-serif" w:hAnsi="Franklin Gothic Book;sans-serif"/>
          <w:b w:val="false"/>
          <w:color w:val="000000"/>
          <w:sz w:val="20"/>
          <w:highlight w:val="white"/>
        </w:rPr>
        <w:t>During the second quarter of 2022 we recognized a pre-tax gain of approximately $1.5 billion related to this transaction, which was recorded in other (income) expense, net in our condensed consolidated statements of income. This pre-tax gain included reclassifications from AOCI to net income of approximately $58.9 million in cumulative translation losses, partially offset by approximately $57.0 million in gains resulting from the termination of our net investment hedge.</w:t>
      </w:r>
    </w:p>
    <w:p>
      <w:pPr>
        <w:pStyle w:val="TextBody"/>
        <w:spacing w:lineRule="auto" w:line="268" w:before="120" w:after="283"/>
        <w:rPr/>
      </w:pPr>
      <w:r>
        <w:rPr>
          <w:rFonts w:ascii="Franklin Gothic Book;sans-serif" w:hAnsi="Franklin Gothic Book;sans-serif"/>
          <w:b w:val="false"/>
          <w:color w:val="000000"/>
          <w:sz w:val="20"/>
          <w:highlight w:val="white"/>
        </w:rPr>
        <w:t xml:space="preserve">We elected the fair value option and measured the payments due to us from Samsung BioLogics at fair value. As of March 31, 2023, the estimated fair values of the first and second payments using risk-adjusted discount rates of </w:t>
      </w:r>
      <w:r>
        <w:rPr>
          <w:rFonts w:ascii="Franklin Gothic Book;sans-serif" w:hAnsi="Franklin Gothic Book;sans-serif"/>
          <w:b w:val="false"/>
          <w:color w:val="000000"/>
          <w:sz w:val="20"/>
        </w:rPr>
        <w:t>5.9%</w:t>
      </w:r>
      <w:r>
        <w:rPr>
          <w:color w:val="000000"/>
          <w:highlight w:val="white"/>
        </w:rPr>
        <w:t xml:space="preserve"> </w:t>
      </w:r>
      <w:r>
        <w:rPr>
          <w:rFonts w:ascii="Franklin Gothic Book;sans-serif" w:hAnsi="Franklin Gothic Book;sans-serif"/>
          <w:b w:val="false"/>
          <w:color w:val="000000"/>
          <w:sz w:val="20"/>
          <w:highlight w:val="white"/>
        </w:rPr>
        <w:t xml:space="preserve">and </w:t>
      </w:r>
      <w:r>
        <w:rPr>
          <w:rFonts w:ascii="Franklin Gothic Book;sans-serif" w:hAnsi="Franklin Gothic Book;sans-serif"/>
          <w:b w:val="false"/>
          <w:color w:val="000000"/>
          <w:sz w:val="20"/>
        </w:rPr>
        <w:t>5.8%</w:t>
      </w:r>
      <w:r>
        <w:rPr>
          <w:rFonts w:ascii="Franklin Gothic Book;sans-serif" w:hAnsi="Franklin Gothic Book;sans-serif"/>
          <w:b w:val="false"/>
          <w:color w:val="000000"/>
          <w:sz w:val="20"/>
          <w:highlight w:val="white"/>
        </w:rPr>
        <w:t xml:space="preserve">, respectively, were approximately </w:t>
      </w:r>
      <w:r>
        <w:rPr>
          <w:rFonts w:ascii="Franklin Gothic Book;sans-serif" w:hAnsi="Franklin Gothic Book;sans-serif"/>
          <w:b w:val="false"/>
          <w:color w:val="000000"/>
          <w:sz w:val="20"/>
        </w:rPr>
        <w:t>$809.9 million</w:t>
      </w:r>
      <w:r>
        <w:rPr>
          <w:color w:val="000000"/>
          <w:highlight w:val="white"/>
        </w:rPr>
        <w:t xml:space="preserve"> </w:t>
      </w:r>
      <w:r>
        <w:rPr>
          <w:rFonts w:ascii="Franklin Gothic Book;sans-serif" w:hAnsi="Franklin Gothic Book;sans-serif"/>
          <w:b w:val="false"/>
          <w:color w:val="000000"/>
          <w:sz w:val="20"/>
          <w:highlight w:val="white"/>
        </w:rPr>
        <w:t xml:space="preserve">and </w:t>
      </w:r>
      <w:r>
        <w:rPr>
          <w:rFonts w:ascii="Franklin Gothic Book;sans-serif" w:hAnsi="Franklin Gothic Book;sans-serif"/>
          <w:b w:val="false"/>
          <w:color w:val="000000"/>
          <w:sz w:val="20"/>
        </w:rPr>
        <w:t>$411.6 million</w:t>
      </w:r>
      <w:r>
        <w:rPr>
          <w:rFonts w:ascii="Franklin Gothic Book;sans-serif" w:hAnsi="Franklin Gothic Book;sans-serif"/>
          <w:b w:val="false"/>
          <w:color w:val="000000"/>
          <w:sz w:val="20"/>
          <w:highlight w:val="white"/>
        </w:rPr>
        <w:t>, respectively. These payments have been classified as Level 3 measurements and are reflected in other current assets and investments and other assets, respectively, in our condensed consolidated balance sheets.</w:t>
      </w:r>
    </w:p>
    <w:p>
      <w:pPr>
        <w:pStyle w:val="TextBody"/>
        <w:spacing w:lineRule="auto" w:line="268" w:before="120" w:after="283"/>
        <w:rPr/>
      </w:pPr>
      <w:r>
        <w:rPr>
          <w:rFonts w:ascii="Franklin Gothic Book;sans-serif" w:hAnsi="Franklin Gothic Book;sans-serif"/>
          <w:b w:val="false"/>
          <w:color w:val="000000"/>
          <w:sz w:val="20"/>
          <w:highlight w:val="white"/>
        </w:rPr>
        <w:t>For the</w:t>
      </w:r>
      <w:r>
        <w:rPr>
          <w:color w:val="000000"/>
        </w:rPr>
        <w:t xml:space="preserve"> </w:t>
      </w:r>
      <w:r>
        <w:rPr>
          <w:rFonts w:ascii="Franklin Gothic Book;sans-serif" w:hAnsi="Franklin Gothic Book;sans-serif"/>
          <w:b w:val="false"/>
          <w:color w:val="000000"/>
          <w:sz w:val="20"/>
        </w:rPr>
        <w:t xml:space="preserve">three </w:t>
      </w:r>
      <w:r>
        <w:rPr>
          <w:rFonts w:ascii="Franklin Gothic Book;sans-serif" w:hAnsi="Franklin Gothic Book;sans-serif"/>
          <w:b w:val="false"/>
          <w:color w:val="000000"/>
          <w:sz w:val="20"/>
          <w:highlight w:val="white"/>
        </w:rPr>
        <w:t>months ended March 31, 2023, we recognized a</w:t>
      </w:r>
      <w:r>
        <w:rPr>
          <w:color w:val="000000"/>
        </w:rPr>
        <w:t xml:space="preserve"> </w:t>
      </w:r>
      <w:r>
        <w:rPr>
          <w:rFonts w:ascii="Franklin Gothic Book;sans-serif" w:hAnsi="Franklin Gothic Book;sans-serif"/>
          <w:b w:val="false"/>
          <w:color w:val="000000"/>
          <w:sz w:val="20"/>
        </w:rPr>
        <w:t xml:space="preserve">gain of approximately $11.1 million </w:t>
      </w:r>
      <w:r>
        <w:rPr>
          <w:rFonts w:ascii="Franklin Gothic Book;sans-serif" w:hAnsi="Franklin Gothic Book;sans-serif"/>
          <w:b w:val="false"/>
          <w:color w:val="000000"/>
          <w:sz w:val="20"/>
          <w:highlight w:val="white"/>
        </w:rPr>
        <w:t xml:space="preserve">and </w:t>
      </w:r>
      <w:r>
        <w:rPr>
          <w:rFonts w:ascii="Franklin Gothic Book;sans-serif" w:hAnsi="Franklin Gothic Book;sans-serif"/>
          <w:b w:val="false"/>
          <w:color w:val="000000"/>
          <w:sz w:val="20"/>
        </w:rPr>
        <w:t xml:space="preserve">$6.2 million to </w:t>
      </w:r>
      <w:r>
        <w:rPr>
          <w:rFonts w:ascii="Franklin Gothic Book;sans-serif" w:hAnsi="Franklin Gothic Book;sans-serif"/>
          <w:b w:val="false"/>
          <w:color w:val="000000"/>
          <w:sz w:val="20"/>
          <w:highlight w:val="white"/>
        </w:rPr>
        <w:t>reflect the changes in fair value related to the first and second payments due to us, respectively. These changes were recorded in other (income) expense, net in our condensed consolidated statements of income.</w:t>
      </w:r>
    </w:p>
    <w:p>
      <w:pPr>
        <w:pStyle w:val="TextBody"/>
        <w:spacing w:lineRule="auto" w:line="288" w:before="120" w:after="283"/>
        <w:rPr>
          <w:rFonts w:ascii="Franklin Gothic Book;sans-serif" w:hAnsi="Franklin Gothic Book;sans-serif"/>
          <w:b w:val="false"/>
          <w:color w:val="000000"/>
          <w:sz w:val="20"/>
          <w:highlight w:val="white"/>
        </w:rPr>
      </w:pPr>
      <w:r>
        <w:rPr>
          <w:rFonts w:ascii="Franklin Gothic Book;sans-serif" w:hAnsi="Franklin Gothic Book;sans-serif"/>
          <w:b w:val="false"/>
          <w:color w:val="000000"/>
          <w:sz w:val="20"/>
          <w:highlight w:val="white"/>
        </w:rPr>
        <w:t>As part of this transaction, we are also eligible to receive up to an additional $50.0 million upon the achievement of certain commercial milestones. Our policy for contingent payments of this nature is to recognize the payments in the period that they become realizable, which is generally the same period in which the payments are earned.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105" w:type="dxa"/>
        <w:jc w:val="left"/>
        <w:tblInd w:w="0" w:type="dxa"/>
        <w:tblCellMar>
          <w:top w:w="28" w:type="dxa"/>
          <w:left w:w="28" w:type="dxa"/>
          <w:bottom w:w="28" w:type="dxa"/>
          <w:right w:w="28" w:type="dxa"/>
        </w:tblCellMar>
      </w:tblPr>
      <w:tblGrid>
        <w:gridCol w:w="401"/>
        <w:gridCol w:w="353"/>
        <w:gridCol w:w="355"/>
        <w:gridCol w:w="584"/>
        <w:gridCol w:w="584"/>
        <w:gridCol w:w="828"/>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3:</w:t>
            </w:r>
          </w:p>
        </w:tc>
        <w:tc>
          <w:tcPr>
            <w:tcW w:w="1996"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Restructuring</w:t>
            </w:r>
          </w:p>
        </w:tc>
      </w:tr>
    </w:tbl>
    <w:p>
      <w:pPr>
        <w:pStyle w:val="TextBody"/>
        <w:spacing w:lineRule="auto" w:line="288" w:before="180" w:after="283"/>
        <w:ind w:left="0" w:right="0" w:hanging="540"/>
        <w:rPr>
          <w:rFonts w:ascii="Franklin Gothic Book;sans-serif" w:hAnsi="Franklin Gothic Book;sans-serif"/>
          <w:b/>
          <w:color w:val="2573BA"/>
          <w:sz w:val="22"/>
        </w:rPr>
      </w:pPr>
      <w:r>
        <w:rPr>
          <w:rFonts w:ascii="Franklin Gothic Book;sans-serif" w:hAnsi="Franklin Gothic Book;sans-serif"/>
          <w:b/>
          <w:color w:val="2573BA"/>
          <w:sz w:val="22"/>
        </w:rPr>
        <w:t>2022 Cost Saving Initiatives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the consolidation of certain real estate locations and operating efficiencies across our selling, general and administrative and research and development functions.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these initiatives, we estimate we will incur total restructuring charges of approximately $135.0 million, primarily related to severance. These amounts were substantially incurred during 2022. As of March 31, 2023, $28.0 million remained in our restructuring reserve and payments are expected to be made through 2026.</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months ended March 31, 2023 and 2022, we recognized $9.6 million and $38.1 million, respectively, of net pre-tax restructuring charges, of which approximately $7.1 million and $27.7 million, respectively, consisted of employee severance costs. These costs were recorded in restructuring charges in our condensed consolidated statements of income. Our restructuring reserve is included in accrued expense and other in our condensed consolidated balance sheets. </w:t>
      </w:r>
    </w:p>
    <w:p>
      <w:pPr>
        <w:pStyle w:val="TextBody"/>
        <w:spacing w:lineRule="auto" w:line="288" w:before="120" w:after="283"/>
        <w:rPr/>
      </w:pPr>
      <w:r>
        <w:rPr>
          <w:rFonts w:ascii="Franklin Gothic Book;sans-serif" w:hAnsi="Franklin Gothic Book;sans-serif"/>
          <w:b w:val="false"/>
          <w:color w:val="000000"/>
          <w:sz w:val="20"/>
        </w:rPr>
        <w:t xml:space="preserve">In September 2022 we entered into an agreement to partially terminate a portion of our lease located at 300 Binney Street, as well as to reduce the lease term for the majority of the remaining space. This resulted in a gain of approximately $5.3 million, which was recorded within restructuring charges in our condensed consolidated statements of income during the third quarter of 2022. For additional information on our 300 Binney Street lease modification, please read </w:t>
      </w:r>
      <w:r>
        <w:rPr>
          <w:rFonts w:ascii="Franklin Gothic Book;sans-serif" w:hAnsi="Franklin Gothic Book;sans-serif"/>
          <w:b w:val="false"/>
          <w:i/>
          <w:color w:val="000000"/>
          <w:sz w:val="20"/>
        </w:rPr>
        <w:t>Note 12, Leases</w:t>
      </w:r>
      <w:r>
        <w:rPr>
          <w:rFonts w:ascii="Franklin Gothic Book;sans-serif" w:hAnsi="Franklin Gothic Book;sans-serif"/>
          <w:b w:val="false"/>
          <w:color w:val="000000"/>
          <w:sz w:val="20"/>
        </w:rPr>
        <w:t>, to our consolidated financial statements included in our 2022 Form 10-K.</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Following an evaluation of our current capacity needs, in March 2022 we ceased using a patient services office space in Durham, North Carolina. Our decision to cease use of the facility resulted in the immediate expense of certain leasehold improvements and other assets at this facility. As a result, we recognized approximately $10.4 million of accelerated depreciation expense, which was recorded in restructuring charges in our condensed consolidated statements of income for the three months ended March 31, 2022. In May 2022 we entered into a lease assignment agreement whereby we assigned our remaining lease obligations to an external third party. As a result of the lease assignment, we derecognized the related operating lease obligation and right-of-use asset during the second quarter of 2022.</w:t>
      </w:r>
    </w:p>
    <w:p>
      <w:pPr>
        <w:pStyle w:val="TextBody"/>
        <w:spacing w:lineRule="auto" w:line="288" w:before="120" w:after="283"/>
        <w:rPr/>
      </w:pPr>
      <w:r>
        <w:rPr>
          <w:rFonts w:ascii="Franklin Gothic Book;sans-serif" w:hAnsi="Franklin Gothic Book;sans-serif"/>
          <w:b w:val="false"/>
          <w:color w:val="000000"/>
          <w:sz w:val="20"/>
        </w:rPr>
        <w:t>For the three</w:t>
      </w:r>
      <w:r>
        <w:rPr>
          <w:color w:val="000000"/>
        </w:rPr>
        <w:t xml:space="preserve"> </w:t>
      </w:r>
      <w:r>
        <w:rPr>
          <w:rFonts w:ascii="Franklin Gothic Book;sans-serif" w:hAnsi="Franklin Gothic Book;sans-serif"/>
          <w:b w:val="false"/>
          <w:color w:val="000000"/>
          <w:sz w:val="20"/>
        </w:rPr>
        <w:t>months ended March 31, 2023, we recognized other restructuring costs of approximately $2.5 million, which were recorded in restructuring charges in our condensed consolidated statements of income. Other restructuring costs include items such as facility closure costs, employee non-severance expense, asset write-offs and other costs.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Charges and spending related to our workforce reductions is summarized as follows:</w:t>
      </w:r>
    </w:p>
    <w:tbl>
      <w:tblPr>
        <w:tblW w:w="7719" w:type="dxa"/>
        <w:jc w:val="left"/>
        <w:tblInd w:w="0" w:type="dxa"/>
        <w:tblCellMar>
          <w:top w:w="28" w:type="dxa"/>
          <w:left w:w="28" w:type="dxa"/>
          <w:bottom w:w="28" w:type="dxa"/>
          <w:right w:w="28" w:type="dxa"/>
        </w:tblCellMar>
      </w:tblPr>
      <w:tblGrid>
        <w:gridCol w:w="1296"/>
        <w:gridCol w:w="1140"/>
        <w:gridCol w:w="1148"/>
        <w:gridCol w:w="109"/>
        <w:gridCol w:w="109"/>
        <w:gridCol w:w="109"/>
        <w:gridCol w:w="395"/>
        <w:gridCol w:w="957"/>
        <w:gridCol w:w="204"/>
        <w:gridCol w:w="204"/>
        <w:gridCol w:w="204"/>
        <w:gridCol w:w="204"/>
        <w:gridCol w:w="395"/>
        <w:gridCol w:w="957"/>
        <w:gridCol w:w="288"/>
      </w:tblGrid>
      <w:tr>
        <w:trPr/>
        <w:tc>
          <w:tcPr>
            <w:tcW w:w="129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2023</w:t>
            </w:r>
          </w:p>
        </w:tc>
        <w:tc>
          <w:tcPr>
            <w:tcW w:w="6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r>
      <w:tr>
        <w:trPr/>
        <w:tc>
          <w:tcPr>
            <w:tcW w:w="3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95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35.9 </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7.1 </w:t>
            </w:r>
          </w:p>
        </w:tc>
        <w:tc>
          <w:tcPr>
            <w:tcW w:w="20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27.7 </w:t>
            </w:r>
          </w:p>
        </w:tc>
        <w:tc>
          <w:tcPr>
            <w:tcW w:w="2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(15.6)</w:t>
            </w:r>
          </w:p>
        </w:tc>
        <w:tc>
          <w:tcPr>
            <w:tcW w:w="20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w:t>
            </w:r>
          </w:p>
        </w:tc>
        <w:tc>
          <w:tcPr>
            <w:tcW w:w="2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currency and other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0.6 </w:t>
            </w:r>
          </w:p>
        </w:tc>
        <w:tc>
          <w:tcPr>
            <w:tcW w:w="20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reserve 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28.0 </w:t>
            </w:r>
          </w:p>
        </w:tc>
        <w:tc>
          <w:tcPr>
            <w:tcW w:w="2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21.5 </w:t>
            </w:r>
          </w:p>
        </w:tc>
        <w:tc>
          <w:tcPr>
            <w:tcW w:w="2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6" w:type="dxa"/>
            <w:gridSpan w:val="3"/>
            <w:tcBorders/>
            <w:shd w:fill="auto" w:val="clear"/>
            <w:vAlign w:val="center"/>
          </w:tcPr>
          <w:p>
            <w:pPr>
              <w:pStyle w:val="TableContents"/>
              <w:spacing w:before="0" w:after="283"/>
              <w:rPr>
                <w:sz w:val="4"/>
                <w:szCs w:val="4"/>
              </w:rPr>
            </w:pPr>
            <w:r>
              <w:rPr>
                <w:sz w:val="4"/>
                <w:szCs w:val="4"/>
              </w:rPr>
            </w:r>
          </w:p>
        </w:tc>
        <w:tc>
          <w:tcPr>
            <w:tcW w:w="612"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415" w:type="dxa"/>
        <w:jc w:val="left"/>
        <w:tblInd w:w="0" w:type="dxa"/>
        <w:tblCellMar>
          <w:top w:w="28" w:type="dxa"/>
          <w:left w:w="28" w:type="dxa"/>
          <w:bottom w:w="28" w:type="dxa"/>
          <w:right w:w="28" w:type="dxa"/>
        </w:tblCellMar>
      </w:tblPr>
      <w:tblGrid>
        <w:gridCol w:w="401"/>
        <w:gridCol w:w="353"/>
        <w:gridCol w:w="355"/>
        <w:gridCol w:w="382"/>
        <w:gridCol w:w="382"/>
        <w:gridCol w:w="542"/>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4:</w:t>
            </w:r>
          </w:p>
        </w:tc>
        <w:tc>
          <w:tcPr>
            <w:tcW w:w="1306"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Revenue</w:t>
            </w:r>
          </w:p>
        </w:tc>
      </w:tr>
    </w:tbl>
    <w:p>
      <w:pPr>
        <w:pStyle w:val="TextBody"/>
        <w:spacing w:lineRule="auto" w:line="288" w:before="18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Product Revenue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by product is summarized as follows:</w:t>
      </w:r>
    </w:p>
    <w:tbl>
      <w:tblPr>
        <w:tblW w:w="10205" w:type="dxa"/>
        <w:jc w:val="left"/>
        <w:tblInd w:w="0" w:type="dxa"/>
        <w:tblCellMar>
          <w:top w:w="28" w:type="dxa"/>
          <w:left w:w="28" w:type="dxa"/>
          <w:bottom w:w="28" w:type="dxa"/>
          <w:right w:w="28" w:type="dxa"/>
        </w:tblCellMar>
      </w:tblPr>
      <w:tblGrid>
        <w:gridCol w:w="739"/>
        <w:gridCol w:w="619"/>
        <w:gridCol w:w="622"/>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73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8"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15"/>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 (MS):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TECFIDERA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199.8 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274.5 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409.9 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VUMERITY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93.5 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Fumarate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295.6 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537.9 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AVONEX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102.6 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172.4 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229.6 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PLEGRIDY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80.0 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Interferon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309.6 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TYSABRI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245.4 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227.4 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472.8 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520.8 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FAMPYRA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26.2 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709.1 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685.4 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1,394.5 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Spinal Muscular Atrophy: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SPINRAZA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296.6 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472.5 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BENEPALI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109.0 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109.0 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114.7 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IMRALDI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FLIXABI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BYOOVIZ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 Biosimilars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194.3 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194.3 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701.4 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1,061.9 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1,763.3 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1,191.1 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2,066.3 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Other includes FUMADERM and ADUHELM.</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recognized revenue from two wholesalers accounting for 27.3% and 7.4% of gross product revenue for the three months ended March 31, 2023, and 26.3% and 10.5% of gross product revenue for the three months ended March 31, 2022.</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An analysis of the change in reserves for discounts and allowances is summarized as follows:</w:t>
      </w:r>
    </w:p>
    <w:tbl>
      <w:tblPr>
        <w:tblW w:w="9961" w:type="dxa"/>
        <w:jc w:val="left"/>
        <w:tblInd w:w="0" w:type="dxa"/>
        <w:tblCellMar>
          <w:top w:w="28" w:type="dxa"/>
          <w:left w:w="28" w:type="dxa"/>
          <w:bottom w:w="28" w:type="dxa"/>
          <w:right w:w="28" w:type="dxa"/>
        </w:tblCellMar>
      </w:tblPr>
      <w:tblGrid>
        <w:gridCol w:w="1574"/>
        <w:gridCol w:w="1384"/>
        <w:gridCol w:w="1391"/>
        <w:gridCol w:w="109"/>
        <w:gridCol w:w="109"/>
        <w:gridCol w:w="109"/>
        <w:gridCol w:w="236"/>
        <w:gridCol w:w="691"/>
        <w:gridCol w:w="124"/>
        <w:gridCol w:w="109"/>
        <w:gridCol w:w="109"/>
        <w:gridCol w:w="109"/>
        <w:gridCol w:w="291"/>
        <w:gridCol w:w="849"/>
        <w:gridCol w:w="151"/>
        <w:gridCol w:w="109"/>
        <w:gridCol w:w="109"/>
        <w:gridCol w:w="109"/>
        <w:gridCol w:w="211"/>
        <w:gridCol w:w="511"/>
        <w:gridCol w:w="109"/>
        <w:gridCol w:w="109"/>
        <w:gridCol w:w="109"/>
        <w:gridCol w:w="109"/>
        <w:gridCol w:w="211"/>
        <w:gridCol w:w="766"/>
        <w:gridCol w:w="154"/>
      </w:tblGrid>
      <w:tr>
        <w:trPr/>
        <w:tc>
          <w:tcPr>
            <w:tcW w:w="1574"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Discounts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Contractual</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Returns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4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153.8 </w:t>
            </w:r>
          </w:p>
        </w:tc>
        <w:tc>
          <w:tcPr>
            <w:tcW w:w="124" w:type="dxa"/>
            <w:tcBorders>
              <w:top w:val="single" w:sz="8" w:space="0" w:color="000000"/>
            </w:tcBorders>
            <w:shd w:fill="DDDDDD"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9"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857.7 </w:t>
            </w:r>
          </w:p>
        </w:tc>
        <w:tc>
          <w:tcPr>
            <w:tcW w:w="151" w:type="dxa"/>
            <w:tcBorders>
              <w:top w:val="single" w:sz="8" w:space="0" w:color="000000"/>
            </w:tcBorders>
            <w:shd w:fill="DDDDDD"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11"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23.5 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1,035.0 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provisions relating to sales in current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182.3 </w:t>
            </w:r>
          </w:p>
        </w:tc>
        <w:tc>
          <w:tcPr>
            <w:tcW w:w="12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638.0 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823.8 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Adjustments relating to prior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w:t>
            </w:r>
          </w:p>
        </w:tc>
        <w:tc>
          <w:tcPr>
            <w:tcW w:w="12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Payments/credits relating to sales in current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(94.0)</w:t>
            </w:r>
          </w:p>
        </w:tc>
        <w:tc>
          <w:tcPr>
            <w:tcW w:w="12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(261.8)</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(356.8)</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Payments/credits relating to sales in prior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(73.3)</w:t>
            </w:r>
          </w:p>
        </w:tc>
        <w:tc>
          <w:tcPr>
            <w:tcW w:w="12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(368.1)</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(448.8)</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167.7 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857.7 </w:t>
            </w:r>
          </w:p>
        </w:tc>
        <w:tc>
          <w:tcPr>
            <w:tcW w:w="1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1,045.0 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total reserves above, which are included in our condensed consolidated balance sheets, are summarized as follows:</w:t>
      </w:r>
    </w:p>
    <w:tbl>
      <w:tblPr>
        <w:tblW w:w="8948" w:type="dxa"/>
        <w:jc w:val="left"/>
        <w:tblInd w:w="0" w:type="dxa"/>
        <w:tblCellMar>
          <w:top w:w="28" w:type="dxa"/>
          <w:left w:w="28" w:type="dxa"/>
          <w:bottom w:w="28" w:type="dxa"/>
          <w:right w:w="28" w:type="dxa"/>
        </w:tblCellMar>
      </w:tblPr>
      <w:tblGrid>
        <w:gridCol w:w="1319"/>
        <w:gridCol w:w="1159"/>
        <w:gridCol w:w="1166"/>
        <w:gridCol w:w="109"/>
        <w:gridCol w:w="109"/>
        <w:gridCol w:w="109"/>
        <w:gridCol w:w="414"/>
        <w:gridCol w:w="1503"/>
        <w:gridCol w:w="213"/>
        <w:gridCol w:w="109"/>
        <w:gridCol w:w="109"/>
        <w:gridCol w:w="109"/>
        <w:gridCol w:w="470"/>
        <w:gridCol w:w="1707"/>
        <w:gridCol w:w="343"/>
      </w:tblGrid>
      <w:tr>
        <w:trPr/>
        <w:tc>
          <w:tcPr>
            <w:tcW w:w="131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Reduction of 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137.8 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143.4 </w:t>
            </w:r>
          </w:p>
        </w:tc>
        <w:tc>
          <w:tcPr>
            <w:tcW w:w="3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Component of accrued expense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907.2 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891.6 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revenue-related reserves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1,045.0 </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1,035.0 </w:t>
            </w:r>
          </w:p>
        </w:tc>
        <w:tc>
          <w:tcPr>
            <w:tcW w:w="3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Revenue from LEQEMBI Collaboration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January 2023 the FDA granted accelerated approval of LEQEMBI, which became commercially available in the U.S. during the first quarter of 2023. Upon commercialization, we began recognizing commercial profits and losses related to the LEQEMBI Collaboration Agreement on a net basis as a separate component of total revenue within our condensed consolidated income statements, as we are not the principal.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we recognized a reduction to revenue of approximately $18.9 million, reflecting our net profit-share of the LEQEMBI Collaboration results in the U.S.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these condensed consolidated financial statements.</w:t>
      </w:r>
    </w:p>
    <w:p>
      <w:pPr>
        <w:pStyle w:val="TextBody"/>
        <w:spacing w:lineRule="auto" w:line="288" w:before="140" w:after="283"/>
        <w:rPr>
          <w:rFonts w:ascii="Franklin Gothic Book;sans-serif" w:hAnsi="Franklin Gothic Book;sans-serif"/>
          <w:b/>
          <w:color w:val="0070C0"/>
          <w:sz w:val="22"/>
        </w:rPr>
      </w:pPr>
      <w:r>
        <w:rPr>
          <w:rFonts w:ascii="Franklin Gothic Book;sans-serif" w:hAnsi="Franklin Gothic Book;sans-serif"/>
          <w:b/>
          <w:color w:val="0070C0"/>
          <w:sz w:val="22"/>
        </w:rPr>
        <w:t>Revenue from Anti-CD20 Therapeutic Programs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anti-CD20 therapeutic programs is summarized in the table below. For the purposes of this footnote, we refer to RITUXAN and RITUXAN HYCELA collectively as RITUXAN.</w:t>
      </w:r>
    </w:p>
    <w:tbl>
      <w:tblPr>
        <w:tblW w:w="10205" w:type="dxa"/>
        <w:jc w:val="left"/>
        <w:tblInd w:w="0" w:type="dxa"/>
        <w:tblCellMar>
          <w:top w:w="28" w:type="dxa"/>
          <w:left w:w="28" w:type="dxa"/>
          <w:bottom w:w="28" w:type="dxa"/>
          <w:right w:w="28" w:type="dxa"/>
        </w:tblCellMar>
      </w:tblPr>
      <w:tblGrid>
        <w:gridCol w:w="2155"/>
        <w:gridCol w:w="1865"/>
        <w:gridCol w:w="1874"/>
        <w:gridCol w:w="109"/>
        <w:gridCol w:w="109"/>
        <w:gridCol w:w="109"/>
        <w:gridCol w:w="336"/>
        <w:gridCol w:w="981"/>
        <w:gridCol w:w="173"/>
        <w:gridCol w:w="173"/>
        <w:gridCol w:w="173"/>
        <w:gridCol w:w="173"/>
        <w:gridCol w:w="336"/>
        <w:gridCol w:w="981"/>
        <w:gridCol w:w="173"/>
        <w:gridCol w:w="109"/>
        <w:gridCol w:w="109"/>
        <w:gridCol w:w="109"/>
        <w:gridCol w:w="158"/>
      </w:tblGrid>
      <w:tr>
        <w:trPr/>
        <w:tc>
          <w:tcPr>
            <w:tcW w:w="2155"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revenue on sales of OCREVUS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283.6 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252.3 </w:t>
            </w:r>
          </w:p>
        </w:tc>
        <w:tc>
          <w:tcPr>
            <w:tcW w:w="1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pre-tax profits in the U.S. for RITUXAN, GAZYVA and LUNSUMIO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112.5 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143.2 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 from anti-CD20 therapeutic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 from anti-CD20 therapeutic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399.5 </w:t>
            </w:r>
          </w:p>
        </w:tc>
        <w:tc>
          <w:tcPr>
            <w:tcW w:w="1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399.4 </w:t>
            </w:r>
          </w:p>
        </w:tc>
        <w:tc>
          <w:tcPr>
            <w:tcW w:w="1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rPr/>
      </w:pPr>
      <w:r>
        <w:rPr>
          <w:rFonts w:ascii="Franklin Gothic Book;sans-serif" w:hAnsi="Franklin Gothic Book;sans-serif"/>
          <w:b w:val="false"/>
          <w:color w:val="000000"/>
          <w:sz w:val="20"/>
        </w:rPr>
        <w:t xml:space="preserve">For additional information on our collaboration arrangements with Genentech,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 xml:space="preserve">Collaborative and Other Relationships, </w:t>
      </w:r>
      <w:r>
        <w:rPr>
          <w:rFonts w:ascii="Franklin Gothic Book;sans-serif" w:hAnsi="Franklin Gothic Book;sans-serif"/>
          <w:b w:val="false"/>
          <w:color w:val="000000"/>
          <w:sz w:val="20"/>
        </w:rPr>
        <w:t>to our consolidated financial statements included in our 2022 Form 10-K.</w:t>
      </w:r>
    </w:p>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Contract Manufacturing, Royalty and Other Revenue</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 is summarized in the table below.</w:t>
      </w:r>
    </w:p>
    <w:tbl>
      <w:tblPr>
        <w:tblW w:w="9417" w:type="dxa"/>
        <w:jc w:val="left"/>
        <w:tblInd w:w="0" w:type="dxa"/>
        <w:tblCellMar>
          <w:top w:w="28" w:type="dxa"/>
          <w:left w:w="28" w:type="dxa"/>
          <w:bottom w:w="28" w:type="dxa"/>
          <w:right w:w="28" w:type="dxa"/>
        </w:tblCellMar>
      </w:tblPr>
      <w:tblGrid>
        <w:gridCol w:w="1750"/>
        <w:gridCol w:w="1539"/>
        <w:gridCol w:w="1556"/>
        <w:gridCol w:w="109"/>
        <w:gridCol w:w="109"/>
        <w:gridCol w:w="109"/>
        <w:gridCol w:w="379"/>
        <w:gridCol w:w="1107"/>
        <w:gridCol w:w="196"/>
        <w:gridCol w:w="196"/>
        <w:gridCol w:w="196"/>
        <w:gridCol w:w="196"/>
        <w:gridCol w:w="379"/>
        <w:gridCol w:w="919"/>
        <w:gridCol w:w="196"/>
        <w:gridCol w:w="109"/>
        <w:gridCol w:w="109"/>
        <w:gridCol w:w="109"/>
        <w:gridCol w:w="154"/>
      </w:tblGrid>
      <w:tr>
        <w:trPr/>
        <w:tc>
          <w:tcPr>
            <w:tcW w:w="1750"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0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306.9 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47.5 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12.2 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contract manufacturing, royalty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319.1 </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66.1 </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Contract Manufacturing Revenue</w:t>
      </w:r>
    </w:p>
    <w:p>
      <w:pPr>
        <w:pStyle w:val="TextBody"/>
        <w:spacing w:lineRule="auto" w:line="288" w:before="14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revenue primarily reflects amounts earned under contract manufacturing agreements with our strategic customers. During the first quarter of 2023 we began recognizing contract manufacturing revenue for LEQEMBI, upon accelerated approval of LEQEMBI in the U.S. Prior to accelerated approval, contract manufacturing amounts related to LEQEMBI were recognized in research and development within our condensed consolidated income statements.</w:t>
      </w:r>
    </w:p>
    <w:p>
      <w:pPr>
        <w:pStyle w:val="TextBody"/>
        <w:spacing w:lineRule="auto" w:line="288" w:before="14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Royalty and Other Revenue</w:t>
      </w:r>
    </w:p>
    <w:p>
      <w:pPr>
        <w:pStyle w:val="TextBody"/>
        <w:spacing w:lineRule="auto" w:line="288" w:before="14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Royalty and other revenue primarily reflects the royalties we receive from net sales on products related to patents that we have out-licensed, as well as royalty revenue on biosimilar products from our license arrangements with Samsung Bioepis.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40" w:after="283"/>
        <w:rPr/>
      </w:pPr>
      <w:r>
        <w:rPr>
          <w:rFonts w:ascii="Franklin Gothic Book;sans-serif" w:hAnsi="Franklin Gothic Book;sans-serif"/>
          <w:b w:val="false"/>
          <w:color w:val="000000"/>
          <w:sz w:val="20"/>
        </w:rPr>
        <w:t xml:space="preserve">For additional information on our license arrangements with Samsung Bioepis, please read </w:t>
      </w:r>
      <w:r>
        <w:rPr>
          <w:rFonts w:ascii="Franklin Gothic Book;sans-serif" w:hAnsi="Franklin Gothic Book;sans-serif"/>
          <w:b w:val="false"/>
          <w:i/>
          <w:color w:val="000000"/>
          <w:sz w:val="20"/>
        </w:rPr>
        <w:t>Note 16, Collaborative and Other Relationships</w:t>
      </w:r>
      <w:r>
        <w:rPr>
          <w:rFonts w:ascii="Franklin Gothic Book;sans-serif" w:hAnsi="Franklin Gothic Book;sans-serif"/>
          <w:b w:val="false"/>
          <w:color w:val="000000"/>
          <w:sz w:val="20"/>
        </w:rPr>
        <w:t>, to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550" w:type="dxa"/>
        <w:jc w:val="left"/>
        <w:tblInd w:w="0" w:type="dxa"/>
        <w:tblCellMar>
          <w:top w:w="28" w:type="dxa"/>
          <w:left w:w="28" w:type="dxa"/>
          <w:bottom w:w="28" w:type="dxa"/>
          <w:right w:w="28" w:type="dxa"/>
        </w:tblCellMar>
      </w:tblPr>
      <w:tblGrid>
        <w:gridCol w:w="401"/>
        <w:gridCol w:w="353"/>
        <w:gridCol w:w="355"/>
        <w:gridCol w:w="422"/>
        <w:gridCol w:w="422"/>
        <w:gridCol w:w="597"/>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5:</w:t>
            </w:r>
          </w:p>
        </w:tc>
        <w:tc>
          <w:tcPr>
            <w:tcW w:w="1441"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Inventory</w:t>
            </w:r>
          </w:p>
        </w:tc>
      </w:tr>
    </w:tbl>
    <w:p>
      <w:pPr>
        <w:pStyle w:val="TextBody"/>
        <w:spacing w:lineRule="auto" w:line="288" w:before="120" w:after="283"/>
        <w:ind w:left="0" w:right="0" w:hanging="540"/>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components of inventory are summarized as follows:</w:t>
      </w:r>
    </w:p>
    <w:tbl>
      <w:tblPr>
        <w:tblW w:w="7898" w:type="dxa"/>
        <w:jc w:val="left"/>
        <w:tblInd w:w="0" w:type="dxa"/>
        <w:tblCellMar>
          <w:top w:w="28" w:type="dxa"/>
          <w:left w:w="28" w:type="dxa"/>
          <w:bottom w:w="28" w:type="dxa"/>
          <w:right w:w="28" w:type="dxa"/>
        </w:tblCellMar>
      </w:tblPr>
      <w:tblGrid>
        <w:gridCol w:w="940"/>
        <w:gridCol w:w="825"/>
        <w:gridCol w:w="829"/>
        <w:gridCol w:w="109"/>
        <w:gridCol w:w="109"/>
        <w:gridCol w:w="109"/>
        <w:gridCol w:w="414"/>
        <w:gridCol w:w="1503"/>
        <w:gridCol w:w="213"/>
        <w:gridCol w:w="109"/>
        <w:gridCol w:w="109"/>
        <w:gridCol w:w="109"/>
        <w:gridCol w:w="470"/>
        <w:gridCol w:w="1707"/>
        <w:gridCol w:w="343"/>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Raw materials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432.4 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413.2 </w:t>
            </w:r>
          </w:p>
        </w:tc>
        <w:tc>
          <w:tcPr>
            <w:tcW w:w="3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Work in process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684.9 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751.9 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Finished goods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205.9 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200.4 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inventory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1,323.2 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1,365.5 </w:t>
            </w:r>
          </w:p>
        </w:tc>
        <w:tc>
          <w:tcPr>
            <w:tcW w:w="3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Inventory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1,281.0 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1,344.4 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Investments and other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42.2 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21.1 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inventory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1,323.2 </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1,365.5 </w:t>
            </w:r>
          </w:p>
        </w:tc>
        <w:tc>
          <w:tcPr>
            <w:tcW w:w="3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rPr/>
      </w:pPr>
      <w:r>
        <w:rPr>
          <w:rFonts w:ascii="Franklin Gothic Book;sans-serif" w:hAnsi="Franklin Gothic Book;sans-serif"/>
          <w:b w:val="false"/>
          <w:color w:val="000000"/>
          <w:sz w:val="20"/>
        </w:rPr>
        <w:t xml:space="preserve">During the first quarter of 2022 we wrote-off approximately $275.0 million of inventory related to ADUHELM, as a result of the final NCD, which was recognized in cost of sales within our condensed consolidated statements of income </w:t>
      </w:r>
      <w:r>
        <w:rPr>
          <w:rFonts w:ascii="Franklin Gothic Book;sans-serif" w:hAnsi="Franklin Gothic Book;sans-serif"/>
          <w:b w:val="false"/>
          <w:color w:val="000000"/>
          <w:sz w:val="20"/>
          <w:highlight w:val="white"/>
        </w:rPr>
        <w:t xml:space="preserve">for the </w:t>
      </w:r>
      <w:r>
        <w:rPr>
          <w:rFonts w:ascii="Franklin Gothic Book;sans-serif" w:hAnsi="Franklin Gothic Book;sans-serif"/>
          <w:b w:val="false"/>
          <w:color w:val="000000"/>
          <w:sz w:val="20"/>
        </w:rPr>
        <w:t>three</w:t>
      </w:r>
      <w:r>
        <w:rPr>
          <w:color w:val="000000"/>
          <w:highlight w:val="white"/>
        </w:rPr>
        <w:t xml:space="preserve"> </w:t>
      </w:r>
      <w:r>
        <w:rPr>
          <w:rFonts w:ascii="Franklin Gothic Book;sans-serif" w:hAnsi="Franklin Gothic Book;sans-serif"/>
          <w:b w:val="false"/>
          <w:color w:val="000000"/>
          <w:sz w:val="20"/>
          <w:highlight w:val="white"/>
        </w:rPr>
        <w:t xml:space="preserve">months ended </w:t>
      </w:r>
      <w:r>
        <w:rPr>
          <w:rFonts w:ascii="Franklin Gothic Book;sans-serif" w:hAnsi="Franklin Gothic Book;sans-serif"/>
          <w:b w:val="false"/>
          <w:color w:val="000000"/>
          <w:sz w:val="20"/>
        </w:rPr>
        <w:t xml:space="preserve">March 31, 2022. We recognized approximately $136.0 million related to Eisai's 45.0% share of these charges in collaboration profit sharing/(loss reimbursement) within our condensed consolidated statements of income </w:t>
      </w:r>
      <w:r>
        <w:rPr>
          <w:rFonts w:ascii="Franklin Gothic Book;sans-serif" w:hAnsi="Franklin Gothic Book;sans-serif"/>
          <w:b w:val="false"/>
          <w:color w:val="000000"/>
          <w:sz w:val="20"/>
          <w:highlight w:val="white"/>
        </w:rPr>
        <w:t xml:space="preserve">for the </w:t>
      </w:r>
      <w:r>
        <w:rPr>
          <w:rFonts w:ascii="Franklin Gothic Book;sans-serif" w:hAnsi="Franklin Gothic Book;sans-serif"/>
          <w:b w:val="false"/>
          <w:color w:val="000000"/>
          <w:sz w:val="20"/>
        </w:rPr>
        <w:t>three</w:t>
      </w:r>
      <w:r>
        <w:rPr>
          <w:color w:val="000000"/>
          <w:highlight w:val="white"/>
        </w:rPr>
        <w:t xml:space="preserve"> </w:t>
      </w:r>
      <w:r>
        <w:rPr>
          <w:rFonts w:ascii="Franklin Gothic Book;sans-serif" w:hAnsi="Franklin Gothic Book;sans-serif"/>
          <w:b w:val="false"/>
          <w:color w:val="000000"/>
          <w:sz w:val="20"/>
          <w:highlight w:val="white"/>
        </w:rPr>
        <w:t xml:space="preserve">months ended </w:t>
      </w:r>
      <w:r>
        <w:rPr>
          <w:rFonts w:ascii="Franklin Gothic Book;sans-serif" w:hAnsi="Franklin Gothic Book;sans-serif"/>
          <w:b w:val="false"/>
          <w:color w:val="000000"/>
          <w:sz w:val="20"/>
        </w:rPr>
        <w:t>March 31, 2022. As of March 31, 2023 and December 31, 2022, the carrying value of our ADUHELM inventory was immaterial.</w:t>
      </w:r>
    </w:p>
    <w:p>
      <w:pPr>
        <w:pStyle w:val="TextBody"/>
        <w:spacing w:lineRule="auto" w:line="26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428" w:type="dxa"/>
        <w:jc w:val="left"/>
        <w:tblInd w:w="0" w:type="dxa"/>
        <w:tblCellMar>
          <w:top w:w="28" w:type="dxa"/>
          <w:left w:w="28" w:type="dxa"/>
          <w:bottom w:w="28" w:type="dxa"/>
          <w:right w:w="28" w:type="dxa"/>
        </w:tblCellMar>
      </w:tblPr>
      <w:tblGrid>
        <w:gridCol w:w="401"/>
        <w:gridCol w:w="353"/>
        <w:gridCol w:w="355"/>
        <w:gridCol w:w="1263"/>
        <w:gridCol w:w="1263"/>
        <w:gridCol w:w="1793"/>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6:</w:t>
            </w:r>
          </w:p>
        </w:tc>
        <w:tc>
          <w:tcPr>
            <w:tcW w:w="4319"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Intangible Assets and Goodwill</w:t>
            </w:r>
          </w:p>
        </w:tc>
      </w:tr>
    </w:tbl>
    <w:p>
      <w:pPr>
        <w:pStyle w:val="TextBody"/>
        <w:spacing w:lineRule="auto" w:line="288" w:before="18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Intangible Assets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 of accumulated amortization, impairment charges and adjustments are summarized as follows:</w:t>
      </w:r>
    </w:p>
    <w:tbl>
      <w:tblPr>
        <w:tblW w:w="11857" w:type="dxa"/>
        <w:jc w:val="left"/>
        <w:tblInd w:w="0" w:type="dxa"/>
        <w:tblCellMar>
          <w:top w:w="28" w:type="dxa"/>
          <w:left w:w="28" w:type="dxa"/>
          <w:bottom w:w="28" w:type="dxa"/>
          <w:right w:w="28" w:type="dxa"/>
        </w:tblCellMar>
      </w:tblPr>
      <w:tblGrid>
        <w:gridCol w:w="727"/>
        <w:gridCol w:w="495"/>
        <w:gridCol w:w="279"/>
        <w:gridCol w:w="109"/>
        <w:gridCol w:w="109"/>
        <w:gridCol w:w="109"/>
        <w:gridCol w:w="345"/>
        <w:gridCol w:w="345"/>
        <w:gridCol w:w="346"/>
        <w:gridCol w:w="109"/>
        <w:gridCol w:w="109"/>
        <w:gridCol w:w="109"/>
        <w:gridCol w:w="211"/>
        <w:gridCol w:w="766"/>
        <w:gridCol w:w="109"/>
        <w:gridCol w:w="109"/>
        <w:gridCol w:w="109"/>
        <w:gridCol w:w="109"/>
        <w:gridCol w:w="253"/>
        <w:gridCol w:w="937"/>
        <w:gridCol w:w="131"/>
        <w:gridCol w:w="109"/>
        <w:gridCol w:w="109"/>
        <w:gridCol w:w="109"/>
        <w:gridCol w:w="211"/>
        <w:gridCol w:w="766"/>
        <w:gridCol w:w="109"/>
        <w:gridCol w:w="109"/>
        <w:gridCol w:w="109"/>
        <w:gridCol w:w="109"/>
        <w:gridCol w:w="211"/>
        <w:gridCol w:w="766"/>
        <w:gridCol w:w="109"/>
        <w:gridCol w:w="109"/>
        <w:gridCol w:w="109"/>
        <w:gridCol w:w="109"/>
        <w:gridCol w:w="253"/>
        <w:gridCol w:w="937"/>
        <w:gridCol w:w="131"/>
        <w:gridCol w:w="109"/>
        <w:gridCol w:w="109"/>
        <w:gridCol w:w="109"/>
        <w:gridCol w:w="211"/>
        <w:gridCol w:w="766"/>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7" w:type="dxa"/>
            <w:gridSpan w:val="15"/>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Estimated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w:t>
            </w:r>
          </w:p>
        </w:tc>
      </w:tr>
      <w:tr>
        <w:trPr/>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Completed 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4-28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7,428.7 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(5,679.4)</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7,415.3 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(5,629.2)</w:t>
            </w:r>
          </w:p>
        </w:tc>
        <w:tc>
          <w:tcPr>
            <w:tcW w:w="1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1,786.1 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Trademarks and trade names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Indefinite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intangible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7,492.7 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(5,679.4)</w:t>
            </w:r>
          </w:p>
        </w:tc>
        <w:tc>
          <w:tcPr>
            <w:tcW w:w="1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1,813.3 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7,479.3 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(5,629.2)</w:t>
            </w:r>
          </w:p>
        </w:tc>
        <w:tc>
          <w:tcPr>
            <w:tcW w:w="1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1,850.1 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Amortization and Impairments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amortization and impairment of acquired intangible assets totaled $50.2 million, compared to $66.9 million in the prior year comparative period. The decrease was primarily due to a lower rate of amortization for acquired intangible assets. For the three months ended March 31, 2023 and 2022, we had no impairment charges.</w:t>
      </w:r>
    </w:p>
    <w:p>
      <w:pPr>
        <w:pStyle w:val="TextBody"/>
        <w:spacing w:lineRule="auto" w:line="288" w:before="12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Completed Technology</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Completed technology primarily relates to our other marketed products and programs acquired through asset acquisitions, licenses and business combinations.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Estimated Future Amortization of Intangible Assets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estimated future amortization of finite-lived intangible assets for the next five years is expected to be as follows:</w:t>
      </w:r>
    </w:p>
    <w:tbl>
      <w:tblPr>
        <w:tblW w:w="5141" w:type="dxa"/>
        <w:jc w:val="left"/>
        <w:tblInd w:w="0" w:type="dxa"/>
        <w:tblCellMar>
          <w:top w:w="28" w:type="dxa"/>
          <w:left w:w="28" w:type="dxa"/>
          <w:bottom w:w="28" w:type="dxa"/>
          <w:right w:w="28" w:type="dxa"/>
        </w:tblCellMar>
      </w:tblPr>
      <w:tblGrid>
        <w:gridCol w:w="955"/>
        <w:gridCol w:w="840"/>
        <w:gridCol w:w="844"/>
        <w:gridCol w:w="109"/>
        <w:gridCol w:w="109"/>
        <w:gridCol w:w="109"/>
        <w:gridCol w:w="468"/>
        <w:gridCol w:w="1366"/>
        <w:gridCol w:w="341"/>
      </w:tblGrid>
      <w:tr>
        <w:trPr/>
        <w:tc>
          <w:tcPr>
            <w:tcW w:w="95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r>
      <w:tr>
        <w:trPr/>
        <w:tc>
          <w:tcPr>
            <w:tcW w:w="2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2023 (remaining nine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3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165.0 </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195.0 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190.0 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175.0 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170.0 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165.0 </w:t>
            </w:r>
          </w:p>
        </w:tc>
        <w:tc>
          <w:tcPr>
            <w:tcW w:w="3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Franklin Gothic Book;sans-serif" w:hAnsi="Franklin Gothic Book;sans-serif"/>
          <w:b/>
          <w:color w:val="2573BA"/>
          <w:sz w:val="22"/>
        </w:rPr>
      </w:pPr>
      <w:r>
        <w:rPr>
          <w:rFonts w:ascii="Franklin Gothic Book;sans-serif" w:hAnsi="Franklin Gothic Book;sans-serif"/>
          <w:b/>
          <w:color w:val="2573BA"/>
          <w:sz w:val="22"/>
        </w:rPr>
        <w:t>Goodwill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provides a roll forward of the changes in our goodwill balance:</w:t>
      </w:r>
    </w:p>
    <w:tbl>
      <w:tblPr>
        <w:tblW w:w="5065" w:type="dxa"/>
        <w:jc w:val="left"/>
        <w:tblInd w:w="0" w:type="dxa"/>
        <w:tblCellMar>
          <w:top w:w="28" w:type="dxa"/>
          <w:left w:w="28" w:type="dxa"/>
          <w:bottom w:w="28" w:type="dxa"/>
          <w:right w:w="28" w:type="dxa"/>
        </w:tblCellMar>
      </w:tblPr>
      <w:tblGrid>
        <w:gridCol w:w="928"/>
        <w:gridCol w:w="816"/>
        <w:gridCol w:w="820"/>
        <w:gridCol w:w="109"/>
        <w:gridCol w:w="109"/>
        <w:gridCol w:w="109"/>
        <w:gridCol w:w="405"/>
        <w:gridCol w:w="1473"/>
        <w:gridCol w:w="296"/>
      </w:tblGrid>
      <w:tr>
        <w:trPr/>
        <w:tc>
          <w:tcPr>
            <w:tcW w:w="92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r>
      <w:tr>
        <w:trPr/>
        <w:tc>
          <w:tcPr>
            <w:tcW w:w="25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473" w:type="dxa"/>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5,749.0 </w:t>
            </w:r>
          </w:p>
        </w:tc>
        <w:tc>
          <w:tcPr>
            <w:tcW w:w="296" w:type="dxa"/>
            <w:tcBorders>
              <w:top w:val="single" w:sz="8" w:space="0" w:color="000000"/>
            </w:tcBorders>
            <w:shd w:fill="DDDDDD"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4" w:type="dxa"/>
            <w:gridSpan w:val="3"/>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2.8 </w:t>
            </w:r>
          </w:p>
        </w:tc>
        <w:tc>
          <w:tcPr>
            <w:tcW w:w="2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4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5,751.8 </w:t>
            </w:r>
          </w:p>
        </w:tc>
        <w:tc>
          <w:tcPr>
            <w:tcW w:w="2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Franklin Gothic Book;sans-serif" w:hAnsi="Franklin Gothic Book;sans-serif"/>
          <w:b w:val="false"/>
          <w:color w:val="000000"/>
          <w:sz w:val="20"/>
        </w:rPr>
        <w:t>As of March 31, 2023, we had</w:t>
      </w:r>
      <w:r>
        <w:rPr>
          <w:color w:val="000000"/>
          <w:highlight w:val="white"/>
        </w:rPr>
        <w:t xml:space="preserve"> </w:t>
      </w:r>
      <w:r>
        <w:rPr>
          <w:rFonts w:ascii="Franklin Gothic Book;sans-serif" w:hAnsi="Franklin Gothic Book;sans-serif"/>
          <w:b w:val="false"/>
          <w:color w:val="000000"/>
          <w:sz w:val="20"/>
        </w:rPr>
        <w:t>no</w:t>
      </w:r>
      <w:r>
        <w:rPr>
          <w:color w:val="000000"/>
          <w:highlight w:val="white"/>
        </w:rPr>
        <w:t xml:space="preserve"> </w:t>
      </w:r>
      <w:r>
        <w:rPr>
          <w:rFonts w:ascii="Franklin Gothic Book;sans-serif" w:hAnsi="Franklin Gothic Book;sans-serif"/>
          <w:b w:val="false"/>
          <w:color w:val="000000"/>
          <w:sz w:val="20"/>
          <w:highlight w:val="white"/>
        </w:rPr>
        <w:t>ac</w:t>
      </w:r>
      <w:r>
        <w:rPr>
          <w:rFonts w:ascii="Franklin Gothic Book;sans-serif" w:hAnsi="Franklin Gothic Book;sans-serif"/>
          <w:b w:val="false"/>
          <w:color w:val="000000"/>
          <w:sz w:val="20"/>
        </w:rPr>
        <w:t xml:space="preserve">cumulated impairment losses related to goodwill. Other includes adjustments related to foreign currency exchange rate fluctuations.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4738" w:type="dxa"/>
        <w:jc w:val="left"/>
        <w:tblInd w:w="0" w:type="dxa"/>
        <w:tblCellMar>
          <w:top w:w="28" w:type="dxa"/>
          <w:left w:w="28" w:type="dxa"/>
          <w:bottom w:w="28" w:type="dxa"/>
          <w:right w:w="28" w:type="dxa"/>
        </w:tblCellMar>
      </w:tblPr>
      <w:tblGrid>
        <w:gridCol w:w="401"/>
        <w:gridCol w:w="353"/>
        <w:gridCol w:w="355"/>
        <w:gridCol w:w="1062"/>
        <w:gridCol w:w="1062"/>
        <w:gridCol w:w="1505"/>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7:</w:t>
            </w:r>
          </w:p>
        </w:tc>
        <w:tc>
          <w:tcPr>
            <w:tcW w:w="3629"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Fair Value Measurements</w:t>
            </w:r>
          </w:p>
        </w:tc>
      </w:tr>
    </w:tbl>
    <w:p>
      <w:pPr>
        <w:pStyle w:val="TextBody"/>
        <w:spacing w:lineRule="auto" w:line="288" w:before="120" w:after="283"/>
        <w:ind w:left="0" w:right="0" w:hanging="540"/>
        <w:rPr>
          <w:rFonts w:ascii="Franklin Gothic Book;sans-serif" w:hAnsi="Franklin Gothic Book;sans-serif"/>
          <w:b w:val="false"/>
          <w:color w:val="000000"/>
          <w:sz w:val="20"/>
        </w:rPr>
      </w:pPr>
      <w:r>
        <w:rPr>
          <w:rFonts w:ascii="Franklin Gothic Book;sans-serif" w:hAnsi="Franklin Gothic Book;sans-serif"/>
          <w:b w:val="false"/>
          <w:color w:val="000000"/>
          <w:sz w:val="20"/>
        </w:rPr>
        <w:t>The tables below present information about our assets and liabilities that are regularly measured and carried at fair value and indicate the level within the fair value hierarchy of the valuation techniques we utilized to determine such fair value:</w:t>
      </w:r>
    </w:p>
    <w:tbl>
      <w:tblPr>
        <w:tblW w:w="10205" w:type="dxa"/>
        <w:jc w:val="left"/>
        <w:tblInd w:w="0" w:type="dxa"/>
        <w:tblCellMar>
          <w:top w:w="28" w:type="dxa"/>
          <w:left w:w="28" w:type="dxa"/>
          <w:bottom w:w="28" w:type="dxa"/>
          <w:right w:w="28" w:type="dxa"/>
        </w:tblCellMar>
      </w:tblPr>
      <w:tblGrid>
        <w:gridCol w:w="1194"/>
        <w:gridCol w:w="996"/>
        <w:gridCol w:w="981"/>
        <w:gridCol w:w="109"/>
        <w:gridCol w:w="109"/>
        <w:gridCol w:w="109"/>
        <w:gridCol w:w="211"/>
        <w:gridCol w:w="766"/>
        <w:gridCol w:w="109"/>
        <w:gridCol w:w="109"/>
        <w:gridCol w:w="109"/>
        <w:gridCol w:w="109"/>
        <w:gridCol w:w="318"/>
        <w:gridCol w:w="928"/>
        <w:gridCol w:w="165"/>
        <w:gridCol w:w="109"/>
        <w:gridCol w:w="109"/>
        <w:gridCol w:w="109"/>
        <w:gridCol w:w="349"/>
        <w:gridCol w:w="1270"/>
        <w:gridCol w:w="182"/>
        <w:gridCol w:w="109"/>
        <w:gridCol w:w="109"/>
        <w:gridCol w:w="109"/>
        <w:gridCol w:w="266"/>
        <w:gridCol w:w="965"/>
        <w:gridCol w:w="197"/>
      </w:tblGrid>
      <w:tr>
        <w:trPr/>
        <w:tc>
          <w:tcPr>
            <w:tcW w:w="119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 Measurements on a Recurring Basis</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7" w:type="dxa"/>
            <w:gridSpan w:val="21"/>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Quoted Prices</w:t>
              <w:br/>
              <w:t>in Active</w:t>
              <w:br/>
              <w:t>Markets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 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w:t>
              <w:br/>
              <w:t>Inputs</w:t>
              <w:br/>
              <w:t>(Level 3)</w:t>
            </w:r>
          </w:p>
        </w:tc>
      </w:tr>
      <w:tr>
        <w:trPr/>
        <w:tc>
          <w:tcPr>
            <w:tcW w:w="3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2,406.6 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7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2,406.6 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65"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Corporate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1,704.2 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1,704.2 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Government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1,285.0 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1,285.0 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Mortgage and other asset backed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132.1 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678.1 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678.1 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Receivable from Samsung BioLogics</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809.9 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809.9 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35.1 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Plan assets for deferred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34.1 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Receivable from Samsung BioLogics</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411.6 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411.6 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7,496.7 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678.1 </w:t>
            </w:r>
          </w:p>
        </w:tc>
        <w:tc>
          <w:tcPr>
            <w:tcW w:w="16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7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5,597.1 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6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1,221.5 </w:t>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7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39.8 </w:t>
            </w:r>
          </w:p>
        </w:tc>
        <w:tc>
          <w:tcPr>
            <w:tcW w:w="1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65"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257ACB"/>
              </w:rPr>
            </w:pPr>
            <w:r>
              <w:rPr>
                <w:color w:val="257ACB"/>
              </w:rPr>
              <w:t>— </w:t>
            </w:r>
          </w:p>
        </w:tc>
        <w:tc>
          <w:tcPr>
            <w:tcW w:w="1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2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39.8 </w:t>
            </w:r>
          </w:p>
        </w:tc>
        <w:tc>
          <w:tcPr>
            <w:tcW w:w="1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257ACB"/>
              </w:rPr>
            </w:pPr>
            <w:r>
              <w:rPr>
                <w:color w:val="257ACB"/>
              </w:rPr>
              <w:t>— </w:t>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Represents the fair value of the current and non-current payments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Franklin Gothic Book;sans-serif" w:hAnsi="Franklin Gothic Book;sans-serif"/>
          <w:b w:val="false"/>
          <w:i/>
          <w:color w:val="000000"/>
          <w:sz w:val="16"/>
        </w:rPr>
        <w:t xml:space="preserve">Note 2, Dispositions, </w:t>
      </w:r>
      <w:r>
        <w:rPr>
          <w:rFonts w:ascii="Franklin Gothic Book;sans-serif" w:hAnsi="Franklin Gothic Book;sans-serif"/>
          <w:b w:val="false"/>
          <w:color w:val="000000"/>
          <w:sz w:val="16"/>
        </w:rPr>
        <w:t>to these condensed consolidated financial statements.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10205" w:type="dxa"/>
        <w:jc w:val="left"/>
        <w:tblInd w:w="0" w:type="dxa"/>
        <w:tblCellMar>
          <w:top w:w="28" w:type="dxa"/>
          <w:left w:w="28" w:type="dxa"/>
          <w:bottom w:w="28" w:type="dxa"/>
          <w:right w:w="28" w:type="dxa"/>
        </w:tblCellMar>
      </w:tblPr>
      <w:tblGrid>
        <w:gridCol w:w="1194"/>
        <w:gridCol w:w="996"/>
        <w:gridCol w:w="981"/>
        <w:gridCol w:w="109"/>
        <w:gridCol w:w="109"/>
        <w:gridCol w:w="109"/>
        <w:gridCol w:w="211"/>
        <w:gridCol w:w="766"/>
        <w:gridCol w:w="109"/>
        <w:gridCol w:w="109"/>
        <w:gridCol w:w="109"/>
        <w:gridCol w:w="109"/>
        <w:gridCol w:w="318"/>
        <w:gridCol w:w="928"/>
        <w:gridCol w:w="165"/>
        <w:gridCol w:w="109"/>
        <w:gridCol w:w="109"/>
        <w:gridCol w:w="109"/>
        <w:gridCol w:w="349"/>
        <w:gridCol w:w="1270"/>
        <w:gridCol w:w="182"/>
        <w:gridCol w:w="109"/>
        <w:gridCol w:w="109"/>
        <w:gridCol w:w="109"/>
        <w:gridCol w:w="266"/>
        <w:gridCol w:w="965"/>
        <w:gridCol w:w="197"/>
      </w:tblGrid>
      <w:tr>
        <w:trPr/>
        <w:tc>
          <w:tcPr>
            <w:tcW w:w="119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 Value Measurements on a Recurring Basis</w:t>
            </w:r>
          </w:p>
        </w:tc>
      </w:tr>
      <w:tr>
        <w:trPr/>
        <w:tc>
          <w:tcPr>
            <w:tcW w:w="3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Quoted Prices</w:t>
              <w:br/>
              <w:t>in Active</w:t>
              <w:br/>
              <w:t>Markets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 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Significant</w:t>
              <w:br/>
              <w:t>Unobservable</w:t>
              <w:br/>
              <w:t>Inputs</w:t>
              <w:br/>
              <w:t>(Level 3)</w:t>
            </w:r>
          </w:p>
        </w:tc>
      </w:tr>
      <w:tr>
        <w:trPr/>
        <w:tc>
          <w:tcPr>
            <w:tcW w:w="3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2,847.6 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2,847.6 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6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Corporate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1,231.6 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Government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810.3 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Mortgage and other asset backed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137.3 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791.1 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Receivable from Samsung BioLogics</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798.8 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63.0 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Plan assets for deferred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32.8 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Receivable from Samsung BioLogics</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405.4 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7,117.9 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791.1 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5,122.6 </w:t>
            </w:r>
          </w:p>
        </w:tc>
        <w:tc>
          <w:tcPr>
            <w:tcW w:w="18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6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1,204.2 </w:t>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Derivative 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7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26.0 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6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r>
      <w:tr>
        <w:trPr/>
        <w:tc>
          <w:tcPr>
            <w:tcW w:w="3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26.0 </w:t>
            </w:r>
          </w:p>
        </w:tc>
        <w:tc>
          <w:tcPr>
            <w:tcW w:w="18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Represents the fair value of the current and non-current payments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Franklin Gothic Book;sans-serif" w:hAnsi="Franklin Gothic Book;sans-serif"/>
          <w:b w:val="false"/>
          <w:i/>
          <w:color w:val="000000"/>
          <w:sz w:val="16"/>
        </w:rPr>
        <w:t xml:space="preserve">Note 2, Dispositions, </w:t>
      </w:r>
      <w:r>
        <w:rPr>
          <w:rFonts w:ascii="Franklin Gothic Book;sans-serif" w:hAnsi="Franklin Gothic Book;sans-serif"/>
          <w:b w:val="false"/>
          <w:color w:val="000000"/>
          <w:sz w:val="16"/>
        </w:rPr>
        <w:t>to these condensed consolidated financial statements.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fair value of Level 2 instruments classified as cash equivalents and marketable debt securities was determined through third-party pricing services. During the third quarter of 2022 we elected to early adopt ASU 2022-03 on a prospective basis, which resulted in removing the impact of contractual sale restrictions from the fair value measurement of our remaining Sage common stock subject to certain holding period restrictions. As of December 31, 2022, our entire investment in the common stock of Sage was classified as a Level 1 measurement. Prior to the adoption of this standard, the fair value of Level 2 instruments classified as marketable equity securities represented a portion of our investment in the common stock of Sage and was valued using an option pricing valuation model.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investments in the common stock of Sangamo and Denali had holding period restrictions that expired during 2022. As of December 31, 2022, the fair values of our investments in Sangamo and Denali common stock were classified as Level 1 measurements.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the contractual holding period restrictions on our investments in Denali, Sage and Sangamo have expired, our ability to liquidate these investments may be limited by the size of our interest, the volume of market related activity, our concentrated level of ownership and potential restrictions resulting from our status as a collaborator. Therefore, we may realize significantly less than the current value of such investments.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investments in Denali, Sangamo and Sage common stock,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2022 Form 10-K.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have been no material impairments of our assets measured and carried at fair value as of March 31, 2023 and December 31, 2022. In addition, there have been no changes to our valuation techniques as of March 31, 2023 and December 31, 2022.</w:t>
      </w:r>
    </w:p>
    <w:p>
      <w:pPr>
        <w:pStyle w:val="TextBody"/>
        <w:spacing w:lineRule="auto" w:line="288" w:before="120" w:after="283"/>
        <w:rPr/>
      </w:pPr>
      <w:r>
        <w:rPr>
          <w:rFonts w:ascii="Franklin Gothic Book;sans-serif" w:hAnsi="Franklin Gothic Book;sans-serif"/>
          <w:b w:val="false"/>
          <w:color w:val="000000"/>
          <w:sz w:val="20"/>
        </w:rPr>
        <w:t xml:space="preserve">For a description of our validation procedures related to prices provided by third-party pricing services and our option pricing valuation model, please read </w:t>
      </w:r>
      <w:r>
        <w:rPr>
          <w:rFonts w:ascii="Franklin Gothic Book;sans-serif" w:hAnsi="Franklin Gothic Book;sans-serif"/>
          <w:b w:val="false"/>
          <w:i/>
          <w:color w:val="000000"/>
          <w:sz w:val="20"/>
        </w:rPr>
        <w:t>Note 1, Summary of Significant Accounting Policies - Fair Value Measurements,</w:t>
      </w:r>
      <w:r>
        <w:rPr>
          <w:color w:val="000000"/>
        </w:rPr>
        <w:t xml:space="preserve"> </w:t>
      </w:r>
      <w:r>
        <w:rPr>
          <w:rFonts w:ascii="Franklin Gothic Book;sans-serif" w:hAnsi="Franklin Gothic Book;sans-serif"/>
          <w:b w:val="false"/>
          <w:color w:val="000000"/>
          <w:sz w:val="20"/>
        </w:rPr>
        <w:t xml:space="preserve">to our consolidated financial statements included in our 2022 Form 10-K.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color w:val="0070C0"/>
          <w:sz w:val="24"/>
        </w:rPr>
      </w:pPr>
      <w:r>
        <w:rPr>
          <w:rFonts w:ascii="Franklin Gothic Book;sans-serif" w:hAnsi="Franklin Gothic Book;sans-serif"/>
          <w:b/>
          <w:color w:val="0070C0"/>
          <w:sz w:val="24"/>
        </w:rPr>
        <w:t>Level 3 Assets and Liabilities Held at Fair Value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were no transfers of assets or liabilities into or out of Level 3 as of March 31, 2023 and December 31, 2022.</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Contingent Consideration Obligations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our acquisition of Convergence, we agreed to make additional payments based upon the achievement of certain milestone events. The following table provides a roll forward of the fair value of our contingent consideration obligations, which were classified as Level 3 measurements:</w:t>
      </w:r>
    </w:p>
    <w:tbl>
      <w:tblPr>
        <w:tblW w:w="7926" w:type="dxa"/>
        <w:jc w:val="left"/>
        <w:tblInd w:w="0" w:type="dxa"/>
        <w:tblCellMar>
          <w:top w:w="28" w:type="dxa"/>
          <w:left w:w="28" w:type="dxa"/>
          <w:bottom w:w="28" w:type="dxa"/>
          <w:right w:w="28" w:type="dxa"/>
        </w:tblCellMar>
      </w:tblPr>
      <w:tblGrid>
        <w:gridCol w:w="961"/>
        <w:gridCol w:w="845"/>
        <w:gridCol w:w="849"/>
        <w:gridCol w:w="109"/>
        <w:gridCol w:w="109"/>
        <w:gridCol w:w="109"/>
        <w:gridCol w:w="109"/>
        <w:gridCol w:w="109"/>
        <w:gridCol w:w="957"/>
        <w:gridCol w:w="2794"/>
        <w:gridCol w:w="494"/>
        <w:gridCol w:w="109"/>
        <w:gridCol w:w="109"/>
        <w:gridCol w:w="109"/>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7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Fair value, 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27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209.1 </w:t>
            </w:r>
          </w:p>
        </w:tc>
        <w:tc>
          <w:tcPr>
            <w:tcW w:w="4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Changes in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w:t>
            </w:r>
          </w:p>
        </w:tc>
        <w:tc>
          <w:tcPr>
            <w:tcW w:w="4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Fair value, end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27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202.0 </w:t>
            </w:r>
          </w:p>
        </w:tc>
        <w:tc>
          <w:tcPr>
            <w:tcW w:w="4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highlight w:val="white"/>
        </w:rPr>
      </w:pPr>
      <w:r>
        <w:rPr>
          <w:rFonts w:ascii="Franklin Gothic Book;sans-serif" w:hAnsi="Franklin Gothic Book;sans-serif"/>
          <w:b w:val="false"/>
          <w:color w:val="000000"/>
          <w:sz w:val="20"/>
          <w:highlight w:val="white"/>
        </w:rPr>
        <w:t>Changes in the fair value of our contingent consideration obligations are recorded in (gain) loss on fair value remeasurement of contingent consideration in our condensed consolidated statements of income.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fourth quarter of 2022 we discontinued further development efforts related to vixotrigine for the potential treatment of TGN and DPN, resulting in a reduction of our contingent consideration obligations of approximately $195.4 million, reducing the fair value of vixotrigine to zero.</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2022, the changes in fair value of our contingent consideration obligations were primarily due to an increase in discount rates used to revalue these obligations and delays in the expected timing of the achievement of certain remaining developmental milestones related to our vixotrigine programs.</w:t>
      </w:r>
    </w:p>
    <w:p>
      <w:pPr>
        <w:pStyle w:val="TextBody"/>
        <w:spacing w:lineRule="auto" w:line="288" w:before="120" w:after="283"/>
        <w:rPr>
          <w:rFonts w:ascii="Franklin Gothic Book;sans-serif" w:hAnsi="Franklin Gothic Book;sans-serif"/>
          <w:b/>
          <w:color w:val="0070C0"/>
          <w:sz w:val="24"/>
        </w:rPr>
      </w:pPr>
      <w:r>
        <w:rPr>
          <w:rFonts w:ascii="Franklin Gothic Book;sans-serif" w:hAnsi="Franklin Gothic Book;sans-serif"/>
          <w:b/>
          <w:color w:val="0070C0"/>
          <w:sz w:val="24"/>
        </w:rPr>
        <w:t>Financial Instruments Not Carried at Fair Value</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Other Financial Instruments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Debt Instruments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fair and carrying values of our debt instruments, which are Level 2 liabilities, are summarized as follows:</w:t>
      </w:r>
    </w:p>
    <w:tbl>
      <w:tblPr>
        <w:tblW w:w="9642" w:type="dxa"/>
        <w:jc w:val="left"/>
        <w:tblInd w:w="0" w:type="dxa"/>
        <w:tblCellMar>
          <w:top w:w="28" w:type="dxa"/>
          <w:left w:w="28" w:type="dxa"/>
          <w:bottom w:w="28" w:type="dxa"/>
          <w:right w:w="28" w:type="dxa"/>
        </w:tblCellMar>
      </w:tblPr>
      <w:tblGrid>
        <w:gridCol w:w="1428"/>
        <w:gridCol w:w="1255"/>
        <w:gridCol w:w="1262"/>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Carrying</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Carrying</w:t>
              <w:br/>
              <w:t>Value</w:t>
            </w:r>
          </w:p>
        </w:tc>
      </w:tr>
      <w:tr>
        <w:trPr/>
        <w:tc>
          <w:tcPr>
            <w:tcW w:w="3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3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4.050% Senior Notes due September 15,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1,711.6 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1,699.9 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1,744.7 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2.250% Senior Notes due May 1, 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1,262.2 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1,493.1 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1,492.9 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5.200% Senior Notes due September 15, 2045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1,130.2 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1,100.4 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1,100.3 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3.150% Senior Notes due May 1, 2050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1,043.7 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1,473.8 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3.250% Senior Notes due February 15, 2051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493.2 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470.1 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469.3 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5,640.9 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6,282.7 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5,410.2 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6,281.0 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Franklin Gothic Book;sans-serif" w:hAnsi="Franklin Gothic Book;sans-serif"/>
          <w:b w:val="false"/>
          <w:color w:val="000000"/>
          <w:sz w:val="20"/>
        </w:rPr>
        <w:t xml:space="preserve">The fair values of each of our series of Senior Notes were determined through market, observable and corroborated sources. The changes in the fair values of our Senior Notes as of March 31, 2023, compared to December 31, 2022, are primarily related to decreases in U.S. treasury yields used to value our Senior Notes since December 31, 2022. For additional information related to our Senior Notes, please read </w:t>
      </w:r>
      <w:r>
        <w:rPr>
          <w:rFonts w:ascii="Franklin Gothic Book;sans-serif" w:hAnsi="Franklin Gothic Book;sans-serif"/>
          <w:b w:val="false"/>
          <w:i/>
          <w:color w:val="000000"/>
          <w:sz w:val="20"/>
        </w:rPr>
        <w:t>Note 13,</w:t>
      </w:r>
      <w:r>
        <w:rPr>
          <w:color w:val="000000"/>
        </w:rPr>
        <w:t xml:space="preserve"> </w:t>
      </w:r>
      <w:r>
        <w:rPr>
          <w:rFonts w:ascii="Franklin Gothic Book;sans-serif" w:hAnsi="Franklin Gothic Book;sans-serif"/>
          <w:b w:val="false"/>
          <w:i/>
          <w:color w:val="000000"/>
          <w:sz w:val="20"/>
        </w:rPr>
        <w:t>Indebtedness,</w:t>
      </w:r>
      <w:r>
        <w:rPr>
          <w:color w:val="000000"/>
        </w:rPr>
        <w:t xml:space="preserve"> </w:t>
      </w:r>
      <w:r>
        <w:rPr>
          <w:rFonts w:ascii="Franklin Gothic Book;sans-serif" w:hAnsi="Franklin Gothic Book;sans-serif"/>
          <w:b w:val="false"/>
          <w:color w:val="000000"/>
          <w:sz w:val="20"/>
        </w:rPr>
        <w:t>to our consolidated financial statements included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4198" w:type="dxa"/>
        <w:jc w:val="left"/>
        <w:tblInd w:w="0" w:type="dxa"/>
        <w:tblCellMar>
          <w:top w:w="28" w:type="dxa"/>
          <w:left w:w="28" w:type="dxa"/>
          <w:bottom w:w="28" w:type="dxa"/>
          <w:right w:w="28" w:type="dxa"/>
        </w:tblCellMar>
      </w:tblPr>
      <w:tblGrid>
        <w:gridCol w:w="401"/>
        <w:gridCol w:w="353"/>
        <w:gridCol w:w="355"/>
        <w:gridCol w:w="905"/>
        <w:gridCol w:w="905"/>
        <w:gridCol w:w="1279"/>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8:</w:t>
            </w:r>
          </w:p>
        </w:tc>
        <w:tc>
          <w:tcPr>
            <w:tcW w:w="3089"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Financial Instruments</w:t>
            </w:r>
          </w:p>
        </w:tc>
      </w:tr>
    </w:tbl>
    <w:p>
      <w:pPr>
        <w:pStyle w:val="TextBody"/>
        <w:spacing w:lineRule="auto" w:line="288" w:before="120" w:after="283"/>
        <w:ind w:left="0" w:right="0" w:hanging="540"/>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financial assets with maturities of less than 90 days from the date of purchase included in cash and cash equivalents in our condensed consolidated balance sheets:</w:t>
      </w:r>
    </w:p>
    <w:tbl>
      <w:tblPr>
        <w:tblW w:w="9038" w:type="dxa"/>
        <w:jc w:val="left"/>
        <w:tblInd w:w="0" w:type="dxa"/>
        <w:tblCellMar>
          <w:top w:w="28" w:type="dxa"/>
          <w:left w:w="28" w:type="dxa"/>
          <w:bottom w:w="28" w:type="dxa"/>
          <w:right w:w="28" w:type="dxa"/>
        </w:tblCellMar>
      </w:tblPr>
      <w:tblGrid>
        <w:gridCol w:w="1352"/>
        <w:gridCol w:w="1188"/>
        <w:gridCol w:w="1194"/>
        <w:gridCol w:w="109"/>
        <w:gridCol w:w="109"/>
        <w:gridCol w:w="109"/>
        <w:gridCol w:w="414"/>
        <w:gridCol w:w="1503"/>
        <w:gridCol w:w="213"/>
        <w:gridCol w:w="109"/>
        <w:gridCol w:w="109"/>
        <w:gridCol w:w="109"/>
        <w:gridCol w:w="470"/>
        <w:gridCol w:w="1707"/>
        <w:gridCol w:w="343"/>
      </w:tblGrid>
      <w:tr>
        <w:trPr/>
        <w:tc>
          <w:tcPr>
            <w:tcW w:w="135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Commercial paper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64.0 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177.2 </w:t>
            </w:r>
          </w:p>
        </w:tc>
        <w:tc>
          <w:tcPr>
            <w:tcW w:w="3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Overnight reverse repurchase agreements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300.3 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59.0 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Money market funds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2,042.3 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2,581.5 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Short-term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29.9 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2,406.6 </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2,847.6 </w:t>
            </w:r>
          </w:p>
        </w:tc>
        <w:tc>
          <w:tcPr>
            <w:tcW w:w="3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carrying values of our commercial paper, including accrued interest, overnight reverse repurchase agreements, money market funds and short-term debt securities approximate fair value due to their short-term maturities.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marketable equity securities gains (losses) are recorded in other (income) expense, net in our condensed consolidated statements of income. The following tables summarize our marketable debt and equity securities, classified as available-for-sale:</w:t>
      </w:r>
    </w:p>
    <w:tbl>
      <w:tblPr>
        <w:tblW w:w="9511" w:type="dxa"/>
        <w:jc w:val="left"/>
        <w:tblInd w:w="0" w:type="dxa"/>
        <w:tblCellMar>
          <w:top w:w="28" w:type="dxa"/>
          <w:left w:w="28" w:type="dxa"/>
          <w:bottom w:w="28" w:type="dxa"/>
          <w:right w:w="28" w:type="dxa"/>
        </w:tblCellMar>
      </w:tblPr>
      <w:tblGrid>
        <w:gridCol w:w="1384"/>
        <w:gridCol w:w="1217"/>
        <w:gridCol w:w="1223"/>
        <w:gridCol w:w="109"/>
        <w:gridCol w:w="109"/>
        <w:gridCol w:w="109"/>
        <w:gridCol w:w="211"/>
        <w:gridCol w:w="766"/>
        <w:gridCol w:w="109"/>
        <w:gridCol w:w="109"/>
        <w:gridCol w:w="109"/>
        <w:gridCol w:w="109"/>
        <w:gridCol w:w="314"/>
        <w:gridCol w:w="604"/>
        <w:gridCol w:w="163"/>
        <w:gridCol w:w="109"/>
        <w:gridCol w:w="109"/>
        <w:gridCol w:w="109"/>
        <w:gridCol w:w="239"/>
        <w:gridCol w:w="717"/>
        <w:gridCol w:w="125"/>
        <w:gridCol w:w="109"/>
        <w:gridCol w:w="109"/>
        <w:gridCol w:w="109"/>
        <w:gridCol w:w="211"/>
        <w:gridCol w:w="766"/>
        <w:gridCol w:w="154"/>
      </w:tblGrid>
      <w:tr>
        <w:trPr/>
        <w:tc>
          <w:tcPr>
            <w:tcW w:w="138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0" w:type="dxa"/>
            <w:gridSpan w:val="21"/>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r>
      <w:tr>
        <w:trPr/>
        <w:tc>
          <w:tcPr>
            <w:tcW w:w="3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Corporate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1,287.6 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1,283.3 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423.4 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420.9 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Government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863.5 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859.4 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426.1 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425.6 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Mortgage and other asset backed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132.9 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131.7 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3,133.9 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(14.9)</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3,121.3 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87.7 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(19.8)</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67.9 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1,001.1 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(390.9)</w:t>
            </w:r>
          </w:p>
        </w:tc>
        <w:tc>
          <w:tcPr>
            <w:tcW w:w="1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610.2 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1,088.8 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257ACB"/>
              </w:rPr>
            </w:pPr>
            <w:r>
              <w:rPr>
                <w:color w:val="257ACB"/>
              </w:rPr>
              <w:t>—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(410.7)</w:t>
            </w:r>
          </w:p>
        </w:tc>
        <w:tc>
          <w:tcPr>
            <w:tcW w:w="1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678.1 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9511" w:type="dxa"/>
        <w:jc w:val="left"/>
        <w:tblInd w:w="0" w:type="dxa"/>
        <w:tblCellMar>
          <w:top w:w="28" w:type="dxa"/>
          <w:left w:w="28" w:type="dxa"/>
          <w:bottom w:w="28" w:type="dxa"/>
          <w:right w:w="28" w:type="dxa"/>
        </w:tblCellMar>
      </w:tblPr>
      <w:tblGrid>
        <w:gridCol w:w="1384"/>
        <w:gridCol w:w="1217"/>
        <w:gridCol w:w="1223"/>
        <w:gridCol w:w="109"/>
        <w:gridCol w:w="109"/>
        <w:gridCol w:w="109"/>
        <w:gridCol w:w="211"/>
        <w:gridCol w:w="766"/>
        <w:gridCol w:w="109"/>
        <w:gridCol w:w="109"/>
        <w:gridCol w:w="109"/>
        <w:gridCol w:w="109"/>
        <w:gridCol w:w="314"/>
        <w:gridCol w:w="604"/>
        <w:gridCol w:w="163"/>
        <w:gridCol w:w="109"/>
        <w:gridCol w:w="109"/>
        <w:gridCol w:w="109"/>
        <w:gridCol w:w="239"/>
        <w:gridCol w:w="717"/>
        <w:gridCol w:w="125"/>
        <w:gridCol w:w="109"/>
        <w:gridCol w:w="109"/>
        <w:gridCol w:w="109"/>
        <w:gridCol w:w="211"/>
        <w:gridCol w:w="766"/>
        <w:gridCol w:w="154"/>
      </w:tblGrid>
      <w:tr>
        <w:trPr/>
        <w:tc>
          <w:tcPr>
            <w:tcW w:w="138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Fair</w:t>
              <w:br/>
              <w:t>Value</w:t>
            </w:r>
          </w:p>
        </w:tc>
      </w:tr>
      <w:tr>
        <w:trPr/>
        <w:tc>
          <w:tcPr>
            <w:tcW w:w="3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Corporate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931.3 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300.3 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Government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542.2 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268.1 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Mortgage and other asset backed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2,199.1 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(20.2)</w:t>
            </w:r>
          </w:p>
        </w:tc>
        <w:tc>
          <w:tcPr>
            <w:tcW w:w="1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2,179.2 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Marketable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equity securities, 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(342.7)</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791.1 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1,133.8 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(342.7)</w:t>
            </w:r>
          </w:p>
        </w:tc>
        <w:tc>
          <w:tcPr>
            <w:tcW w:w="1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791.1 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Summary of Contractual Maturities: Available-for-Sale Debt Securities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estimated fair value and amortized cost of our marketable debt securities classified as available-for-sale by contractual maturity are summarized as follows:</w:t>
      </w:r>
    </w:p>
    <w:tbl>
      <w:tblPr>
        <w:tblW w:w="8981" w:type="dxa"/>
        <w:jc w:val="left"/>
        <w:tblInd w:w="0" w:type="dxa"/>
        <w:tblCellMar>
          <w:top w:w="28" w:type="dxa"/>
          <w:left w:w="28" w:type="dxa"/>
          <w:bottom w:w="28" w:type="dxa"/>
          <w:right w:w="28" w:type="dxa"/>
        </w:tblCellMar>
      </w:tblPr>
      <w:tblGrid>
        <w:gridCol w:w="1189"/>
        <w:gridCol w:w="1045"/>
        <w:gridCol w:w="1050"/>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Estimated</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Estimated</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Amortized</w:t>
              <w:br/>
              <w:t>Cost</w:t>
            </w:r>
          </w:p>
        </w:tc>
      </w:tr>
      <w:tr>
        <w:trPr/>
        <w:tc>
          <w:tcPr>
            <w:tcW w:w="3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Due in one year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2,143.1 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2,151.5 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1,483.3 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Due after one year through five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962.2 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965.8 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703.7 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Due after five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marketable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3,121.3 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3,133.9 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2,179.2 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2,199.1 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average maturity of our marketable debt securities classified as available-for-sale as of March 31, 2023 and December 31, 2022, was approximately 9 months and 8 months, respectively.</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Proceeds from Marketable Debt Securities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proceeds from maturities and sales of marketable debt securities and resulting realized gains and losses are summarized as follows:</w:t>
      </w:r>
    </w:p>
    <w:tbl>
      <w:tblPr>
        <w:tblW w:w="7657" w:type="dxa"/>
        <w:jc w:val="left"/>
        <w:tblInd w:w="0" w:type="dxa"/>
        <w:tblCellMar>
          <w:top w:w="28" w:type="dxa"/>
          <w:left w:w="28" w:type="dxa"/>
          <w:bottom w:w="28" w:type="dxa"/>
          <w:right w:w="28" w:type="dxa"/>
        </w:tblCellMar>
      </w:tblPr>
      <w:tblGrid>
        <w:gridCol w:w="1118"/>
        <w:gridCol w:w="983"/>
        <w:gridCol w:w="988"/>
        <w:gridCol w:w="109"/>
        <w:gridCol w:w="109"/>
        <w:gridCol w:w="109"/>
        <w:gridCol w:w="361"/>
        <w:gridCol w:w="1054"/>
        <w:gridCol w:w="186"/>
        <w:gridCol w:w="186"/>
        <w:gridCol w:w="186"/>
        <w:gridCol w:w="186"/>
        <w:gridCol w:w="361"/>
        <w:gridCol w:w="1054"/>
        <w:gridCol w:w="186"/>
        <w:gridCol w:w="109"/>
        <w:gridCol w:w="109"/>
        <w:gridCol w:w="109"/>
        <w:gridCol w:w="154"/>
      </w:tblGrid>
      <w:tr>
        <w:trPr/>
        <w:tc>
          <w:tcPr>
            <w:tcW w:w="111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Proceeds from maturities and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5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406.7 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5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543.6 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0.7 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Franklin Gothic Book;sans-serif" w:hAnsi="Franklin Gothic Book;sans-serif"/>
          <w:b w:val="false"/>
          <w:color w:val="000000"/>
          <w:sz w:val="20"/>
        </w:rPr>
        <w:t>Realized losses for the three months ended</w:t>
      </w:r>
      <w:r>
        <w:rPr>
          <w:color w:val="000000"/>
        </w:rPr>
        <w:t xml:space="preserve"> </w:t>
      </w:r>
      <w:r>
        <w:rPr>
          <w:rFonts w:ascii="Franklin Gothic Book;sans-serif" w:hAnsi="Franklin Gothic Book;sans-serif"/>
          <w:b w:val="false"/>
          <w:color w:val="000000"/>
          <w:sz w:val="20"/>
        </w:rPr>
        <w:t>March 31, 2023, primarily relate to sales of U.S. treasuries and corporate bonds. Realized losses for the three months ended March 31, 2022, primarily relate to sales of corporate bonds, agency mortgage-backed securities and other asset-backed securities.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Strategic Investments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March 31, 2023 and December 31, 2022, our strategic investment portfolio was comprised of investments totaling $733.6 million and $846.0 million, respectively, which are included in investments and other assets in our condensed consolidated balance sheets.</w:t>
      </w:r>
    </w:p>
    <w:p>
      <w:pPr>
        <w:pStyle w:val="TextBody"/>
        <w:spacing w:lineRule="auto" w:line="288" w:before="120" w:after="283"/>
        <w:rPr/>
      </w:pPr>
      <w:r>
        <w:rPr>
          <w:rFonts w:ascii="Franklin Gothic Book;sans-serif" w:hAnsi="Franklin Gothic Book;sans-serif"/>
          <w:b w:val="false"/>
          <w:color w:val="000000"/>
          <w:sz w:val="20"/>
        </w:rPr>
        <w:t xml:space="preserve">Our strategic investment portfolio includes investments in equity securities of certain biotechnology companies, which are reflected within our disclosures included in </w:t>
      </w:r>
      <w:r>
        <w:rPr>
          <w:rFonts w:ascii="Franklin Gothic Book;sans-serif" w:hAnsi="Franklin Gothic Book;sans-serif"/>
          <w:b w:val="false"/>
          <w:i/>
          <w:color w:val="000000"/>
          <w:sz w:val="20"/>
        </w:rPr>
        <w:t>Note 7, Fair Value Measurements,</w:t>
      </w:r>
      <w:r>
        <w:rPr>
          <w:color w:val="000000"/>
        </w:rPr>
        <w:t xml:space="preserve"> </w:t>
      </w:r>
      <w:r>
        <w:rPr>
          <w:rFonts w:ascii="Franklin Gothic Book;sans-serif" w:hAnsi="Franklin Gothic Book;sans-serif"/>
          <w:b w:val="false"/>
          <w:color w:val="000000"/>
          <w:sz w:val="20"/>
        </w:rPr>
        <w:t xml:space="preserve">to these condensed consolidated financial statements, venture capital funds where the underlying investments are in equity securities of certain biotechnology companies and non-marketable equity securities.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decrease in our strategic investment portfolio as of March 31, 2023, was primarily due to a decrease in the fair value of our investments in Denali, Sangamo and Ionis common stock.</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investments in Denali, Sangamo, Sage and Ionis common stock,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393" w:type="dxa"/>
        <w:jc w:val="left"/>
        <w:tblInd w:w="0" w:type="dxa"/>
        <w:tblCellMar>
          <w:top w:w="28" w:type="dxa"/>
          <w:left w:w="28" w:type="dxa"/>
          <w:bottom w:w="28" w:type="dxa"/>
          <w:right w:w="28" w:type="dxa"/>
        </w:tblCellMar>
      </w:tblPr>
      <w:tblGrid>
        <w:gridCol w:w="401"/>
        <w:gridCol w:w="353"/>
        <w:gridCol w:w="355"/>
        <w:gridCol w:w="962"/>
        <w:gridCol w:w="962"/>
        <w:gridCol w:w="1360"/>
      </w:tblGrid>
      <w:tr>
        <w:trPr/>
        <w:tc>
          <w:tcPr>
            <w:tcW w:w="40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9:</w:t>
            </w:r>
          </w:p>
        </w:tc>
        <w:tc>
          <w:tcPr>
            <w:tcW w:w="3284"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Derivative Instruments</w:t>
            </w:r>
          </w:p>
        </w:tc>
      </w:tr>
    </w:tbl>
    <w:p>
      <w:pPr>
        <w:pStyle w:val="TextBody"/>
        <w:spacing w:lineRule="auto" w:line="288" w:before="12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Foreign Currency Forward Contracts - Hedging Instruments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currency forward contracts and foreign currency options in effect as of March 31, 2023 and December 31, 2022, had durations of 1 to 18 months and 1 to 12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notional amount of foreign currency forward contracts and foreign currency options that were entered into to hedge forecasted revenue and operating expense is summarized as follows:</w:t>
      </w:r>
    </w:p>
    <w:tbl>
      <w:tblPr>
        <w:tblW w:w="9129" w:type="dxa"/>
        <w:jc w:val="left"/>
        <w:tblInd w:w="0" w:type="dxa"/>
        <w:tblCellMar>
          <w:top w:w="28" w:type="dxa"/>
          <w:left w:w="28" w:type="dxa"/>
          <w:bottom w:w="28" w:type="dxa"/>
          <w:right w:w="28" w:type="dxa"/>
        </w:tblCellMar>
      </w:tblPr>
      <w:tblGrid>
        <w:gridCol w:w="1385"/>
        <w:gridCol w:w="1217"/>
        <w:gridCol w:w="1223"/>
        <w:gridCol w:w="109"/>
        <w:gridCol w:w="109"/>
        <w:gridCol w:w="109"/>
        <w:gridCol w:w="414"/>
        <w:gridCol w:w="1503"/>
        <w:gridCol w:w="213"/>
        <w:gridCol w:w="109"/>
        <w:gridCol w:w="109"/>
        <w:gridCol w:w="109"/>
        <w:gridCol w:w="470"/>
        <w:gridCol w:w="1707"/>
        <w:gridCol w:w="343"/>
      </w:tblGrid>
      <w:tr>
        <w:trPr/>
        <w:tc>
          <w:tcPr>
            <w:tcW w:w="138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Notional Amount</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Euro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1,854.8 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1,495.5 </w:t>
            </w:r>
          </w:p>
        </w:tc>
        <w:tc>
          <w:tcPr>
            <w:tcW w:w="3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British pound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124.3 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162.8 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Swiss franc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248.2 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0"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Canadian dollar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43.3 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57.2 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foreign currency contracts and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5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2,270.6 </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1,715.5 </w:t>
            </w:r>
          </w:p>
        </w:tc>
        <w:tc>
          <w:tcPr>
            <w:tcW w:w="3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pre-tax portion of the fair value of these foreign currency forward contracts and foreign currency options that were included in AOCI in total equity is summarized as follows:</w:t>
      </w:r>
    </w:p>
    <w:tbl>
      <w:tblPr>
        <w:tblW w:w="7823" w:type="dxa"/>
        <w:jc w:val="left"/>
        <w:tblInd w:w="0" w:type="dxa"/>
        <w:tblCellMar>
          <w:top w:w="28" w:type="dxa"/>
          <w:left w:w="28" w:type="dxa"/>
          <w:bottom w:w="28" w:type="dxa"/>
          <w:right w:w="28" w:type="dxa"/>
        </w:tblCellMar>
      </w:tblPr>
      <w:tblGrid>
        <w:gridCol w:w="913"/>
        <w:gridCol w:w="802"/>
        <w:gridCol w:w="805"/>
        <w:gridCol w:w="109"/>
        <w:gridCol w:w="109"/>
        <w:gridCol w:w="109"/>
        <w:gridCol w:w="496"/>
        <w:gridCol w:w="1378"/>
        <w:gridCol w:w="256"/>
        <w:gridCol w:w="109"/>
        <w:gridCol w:w="109"/>
        <w:gridCol w:w="109"/>
        <w:gridCol w:w="605"/>
        <w:gridCol w:w="1468"/>
        <w:gridCol w:w="446"/>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19" w:type="dxa"/>
            <w:gridSpan w:val="3"/>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7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8.8 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29.9 </w:t>
            </w:r>
          </w:p>
        </w:tc>
        <w:tc>
          <w:tcPr>
            <w:tcW w:w="4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(39.0)</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(21.3)</w:t>
            </w:r>
          </w:p>
        </w:tc>
        <w:tc>
          <w:tcPr>
            <w:tcW w:w="4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unrealized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37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(30.2)</w:t>
            </w:r>
          </w:p>
        </w:tc>
        <w:tc>
          <w:tcPr>
            <w:tcW w:w="2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4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8.6 </w:t>
            </w:r>
          </w:p>
        </w:tc>
        <w:tc>
          <w:tcPr>
            <w:tcW w:w="4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expect the net unrealized losses of approximately $30.2 million to be settled over the next 18 months, of which approximately $30.0 million of these net unrealized losses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its contractual obligations. As of March 31, 2023 and December 31, 2022, credit risk did not materially change the fair value of our foreign currency forward contracts and forward currency options.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effect of foreign currency forward contracts and forward currency options designated as hedging instruments in our condensed consolidated statements of income:</w:t>
      </w:r>
    </w:p>
    <w:tbl>
      <w:tblPr>
        <w:tblW w:w="10205" w:type="dxa"/>
        <w:jc w:val="left"/>
        <w:tblInd w:w="0" w:type="dxa"/>
        <w:tblCellMar>
          <w:top w:w="28" w:type="dxa"/>
          <w:left w:w="28" w:type="dxa"/>
          <w:bottom w:w="28" w:type="dxa"/>
          <w:right w:w="28" w:type="dxa"/>
        </w:tblCellMar>
      </w:tblPr>
      <w:tblGrid>
        <w:gridCol w:w="515"/>
        <w:gridCol w:w="453"/>
        <w:gridCol w:w="458"/>
        <w:gridCol w:w="181"/>
        <w:gridCol w:w="181"/>
        <w:gridCol w:w="181"/>
        <w:gridCol w:w="353"/>
        <w:gridCol w:w="854"/>
        <w:gridCol w:w="181"/>
        <w:gridCol w:w="181"/>
        <w:gridCol w:w="181"/>
        <w:gridCol w:w="181"/>
        <w:gridCol w:w="353"/>
        <w:gridCol w:w="854"/>
        <w:gridCol w:w="181"/>
        <w:gridCol w:w="109"/>
        <w:gridCol w:w="109"/>
        <w:gridCol w:w="109"/>
        <w:gridCol w:w="468"/>
        <w:gridCol w:w="468"/>
        <w:gridCol w:w="475"/>
        <w:gridCol w:w="156"/>
        <w:gridCol w:w="156"/>
        <w:gridCol w:w="156"/>
        <w:gridCol w:w="302"/>
        <w:gridCol w:w="582"/>
        <w:gridCol w:w="156"/>
        <w:gridCol w:w="156"/>
        <w:gridCol w:w="156"/>
        <w:gridCol w:w="156"/>
        <w:gridCol w:w="302"/>
        <w:gridCol w:w="666"/>
        <w:gridCol w:w="235"/>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528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Reclassified from AOCI into Operating Income (in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Recognized in Operating Income (in millions)</w:t>
            </w:r>
          </w:p>
        </w:tc>
      </w:tr>
      <w:tr>
        <w:trPr/>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r>
      <w:tr>
        <w:trPr/>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5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17.6 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20.9 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58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w:t>
            </w:r>
          </w:p>
        </w:tc>
        <w:tc>
          <w:tcPr>
            <w:tcW w:w="2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2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8779" w:type="dxa"/>
            <w:gridSpan w:val="30"/>
            <w:tcBorders/>
            <w:shd w:fill="auto" w:val="clea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6848" w:type="dxa"/>
            <w:gridSpan w:val="24"/>
            <w:tcBorders/>
            <w:shd w:fill="auto" w:val="clea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Franklin Gothic Book;sans-serif" w:hAnsi="Franklin Gothic Book;sans-serif"/>
          <w:b/>
          <w:color w:val="2573BA"/>
          <w:sz w:val="22"/>
        </w:rPr>
      </w:pPr>
      <w:r>
        <w:rPr>
          <w:rFonts w:ascii="Franklin Gothic Book;sans-serif" w:hAnsi="Franklin Gothic Book;sans-serif"/>
          <w:b/>
          <w:color w:val="2573BA"/>
          <w:sz w:val="22"/>
        </w:rPr>
        <w:t>Net Investment Hedges - Hedging Instruments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w:t>
      </w:r>
    </w:p>
    <w:p>
      <w:pPr>
        <w:pStyle w:val="TextBody"/>
        <w:spacing w:lineRule="auto" w:line="288" w:before="120" w:after="283"/>
        <w:rPr/>
      </w:pPr>
      <w:r>
        <w:rPr>
          <w:rFonts w:ascii="Franklin Gothic Book;sans-serif" w:hAnsi="Franklin Gothic Book;sans-serif"/>
          <w:b w:val="false"/>
          <w:color w:val="000000"/>
          <w:sz w:val="20"/>
        </w:rPr>
        <w:t xml:space="preserve">In order to mitigate the currency fluctuations between the U.S. dollar and South Korean won, we entered into foreign currency forward contracts. These contracts were designated as net investment hedges. </w:t>
      </w:r>
      <w:r>
        <w:rPr>
          <w:rFonts w:ascii="Franklin Gothic Book;sans-serif" w:hAnsi="Franklin Gothic Book;sans-serif"/>
          <w:b w:val="false"/>
          <w:color w:val="000000"/>
          <w:sz w:val="20"/>
          <w:highlight w:val="white"/>
        </w:rPr>
        <w:t>In April 2022 we completed the sale of our 49.9% equity interest in Samsung Bioepis to Samsung BioLogics</w:t>
      </w:r>
      <w:r>
        <w:rPr>
          <w:color w:val="000000"/>
        </w:rPr>
        <w:t xml:space="preserve"> </w:t>
      </w:r>
      <w:r>
        <w:rPr>
          <w:rFonts w:ascii="Franklin Gothic Book;sans-serif" w:hAnsi="Franklin Gothic Book;sans-serif"/>
          <w:b w:val="false"/>
          <w:color w:val="000000"/>
          <w:sz w:val="20"/>
        </w:rPr>
        <w:t xml:space="preserve">and closed these foreign currency forward contracts. Upon completing this sale, the cumulative gains on our net investment hedges of $57.0 million were reclassified from AOCI and reflected within the total pre-tax gain recognized from the sale, which was recorded in other (income) expense, net in our condensed consolidated statements of income. For additional information on the sale of our equity interest in Samsung Bioepis, please read </w:t>
      </w:r>
      <w:r>
        <w:rPr>
          <w:rFonts w:ascii="Franklin Gothic Book;sans-serif" w:hAnsi="Franklin Gothic Book;sans-serif"/>
          <w:b w:val="false"/>
          <w:i/>
          <w:color w:val="000000"/>
          <w:sz w:val="20"/>
        </w:rPr>
        <w:t xml:space="preserve">Note 2, Dispositions, </w:t>
      </w:r>
      <w:r>
        <w:rPr>
          <w:rFonts w:ascii="Franklin Gothic Book;sans-serif" w:hAnsi="Franklin Gothic Book;sans-serif"/>
          <w:b w:val="false"/>
          <w:color w:val="000000"/>
          <w:sz w:val="20"/>
        </w:rPr>
        <w:t>to these condensed consolidated financial statements.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effect of our net investment hedges in our condensed consolidated financial statements:</w:t>
      </w:r>
    </w:p>
    <w:tbl>
      <w:tblPr>
        <w:tblW w:w="10205" w:type="dxa"/>
        <w:jc w:val="center"/>
        <w:tblInd w:w="0" w:type="dxa"/>
        <w:tblCellMar>
          <w:top w:w="28" w:type="dxa"/>
          <w:left w:w="28" w:type="dxa"/>
          <w:bottom w:w="28" w:type="dxa"/>
          <w:right w:w="28" w:type="dxa"/>
        </w:tblCellMar>
      </w:tblPr>
      <w:tblGrid>
        <w:gridCol w:w="582"/>
        <w:gridCol w:w="413"/>
        <w:gridCol w:w="413"/>
        <w:gridCol w:w="413"/>
        <w:gridCol w:w="418"/>
        <w:gridCol w:w="109"/>
        <w:gridCol w:w="109"/>
        <w:gridCol w:w="109"/>
        <w:gridCol w:w="323"/>
        <w:gridCol w:w="783"/>
        <w:gridCol w:w="166"/>
        <w:gridCol w:w="166"/>
        <w:gridCol w:w="166"/>
        <w:gridCol w:w="166"/>
        <w:gridCol w:w="700"/>
        <w:gridCol w:w="385"/>
        <w:gridCol w:w="232"/>
        <w:gridCol w:w="109"/>
        <w:gridCol w:w="167"/>
        <w:gridCol w:w="167"/>
        <w:gridCol w:w="167"/>
        <w:gridCol w:w="167"/>
        <w:gridCol w:w="323"/>
        <w:gridCol w:w="648"/>
        <w:gridCol w:w="168"/>
        <w:gridCol w:w="109"/>
        <w:gridCol w:w="109"/>
        <w:gridCol w:w="109"/>
        <w:gridCol w:w="320"/>
        <w:gridCol w:w="320"/>
        <w:gridCol w:w="321"/>
        <w:gridCol w:w="109"/>
        <w:gridCol w:w="109"/>
        <w:gridCol w:w="109"/>
        <w:gridCol w:w="109"/>
        <w:gridCol w:w="109"/>
        <w:gridCol w:w="211"/>
        <w:gridCol w:w="427"/>
        <w:gridCol w:w="165"/>
      </w:tblGrid>
      <w:tr>
        <w:trPr/>
        <w:tc>
          <w:tcPr>
            <w:tcW w:w="58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569" w:type="dxa"/>
            <w:gridSpan w:val="2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2636" w:type="dxa"/>
            <w:gridSpan w:val="14"/>
            <w:tcBorders/>
            <w:shd w:fill="auto" w:val="clear"/>
          </w:tcPr>
          <w:p>
            <w:pPr>
              <w:pStyle w:val="TableContents"/>
              <w:spacing w:before="0" w:after="283"/>
              <w:rPr>
                <w:sz w:val="4"/>
                <w:szCs w:val="4"/>
              </w:rPr>
            </w:pPr>
            <w:r>
              <w:rPr>
                <w:sz w:val="4"/>
                <w:szCs w:val="4"/>
              </w:rPr>
            </w:r>
          </w:p>
        </w:tc>
      </w:tr>
      <w:tr>
        <w:trPr/>
        <w:tc>
          <w:tcPr>
            <w:tcW w:w="2239"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Recognized in Other Comprehensive Income (Effective Portion) (in millions)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 xml:space="preserve">Recognized in Other Comprehensive Income (Amounts Excluded from Effectiveness Testing) </w:t>
              <w:br/>
              <w:t>(in millions)</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Net Gains/(Losses)</w:t>
              <w:br/>
              <w:t xml:space="preserve">Recognized in Net Income </w:t>
              <w:br/>
              <w:t>(Amounts Excluded from Effectiveness Testing) (in millions)</w:t>
            </w:r>
          </w:p>
        </w:tc>
        <w:tc>
          <w:tcPr>
            <w:tcW w:w="2636" w:type="dxa"/>
            <w:gridSpan w:val="14"/>
            <w:tcBorders/>
            <w:shd w:fill="auto" w:val="clear"/>
          </w:tcPr>
          <w:p>
            <w:pPr>
              <w:pStyle w:val="TableContents"/>
              <w:spacing w:before="0" w:after="283"/>
              <w:rPr>
                <w:sz w:val="4"/>
                <w:szCs w:val="4"/>
              </w:rPr>
            </w:pPr>
            <w:r>
              <w:rPr>
                <w:sz w:val="4"/>
                <w:szCs w:val="4"/>
              </w:rPr>
            </w:r>
          </w:p>
        </w:tc>
      </w:tr>
      <w:tr>
        <w:trPr/>
        <w:tc>
          <w:tcPr>
            <w:tcW w:w="14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Location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r>
      <w:tr>
        <w:trPr/>
        <w:tc>
          <w:tcPr>
            <w:tcW w:w="14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Gains (losses) on net investment hedges</w:t>
            </w:r>
            <w:r>
              <w:rPr>
                <w:rFonts w:ascii="Franklin Gothic Book;sans-serif" w:hAnsi="Franklin Gothic Book;sans-serif"/>
                <w:b w:val="false"/>
                <w:color w:val="000000"/>
                <w:sz w:val="10"/>
              </w:rPr>
              <w:t>(1)</w:t>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8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10.1 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Gains (losses) on net investment hedges</w:t>
            </w:r>
            <w:r>
              <w:rPr>
                <w:rFonts w:ascii="Franklin Gothic Book;sans-serif" w:hAnsi="Franklin Gothic Book;sans-serif"/>
                <w:b w:val="false"/>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w:t>
            </w:r>
          </w:p>
          <w:p>
            <w:pPr>
              <w:pStyle w:val="TableContents"/>
              <w:spacing w:lineRule="auto" w:line="240" w:before="0" w:after="0"/>
              <w:jc w:val="left"/>
              <w:rPr/>
            </w:pPr>
            <w:r>
              <w:rPr>
                <w:rFonts w:ascii="Franklin Gothic Book;sans-serif" w:hAnsi="Franklin Gothic Book;sans-serif"/>
                <w:b w:val="false"/>
                <w:color w:val="000000"/>
                <w:sz w:val="16"/>
              </w:rPr>
              <w:t>expense</w:t>
            </w:r>
            <w:r>
              <w:rPr>
                <w:rFonts w:ascii="Franklin Gothic Book;sans-serif" w:hAnsi="Franklin Gothic Book;sans-serif"/>
                <w:b w:val="false"/>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4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8" w:type="dxa"/>
            <w:gridSpan w:val="3"/>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1408" w:type="dxa"/>
            <w:gridSpan w:val="3"/>
            <w:tcBorders/>
            <w:shd w:fill="auto" w:val="clear"/>
            <w:vAlign w:val="center"/>
          </w:tcPr>
          <w:p>
            <w:pPr>
              <w:pStyle w:val="TableContents"/>
              <w:spacing w:before="0" w:after="283"/>
              <w:rPr>
                <w:sz w:val="4"/>
                <w:szCs w:val="4"/>
              </w:rPr>
            </w:pPr>
            <w:r>
              <w:rPr>
                <w:sz w:val="4"/>
                <w:szCs w:val="4"/>
              </w:rPr>
            </w:r>
          </w:p>
        </w:tc>
        <w:tc>
          <w:tcPr>
            <w:tcW w:w="8797" w:type="dxa"/>
            <w:gridSpan w:val="36"/>
            <w:tcBorders/>
            <w:shd w:fill="auto" w:val="clear"/>
          </w:tcPr>
          <w:p>
            <w:pPr>
              <w:pStyle w:val="TableContents"/>
              <w:spacing w:before="0" w:after="283"/>
              <w:rPr>
                <w:sz w:val="4"/>
                <w:szCs w:val="4"/>
              </w:rPr>
            </w:pPr>
            <w:r>
              <w:rPr>
                <w:sz w:val="4"/>
                <w:szCs w:val="4"/>
              </w:rPr>
            </w:r>
          </w:p>
        </w:tc>
      </w:tr>
      <w:tr>
        <w:trPr/>
        <w:tc>
          <w:tcPr>
            <w:tcW w:w="1408" w:type="dxa"/>
            <w:gridSpan w:val="3"/>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6367" w:type="dxa"/>
            <w:gridSpan w:val="28"/>
            <w:tcBorders/>
            <w:shd w:fill="auto" w:val="clear"/>
          </w:tcPr>
          <w:p>
            <w:pPr>
              <w:pStyle w:val="TableContents"/>
              <w:spacing w:before="0" w:after="283"/>
              <w:rPr>
                <w:sz w:val="4"/>
                <w:szCs w:val="4"/>
              </w:rPr>
            </w:pPr>
            <w:r>
              <w:rPr>
                <w:sz w:val="4"/>
                <w:szCs w:val="4"/>
              </w:rPr>
            </w:r>
          </w:p>
        </w:tc>
      </w:tr>
      <w:tr>
        <w:trPr/>
        <w:tc>
          <w:tcPr>
            <w:tcW w:w="1408" w:type="dxa"/>
            <w:gridSpan w:val="3"/>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r>
        <w:trPr/>
        <w:tc>
          <w:tcPr>
            <w:tcW w:w="1408" w:type="dxa"/>
            <w:gridSpan w:val="3"/>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01"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Franklin Gothic Book;sans-serif" w:hAnsi="Franklin Gothic Book;sans-serif"/>
          <w:b w:val="false"/>
          <w:i/>
          <w:color w:val="000000"/>
          <w:sz w:val="16"/>
        </w:rPr>
        <w:t xml:space="preserve">Note 2, Dispositions, </w:t>
      </w:r>
      <w:r>
        <w:rPr>
          <w:rFonts w:ascii="Franklin Gothic Book;sans-serif" w:hAnsi="Franklin Gothic Book;sans-serif"/>
          <w:b w:val="false"/>
          <w:color w:val="000000"/>
          <w:sz w:val="16"/>
        </w:rPr>
        <w:t>to these condensed consolidated financial statements.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Samsung Bioepis, please read </w:t>
      </w:r>
      <w:r>
        <w:rPr>
          <w:rFonts w:ascii="Franklin Gothic Book;sans-serif" w:hAnsi="Franklin Gothic Book;sans-serif"/>
          <w:b w:val="false"/>
          <w:i/>
          <w:color w:val="000000"/>
          <w:sz w:val="20"/>
        </w:rPr>
        <w:t>Note 16, Collaborative and Other Relationships,</w:t>
      </w:r>
      <w:r>
        <w:rPr>
          <w:color w:val="000000"/>
        </w:rPr>
        <w:t xml:space="preserve"> </w:t>
      </w:r>
      <w:r>
        <w:rPr>
          <w:rFonts w:ascii="Franklin Gothic Book;sans-serif" w:hAnsi="Franklin Gothic Book;sans-serif"/>
          <w:b w:val="false"/>
          <w:color w:val="000000"/>
          <w:sz w:val="20"/>
        </w:rPr>
        <w:t>to these condensed consolidated financial statements.</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Foreign Currency Forward Contracts - Other Derivative Instruments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enter into other foreign currency forward contracts, usually with durations of one month or less, to mitigate the foreign currency risk related to certain balance sheet positions. We have not elected hedge accounting for these transactions.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aggregate notional amount of these outstanding foreign currency forward contracts was $1,436.3 million and $1,238.8 million as of March 31, 2023 and December 31, 2022, respectively. Net gains of $1.8 million and net losses of $12.2 million related to these contracts were recorded as a component of other (income) expense, net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Summary of Derivative Instruments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pStyle w:val="TextBody"/>
        <w:spacing w:lineRule="auto" w:line="288" w:before="120" w:after="60"/>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fair value and presentation in our condensed consolidated balance sheets of our outstanding derivative instruments, including those designated as hedging instruments:</w:t>
      </w:r>
    </w:p>
    <w:tbl>
      <w:tblPr>
        <w:tblW w:w="10205" w:type="dxa"/>
        <w:jc w:val="left"/>
        <w:tblInd w:w="0" w:type="dxa"/>
        <w:tblCellMar>
          <w:top w:w="28" w:type="dxa"/>
          <w:left w:w="28" w:type="dxa"/>
          <w:bottom w:w="28" w:type="dxa"/>
          <w:right w:w="28" w:type="dxa"/>
        </w:tblCellMar>
      </w:tblPr>
      <w:tblGrid>
        <w:gridCol w:w="937"/>
        <w:gridCol w:w="823"/>
        <w:gridCol w:w="811"/>
        <w:gridCol w:w="109"/>
        <w:gridCol w:w="109"/>
        <w:gridCol w:w="109"/>
        <w:gridCol w:w="813"/>
        <w:gridCol w:w="782"/>
        <w:gridCol w:w="784"/>
        <w:gridCol w:w="109"/>
        <w:gridCol w:w="109"/>
        <w:gridCol w:w="109"/>
        <w:gridCol w:w="495"/>
        <w:gridCol w:w="1199"/>
        <w:gridCol w:w="255"/>
        <w:gridCol w:w="109"/>
        <w:gridCol w:w="109"/>
        <w:gridCol w:w="109"/>
        <w:gridCol w:w="556"/>
        <w:gridCol w:w="1351"/>
        <w:gridCol w:w="418"/>
      </w:tblGrid>
      <w:tr>
        <w:trPr/>
        <w:tc>
          <w:tcPr>
            <w:tcW w:w="937"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2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Cash Flow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Asset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9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12.3 </w:t>
            </w:r>
          </w:p>
        </w:tc>
        <w:tc>
          <w:tcPr>
            <w:tcW w:w="2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37.9 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Investments and other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2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Liability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31.9 </w:t>
            </w:r>
          </w:p>
        </w:tc>
        <w:tc>
          <w:tcPr>
            <w:tcW w:w="2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18.4 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long-term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0.3 </w:t>
            </w:r>
          </w:p>
        </w:tc>
        <w:tc>
          <w:tcPr>
            <w:tcW w:w="2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5" w:type="dxa"/>
            <w:gridSpan w:val="3"/>
            <w:tcBorders/>
            <w:shd w:fill="auto" w:val="cle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Other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Asset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22.7 </w:t>
            </w:r>
          </w:p>
        </w:tc>
        <w:tc>
          <w:tcPr>
            <w:tcW w:w="2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25.1 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Liability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Accrued expense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7.6 </w:t>
            </w:r>
          </w:p>
        </w:tc>
        <w:tc>
          <w:tcPr>
            <w:tcW w:w="2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7.6 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610" w:type="dxa"/>
        <w:jc w:val="left"/>
        <w:tblInd w:w="0" w:type="dxa"/>
        <w:tblCellMar>
          <w:top w:w="28" w:type="dxa"/>
          <w:left w:w="28" w:type="dxa"/>
          <w:bottom w:w="28" w:type="dxa"/>
          <w:right w:w="28" w:type="dxa"/>
        </w:tblCellMar>
      </w:tblPr>
      <w:tblGrid>
        <w:gridCol w:w="461"/>
        <w:gridCol w:w="406"/>
        <w:gridCol w:w="408"/>
        <w:gridCol w:w="1270"/>
        <w:gridCol w:w="1270"/>
        <w:gridCol w:w="1795"/>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10:</w:t>
            </w:r>
          </w:p>
        </w:tc>
        <w:tc>
          <w:tcPr>
            <w:tcW w:w="4335"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Property, Plant and Equipment</w:t>
            </w:r>
          </w:p>
        </w:tc>
      </w:tr>
    </w:tbl>
    <w:p>
      <w:pPr>
        <w:pStyle w:val="TextBody"/>
        <w:spacing w:lineRule="auto" w:line="288" w:before="120" w:after="283"/>
        <w:ind w:left="0" w:right="0" w:hanging="540"/>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are recorded at historical cost, net of accumulated depreciation. Accumulated depreciation on property, plant and equipment was $2,218.2 million and $2,165.7 million as of March 31, 2023 and December 31, 2022, respectively. For the three months ended March 31, 2023, depreciation expense totaled $62.1 million compared to $76.3 million in the prior year comparative period.</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Solothurn, Switzerland Manufacturing Facility</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order to support our future growth and drug development pipeline, we are building a large-scale biologics manufacturing facility in Solothurn, Switzerland. Upon completion, this facility will include 393,000 square feet related to a large-scale biologics manufacturing facility, 290,000 square feet of warehouse, utilities and support space and 51,000 square feet of administrative space. As of March 31, 2023 and December 31, 2022, we had approximately $721.2 million and $711.1 million, respectively, capitalized as construction in progress related to this facility. Solothurn has been approved for the manufacture of ADUHELM and LEQEMBI by the FDA. In the second quarter of 2021 a portion of the Solothurn manufacturing facility was placed into service and we estimate the second manufacturing suite will be operational by the end of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266" w:type="dxa"/>
        <w:jc w:val="left"/>
        <w:tblInd w:w="0" w:type="dxa"/>
        <w:tblCellMar>
          <w:top w:w="28" w:type="dxa"/>
          <w:left w:w="28" w:type="dxa"/>
          <w:bottom w:w="28" w:type="dxa"/>
          <w:right w:w="28" w:type="dxa"/>
        </w:tblCellMar>
      </w:tblPr>
      <w:tblGrid>
        <w:gridCol w:w="461"/>
        <w:gridCol w:w="406"/>
        <w:gridCol w:w="408"/>
        <w:gridCol w:w="290"/>
        <w:gridCol w:w="290"/>
        <w:gridCol w:w="411"/>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11:</w:t>
            </w:r>
          </w:p>
        </w:tc>
        <w:tc>
          <w:tcPr>
            <w:tcW w:w="991"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Equity</w:t>
            </w:r>
          </w:p>
        </w:tc>
      </w:tr>
    </w:tbl>
    <w:p>
      <w:pPr>
        <w:pStyle w:val="TextBody"/>
        <w:spacing w:lineRule="auto" w:line="288" w:before="12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Share Repurchases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There were no share repurchases of our common stock during the three months ended March 31, 2023 and 2022. Approximately $2.1 billion remained available under our 2020 Share Repurchase Program as of March 31, 2023.</w:t>
      </w:r>
    </w:p>
    <w:p>
      <w:pPr>
        <w:pStyle w:val="TextBody"/>
        <w:spacing w:lineRule="auto" w:line="288" w:before="120" w:after="283"/>
        <w:rPr>
          <w:rFonts w:ascii="Franklin Gothic Book;sans-serif" w:hAnsi="Franklin Gothic Book;sans-serif"/>
          <w:b/>
          <w:color w:val="0070C0"/>
          <w:sz w:val="22"/>
        </w:rPr>
      </w:pPr>
      <w:r>
        <w:rPr>
          <w:rFonts w:ascii="Franklin Gothic Book;sans-serif" w:hAnsi="Franklin Gothic Book;sans-serif"/>
          <w:b/>
          <w:color w:val="0070C0"/>
          <w:sz w:val="22"/>
        </w:rPr>
        <w:t>Accumulated Other Comprehensive Income (Loss)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tables summarize the changes in AOCI, net of tax by component:</w:t>
      </w:r>
    </w:p>
    <w:tbl>
      <w:tblPr>
        <w:tblW w:w="10205" w:type="dxa"/>
        <w:jc w:val="left"/>
        <w:tblInd w:w="0" w:type="dxa"/>
        <w:tblCellMar>
          <w:top w:w="28" w:type="dxa"/>
          <w:left w:w="28" w:type="dxa"/>
          <w:bottom w:w="28" w:type="dxa"/>
          <w:right w:w="28" w:type="dxa"/>
        </w:tblCellMar>
      </w:tblPr>
      <w:tblGrid>
        <w:gridCol w:w="969"/>
        <w:gridCol w:w="362"/>
        <w:gridCol w:w="361"/>
        <w:gridCol w:w="109"/>
        <w:gridCol w:w="109"/>
        <w:gridCol w:w="109"/>
        <w:gridCol w:w="352"/>
        <w:gridCol w:w="881"/>
        <w:gridCol w:w="183"/>
        <w:gridCol w:w="109"/>
        <w:gridCol w:w="109"/>
        <w:gridCol w:w="109"/>
        <w:gridCol w:w="338"/>
        <w:gridCol w:w="846"/>
        <w:gridCol w:w="176"/>
        <w:gridCol w:w="109"/>
        <w:gridCol w:w="109"/>
        <w:gridCol w:w="109"/>
        <w:gridCol w:w="109"/>
        <w:gridCol w:w="109"/>
        <w:gridCol w:w="416"/>
        <w:gridCol w:w="832"/>
        <w:gridCol w:w="217"/>
        <w:gridCol w:w="109"/>
        <w:gridCol w:w="109"/>
        <w:gridCol w:w="109"/>
        <w:gridCol w:w="313"/>
        <w:gridCol w:w="937"/>
        <w:gridCol w:w="163"/>
        <w:gridCol w:w="109"/>
        <w:gridCol w:w="109"/>
        <w:gridCol w:w="109"/>
        <w:gridCol w:w="211"/>
        <w:gridCol w:w="634"/>
        <w:gridCol w:w="161"/>
      </w:tblGrid>
      <w:tr>
        <w:trPr/>
        <w:tc>
          <w:tcPr>
            <w:tcW w:w="96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2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March 31, 2023</w:t>
            </w:r>
          </w:p>
        </w:tc>
        <w:tc>
          <w:tcPr>
            <w:tcW w:w="1333" w:type="dxa"/>
            <w:gridSpan w:val="6"/>
            <w:tcBorders/>
            <w:shd w:fill="auto" w:val="clea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Securities Available for Sale,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 Translation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(15.7)</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15.1 </w:t>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3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(163.2)</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(164.9)</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(20.3)</w:t>
            </w:r>
          </w:p>
        </w:tc>
        <w:tc>
          <w:tcPr>
            <w:tcW w:w="1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0.5 </w:t>
            </w:r>
          </w:p>
        </w:tc>
        <w:tc>
          <w:tcPr>
            <w:tcW w:w="2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22.1 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(15.1)</w:t>
            </w:r>
          </w:p>
        </w:tc>
        <w:tc>
          <w:tcPr>
            <w:tcW w:w="1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2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(35.4)</w:t>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22.1 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(7.1)</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(20.3)</w:t>
            </w:r>
          </w:p>
        </w:tc>
        <w:tc>
          <w:tcPr>
            <w:tcW w:w="1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w:t>
            </w:r>
          </w:p>
        </w:tc>
        <w:tc>
          <w:tcPr>
            <w:tcW w:w="2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(141.1)</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(172.0)</w:t>
            </w:r>
          </w:p>
        </w:tc>
        <w:tc>
          <w:tcPr>
            <w:tcW w:w="16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913"/>
        <w:gridCol w:w="282"/>
        <w:gridCol w:w="281"/>
        <w:gridCol w:w="109"/>
        <w:gridCol w:w="109"/>
        <w:gridCol w:w="109"/>
        <w:gridCol w:w="271"/>
        <w:gridCol w:w="677"/>
        <w:gridCol w:w="141"/>
        <w:gridCol w:w="109"/>
        <w:gridCol w:w="109"/>
        <w:gridCol w:w="109"/>
        <w:gridCol w:w="275"/>
        <w:gridCol w:w="668"/>
        <w:gridCol w:w="143"/>
        <w:gridCol w:w="109"/>
        <w:gridCol w:w="109"/>
        <w:gridCol w:w="109"/>
        <w:gridCol w:w="290"/>
        <w:gridCol w:w="705"/>
        <w:gridCol w:w="151"/>
        <w:gridCol w:w="109"/>
        <w:gridCol w:w="109"/>
        <w:gridCol w:w="109"/>
        <w:gridCol w:w="286"/>
        <w:gridCol w:w="714"/>
        <w:gridCol w:w="149"/>
        <w:gridCol w:w="109"/>
        <w:gridCol w:w="109"/>
        <w:gridCol w:w="109"/>
        <w:gridCol w:w="286"/>
        <w:gridCol w:w="858"/>
        <w:gridCol w:w="149"/>
        <w:gridCol w:w="109"/>
        <w:gridCol w:w="109"/>
        <w:gridCol w:w="109"/>
        <w:gridCol w:w="211"/>
        <w:gridCol w:w="631"/>
        <w:gridCol w:w="162"/>
      </w:tblGrid>
      <w:tr>
        <w:trPr/>
        <w:tc>
          <w:tcPr>
            <w:tcW w:w="91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2"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March 31, 2022</w:t>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Securities Available for Sale,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Cash Flow Hedges,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Franklin Gothic Book;sans-serif" w:hAnsi="Franklin Gothic Book;sans-serif"/>
                <w:b/>
                <w:color w:val="000000"/>
                <w:sz w:val="16"/>
              </w:rPr>
              <w:t>Gains (Losses) on Net Investment Hedges, Net of Tax</w:t>
            </w:r>
            <w:r>
              <w:rPr>
                <w:rFonts w:ascii="Franklin Gothic Book;sans-serif" w:hAnsi="Franklin Gothic Book;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Unrealized Gains (Losses) on Pension Benefit Obligation, Net of Tax</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Currency Translation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r>
      <w:tr>
        <w:trPr/>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53.8 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25.5 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(44.8)</w:t>
            </w:r>
          </w:p>
        </w:tc>
        <w:tc>
          <w:tcPr>
            <w:tcW w:w="1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(139.0)</w:t>
            </w:r>
          </w:p>
        </w:tc>
        <w:tc>
          <w:tcPr>
            <w:tcW w:w="1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(106.7)</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comprehensive income (loss) before reclassifications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(10.2)</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34.4 </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(21.8)</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8.4 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Amounts reclassified from AOCI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(18.5)</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current period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0.9 </w:t>
            </w:r>
          </w:p>
        </w:tc>
        <w:tc>
          <w:tcPr>
            <w:tcW w:w="1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(21.8)</w:t>
            </w:r>
          </w:p>
        </w:tc>
        <w:tc>
          <w:tcPr>
            <w:tcW w:w="1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(8.5)</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Balance,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7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(11.9)</w:t>
            </w:r>
          </w:p>
        </w:tc>
        <w:tc>
          <w:tcPr>
            <w:tcW w:w="1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69.7 </w:t>
            </w:r>
          </w:p>
        </w:tc>
        <w:tc>
          <w:tcPr>
            <w:tcW w:w="1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31.7 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(43.9)</w:t>
            </w:r>
          </w:p>
        </w:tc>
        <w:tc>
          <w:tcPr>
            <w:tcW w:w="1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(160.8)</w:t>
            </w:r>
          </w:p>
        </w:tc>
        <w:tc>
          <w:tcPr>
            <w:tcW w:w="1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(115.2)</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Franklin Gothic Book;sans-serif" w:hAnsi="Franklin Gothic Book;sans-serif"/>
          <w:b w:val="false"/>
          <w:i/>
          <w:color w:val="000000"/>
          <w:sz w:val="16"/>
        </w:rPr>
        <w:t xml:space="preserve">Note 2, Dispositions, </w:t>
      </w:r>
      <w:r>
        <w:rPr>
          <w:rFonts w:ascii="Franklin Gothic Book;sans-serif" w:hAnsi="Franklin Gothic Book;sans-serif"/>
          <w:b w:val="false"/>
          <w:color w:val="000000"/>
          <w:sz w:val="16"/>
        </w:rPr>
        <w:t>to these condensed consolidated financial statements.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amounts reclassified from AOCI:</w:t>
      </w:r>
    </w:p>
    <w:tbl>
      <w:tblPr>
        <w:tblW w:w="10205" w:type="dxa"/>
        <w:jc w:val="left"/>
        <w:tblInd w:w="0" w:type="dxa"/>
        <w:tblCellMar>
          <w:top w:w="28" w:type="dxa"/>
          <w:left w:w="28" w:type="dxa"/>
          <w:bottom w:w="28" w:type="dxa"/>
          <w:right w:w="28" w:type="dxa"/>
        </w:tblCellMar>
      </w:tblPr>
      <w:tblGrid>
        <w:gridCol w:w="1179"/>
        <w:gridCol w:w="749"/>
        <w:gridCol w:w="753"/>
        <w:gridCol w:w="109"/>
        <w:gridCol w:w="109"/>
        <w:gridCol w:w="109"/>
        <w:gridCol w:w="303"/>
        <w:gridCol w:w="736"/>
        <w:gridCol w:w="156"/>
        <w:gridCol w:w="156"/>
        <w:gridCol w:w="156"/>
        <w:gridCol w:w="156"/>
        <w:gridCol w:w="303"/>
        <w:gridCol w:w="736"/>
        <w:gridCol w:w="156"/>
        <w:gridCol w:w="127"/>
        <w:gridCol w:w="127"/>
        <w:gridCol w:w="127"/>
        <w:gridCol w:w="109"/>
        <w:gridCol w:w="1842"/>
        <w:gridCol w:w="109"/>
        <w:gridCol w:w="109"/>
        <w:gridCol w:w="558"/>
        <w:gridCol w:w="505"/>
        <w:gridCol w:w="726"/>
      </w:tblGrid>
      <w:tr>
        <w:trPr/>
        <w:tc>
          <w:tcPr>
            <w:tcW w:w="117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r>
      <w:tr>
        <w:trPr/>
        <w:tc>
          <w:tcPr>
            <w:tcW w:w="26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Amounts Reclassified from AOCI</w:t>
            </w:r>
          </w:p>
        </w:tc>
        <w:tc>
          <w:tcPr>
            <w:tcW w:w="109" w:type="dxa"/>
            <w:tcBorders/>
            <w:shd w:fill="auto" w:val="clear"/>
            <w:vAlign w:val="center"/>
          </w:tcPr>
          <w:p>
            <w:pPr>
              <w:pStyle w:val="TableContents"/>
              <w:spacing w:before="0" w:after="283"/>
              <w:rPr>
                <w:sz w:val="4"/>
                <w:szCs w:val="4"/>
              </w:rPr>
            </w:pPr>
            <w:r>
              <w:rPr>
                <w:sz w:val="4"/>
                <w:szCs w:val="4"/>
              </w:rPr>
            </w:r>
          </w:p>
        </w:tc>
        <w:tc>
          <w:tcPr>
            <w:tcW w:w="1842" w:type="dxa"/>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Income Statement Location</w:t>
            </w:r>
          </w:p>
        </w:tc>
        <w:tc>
          <w:tcPr>
            <w:tcW w:w="2007" w:type="dxa"/>
            <w:gridSpan w:val="5"/>
            <w:tcBorders/>
            <w:shd w:fill="auto" w:val="clear"/>
          </w:tcPr>
          <w:p>
            <w:pPr>
              <w:pStyle w:val="TableContents"/>
              <w:spacing w:before="0" w:after="283"/>
              <w:rPr>
                <w:sz w:val="4"/>
                <w:szCs w:val="4"/>
              </w:rPr>
            </w:pPr>
            <w:r>
              <w:rPr>
                <w:sz w:val="4"/>
                <w:szCs w:val="4"/>
              </w:rPr>
            </w:r>
          </w:p>
        </w:tc>
      </w:tr>
      <w:tr>
        <w:trPr/>
        <w:tc>
          <w:tcPr>
            <w:tcW w:w="26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898" w:type="dxa"/>
            <w:gridSpan w:val="4"/>
            <w:tcBorders/>
            <w:shd w:fill="auto" w:val="clear"/>
          </w:tcPr>
          <w:p>
            <w:pPr>
              <w:pStyle w:val="TableContents"/>
              <w:spacing w:before="0" w:after="283"/>
              <w:rPr>
                <w:sz w:val="4"/>
                <w:szCs w:val="4"/>
              </w:rPr>
            </w:pPr>
            <w:r>
              <w:rPr>
                <w:sz w:val="4"/>
                <w:szCs w:val="4"/>
              </w:rPr>
            </w:r>
          </w:p>
        </w:tc>
      </w:tr>
      <w:tr>
        <w:trPr/>
        <w:tc>
          <w:tcPr>
            <w:tcW w:w="26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r>
      <w:tr>
        <w:trPr/>
        <w:tc>
          <w:tcPr>
            <w:tcW w:w="2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securities available for sale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w:t>
            </w:r>
          </w:p>
        </w:tc>
      </w:tr>
      <w:tr>
        <w:trPr/>
        <w:tc>
          <w:tcPr>
            <w:tcW w:w="2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r>
      <w:tr>
        <w:trPr/>
        <w:tc>
          <w:tcPr>
            <w:tcW w:w="2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17.6 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w:t>
            </w:r>
          </w:p>
        </w:tc>
      </w:tr>
      <w:tr>
        <w:trPr/>
        <w:tc>
          <w:tcPr>
            <w:tcW w:w="2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expense</w:t>
            </w:r>
          </w:p>
        </w:tc>
      </w:tr>
      <w:tr>
        <w:trPr/>
        <w:tc>
          <w:tcPr>
            <w:tcW w:w="2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w:t>
            </w:r>
          </w:p>
        </w:tc>
      </w:tr>
      <w:tr>
        <w:trPr/>
        <w:tc>
          <w:tcPr>
            <w:tcW w:w="2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r>
      <w:tr>
        <w:trPr/>
        <w:tc>
          <w:tcPr>
            <w:tcW w:w="2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Gains (losses) on net investment hedges</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w:t>
            </w:r>
          </w:p>
        </w:tc>
      </w:tr>
      <w:tr>
        <w:trPr/>
        <w:tc>
          <w:tcPr>
            <w:tcW w:w="2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r>
      <w:tr>
        <w:trPr/>
        <w:tc>
          <w:tcPr>
            <w:tcW w:w="2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r>
      <w:tr>
        <w:trPr/>
        <w:tc>
          <w:tcPr>
            <w:tcW w:w="2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vAlign w:val="center"/>
          </w:tcPr>
          <w:p>
            <w:pPr>
              <w:pStyle w:val="TableContents"/>
              <w:spacing w:before="0" w:after="283"/>
              <w:rPr>
                <w:sz w:val="4"/>
                <w:szCs w:val="4"/>
              </w:rPr>
            </w:pPr>
            <w:r>
              <w:rPr>
                <w:sz w:val="4"/>
                <w:szCs w:val="4"/>
              </w:rPr>
            </w:r>
          </w:p>
        </w:tc>
      </w:tr>
      <w:tr>
        <w:trPr/>
        <w:tc>
          <w:tcPr>
            <w:tcW w:w="26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reclassifications, net of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16.9 </w:t>
            </w:r>
          </w:p>
        </w:tc>
        <w:tc>
          <w:tcPr>
            <w:tcW w:w="1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Franklin Gothic Book;sans-serif" w:hAnsi="Franklin Gothic Book;sans-serif"/>
          <w:b w:val="false"/>
          <w:i/>
          <w:color w:val="000000"/>
          <w:sz w:val="16"/>
        </w:rPr>
        <w:t xml:space="preserve">Note 2, Dispositions, </w:t>
      </w:r>
      <w:r>
        <w:rPr>
          <w:rFonts w:ascii="Franklin Gothic Book;sans-serif" w:hAnsi="Franklin Gothic Book;sans-serif"/>
          <w:b w:val="false"/>
          <w:color w:val="000000"/>
          <w:sz w:val="16"/>
        </w:rPr>
        <w:t>to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20" w:type="dxa"/>
        <w:jc w:val="left"/>
        <w:tblInd w:w="0" w:type="dxa"/>
        <w:tblCellMar>
          <w:top w:w="28" w:type="dxa"/>
          <w:left w:w="28" w:type="dxa"/>
          <w:bottom w:w="28" w:type="dxa"/>
          <w:right w:w="28" w:type="dxa"/>
        </w:tblCellMar>
      </w:tblPr>
      <w:tblGrid>
        <w:gridCol w:w="461"/>
        <w:gridCol w:w="406"/>
        <w:gridCol w:w="408"/>
        <w:gridCol w:w="804"/>
        <w:gridCol w:w="804"/>
        <w:gridCol w:w="1137"/>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12:</w:t>
            </w:r>
          </w:p>
        </w:tc>
        <w:tc>
          <w:tcPr>
            <w:tcW w:w="2745"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Earnings per Share</w:t>
            </w:r>
          </w:p>
        </w:tc>
      </w:tr>
    </w:tbl>
    <w:p>
      <w:pPr>
        <w:pStyle w:val="TextBody"/>
        <w:spacing w:lineRule="auto" w:line="288" w:before="120" w:after="283"/>
        <w:ind w:left="0" w:right="0" w:hanging="540"/>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and diluted shares outstanding used in our earnings per share calculation are calculated as follows:</w:t>
      </w:r>
    </w:p>
    <w:tbl>
      <w:tblPr>
        <w:tblW w:w="9577" w:type="dxa"/>
        <w:jc w:val="left"/>
        <w:tblInd w:w="0" w:type="dxa"/>
        <w:tblCellMar>
          <w:top w:w="28" w:type="dxa"/>
          <w:left w:w="28" w:type="dxa"/>
          <w:bottom w:w="28" w:type="dxa"/>
          <w:right w:w="28" w:type="dxa"/>
        </w:tblCellMar>
      </w:tblPr>
      <w:tblGrid>
        <w:gridCol w:w="1813"/>
        <w:gridCol w:w="1594"/>
        <w:gridCol w:w="1602"/>
        <w:gridCol w:w="109"/>
        <w:gridCol w:w="109"/>
        <w:gridCol w:w="109"/>
        <w:gridCol w:w="361"/>
        <w:gridCol w:w="1054"/>
        <w:gridCol w:w="186"/>
        <w:gridCol w:w="186"/>
        <w:gridCol w:w="186"/>
        <w:gridCol w:w="186"/>
        <w:gridCol w:w="361"/>
        <w:gridCol w:w="1054"/>
        <w:gridCol w:w="186"/>
        <w:gridCol w:w="109"/>
        <w:gridCol w:w="109"/>
        <w:gridCol w:w="109"/>
        <w:gridCol w:w="154"/>
      </w:tblGrid>
      <w:tr>
        <w:trPr/>
        <w:tc>
          <w:tcPr>
            <w:tcW w:w="1813"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Numerator: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attributable to Biogen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5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387.9 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5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303.8 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Denominator: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Weighted average number of common shares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144.4 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 of dilutive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1" w:type="dxa"/>
            <w:gridSpan w:val="3"/>
            <w:tcBorders/>
            <w:shd w:fill="auto" w:val="clear"/>
            <w:vAlign w:val="center"/>
          </w:tcPr>
          <w:p>
            <w:pPr>
              <w:pStyle w:val="TableContents"/>
              <w:spacing w:before="0" w:after="283"/>
              <w:rPr>
                <w:sz w:val="4"/>
                <w:szCs w:val="4"/>
              </w:rPr>
            </w:pPr>
            <w:r>
              <w:rPr>
                <w:sz w:val="4"/>
                <w:szCs w:val="4"/>
              </w:rPr>
            </w:r>
          </w:p>
        </w:tc>
        <w:tc>
          <w:tcPr>
            <w:tcW w:w="558" w:type="dxa"/>
            <w:gridSpan w:val="3"/>
            <w:tcBorders/>
            <w:shd w:fill="auto" w:val="clear"/>
            <w:vAlign w:val="center"/>
          </w:tcPr>
          <w:p>
            <w:pPr>
              <w:pStyle w:val="TableContents"/>
              <w:spacing w:before="0" w:after="283"/>
              <w:rPr>
                <w:sz w:val="4"/>
                <w:szCs w:val="4"/>
              </w:rPr>
            </w:pPr>
            <w:r>
              <w:rPr>
                <w:sz w:val="4"/>
                <w:szCs w:val="4"/>
              </w:rPr>
            </w:r>
          </w:p>
        </w:tc>
        <w:tc>
          <w:tcPr>
            <w:tcW w:w="16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Time-vested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0.1 </w:t>
            </w:r>
          </w:p>
        </w:tc>
        <w:tc>
          <w:tcPr>
            <w:tcW w:w="1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Dilutive potential common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Shares used in calculating diluted earnings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145.2 </w:t>
            </w:r>
          </w:p>
        </w:tc>
        <w:tc>
          <w:tcPr>
            <w:tcW w:w="1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147.6 </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Amounts excluded from the calculation of net income per diluted share because their effects were anti-dilutive were insignificant.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4574" w:type="dxa"/>
        <w:jc w:val="left"/>
        <w:tblInd w:w="0" w:type="dxa"/>
        <w:tblCellMar>
          <w:top w:w="28" w:type="dxa"/>
          <w:left w:w="28" w:type="dxa"/>
          <w:bottom w:w="28" w:type="dxa"/>
          <w:right w:w="28" w:type="dxa"/>
        </w:tblCellMar>
      </w:tblPr>
      <w:tblGrid>
        <w:gridCol w:w="461"/>
        <w:gridCol w:w="406"/>
        <w:gridCol w:w="408"/>
        <w:gridCol w:w="966"/>
        <w:gridCol w:w="966"/>
        <w:gridCol w:w="1367"/>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13:</w:t>
            </w:r>
          </w:p>
        </w:tc>
        <w:tc>
          <w:tcPr>
            <w:tcW w:w="3299"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Share-based Payments</w:t>
            </w:r>
          </w:p>
        </w:tc>
      </w:tr>
    </w:tbl>
    <w:p>
      <w:pPr>
        <w:pStyle w:val="TextBody"/>
        <w:spacing w:lineRule="auto" w:line="288" w:before="12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Share-based Compensation Expense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share-based compensation expense included in our condensed consolidated statements of income:</w:t>
      </w:r>
    </w:p>
    <w:tbl>
      <w:tblPr>
        <w:tblW w:w="10205" w:type="dxa"/>
        <w:jc w:val="left"/>
        <w:tblInd w:w="0" w:type="dxa"/>
        <w:tblCellMar>
          <w:top w:w="28" w:type="dxa"/>
          <w:left w:w="28" w:type="dxa"/>
          <w:bottom w:w="28" w:type="dxa"/>
          <w:right w:w="28" w:type="dxa"/>
        </w:tblCellMar>
      </w:tblPr>
      <w:tblGrid>
        <w:gridCol w:w="2194"/>
        <w:gridCol w:w="1908"/>
        <w:gridCol w:w="1911"/>
        <w:gridCol w:w="109"/>
        <w:gridCol w:w="109"/>
        <w:gridCol w:w="109"/>
        <w:gridCol w:w="358"/>
        <w:gridCol w:w="869"/>
        <w:gridCol w:w="185"/>
        <w:gridCol w:w="185"/>
        <w:gridCol w:w="185"/>
        <w:gridCol w:w="185"/>
        <w:gridCol w:w="358"/>
        <w:gridCol w:w="869"/>
        <w:gridCol w:w="185"/>
        <w:gridCol w:w="109"/>
        <w:gridCol w:w="109"/>
        <w:gridCol w:w="109"/>
        <w:gridCol w:w="159"/>
      </w:tblGrid>
      <w:tr>
        <w:trPr/>
        <w:tc>
          <w:tcPr>
            <w:tcW w:w="2194"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Research and development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6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31.3 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25.7 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50.1 </w:t>
            </w:r>
          </w:p>
        </w:tc>
        <w:tc>
          <w:tcPr>
            <w:tcW w:w="1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46.1 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c>
          <w:tcPr>
            <w:tcW w:w="555" w:type="dxa"/>
            <w:gridSpan w:val="3"/>
            <w:tcBorders/>
            <w:shd w:fill="auto" w:val="clear"/>
            <w:vAlign w:val="center"/>
          </w:tcPr>
          <w:p>
            <w:pPr>
              <w:pStyle w:val="TableContents"/>
              <w:spacing w:before="0" w:after="283"/>
              <w:rPr>
                <w:sz w:val="4"/>
                <w:szCs w:val="4"/>
              </w:rPr>
            </w:pPr>
            <w:r>
              <w:rPr>
                <w:sz w:val="4"/>
                <w:szCs w:val="4"/>
              </w:rPr>
            </w:r>
          </w:p>
        </w:tc>
        <w:tc>
          <w:tcPr>
            <w:tcW w:w="14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81.4 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71.8 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Capitalized share-based compensation costs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w:t>
            </w:r>
          </w:p>
        </w:tc>
        <w:tc>
          <w:tcPr>
            <w:tcW w:w="1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total cost and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78.1 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69.0 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effect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(14.7)</w:t>
            </w:r>
          </w:p>
        </w:tc>
        <w:tc>
          <w:tcPr>
            <w:tcW w:w="1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(12.8)</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net income attributable to Biogen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8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63.4 </w:t>
            </w:r>
          </w:p>
        </w:tc>
        <w:tc>
          <w:tcPr>
            <w:tcW w:w="1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56.2 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share-based compensation expense associated with each of our share-based compensation programs:</w:t>
      </w:r>
    </w:p>
    <w:tbl>
      <w:tblPr>
        <w:tblW w:w="10205" w:type="dxa"/>
        <w:jc w:val="left"/>
        <w:tblInd w:w="0" w:type="dxa"/>
        <w:tblCellMar>
          <w:top w:w="28" w:type="dxa"/>
          <w:left w:w="28" w:type="dxa"/>
          <w:bottom w:w="28" w:type="dxa"/>
          <w:right w:w="28" w:type="dxa"/>
        </w:tblCellMar>
      </w:tblPr>
      <w:tblGrid>
        <w:gridCol w:w="2097"/>
        <w:gridCol w:w="1822"/>
        <w:gridCol w:w="1830"/>
        <w:gridCol w:w="109"/>
        <w:gridCol w:w="109"/>
        <w:gridCol w:w="109"/>
        <w:gridCol w:w="386"/>
        <w:gridCol w:w="937"/>
        <w:gridCol w:w="199"/>
        <w:gridCol w:w="199"/>
        <w:gridCol w:w="199"/>
        <w:gridCol w:w="199"/>
        <w:gridCol w:w="386"/>
        <w:gridCol w:w="937"/>
        <w:gridCol w:w="199"/>
        <w:gridCol w:w="109"/>
        <w:gridCol w:w="109"/>
        <w:gridCol w:w="109"/>
        <w:gridCol w:w="161"/>
      </w:tblGrid>
      <w:tr>
        <w:trPr/>
        <w:tc>
          <w:tcPr>
            <w:tcW w:w="2097"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2.2 </w:t>
            </w:r>
          </w:p>
        </w:tc>
        <w:tc>
          <w:tcPr>
            <w:tcW w:w="19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5.9 </w:t>
            </w:r>
          </w:p>
        </w:tc>
        <w:tc>
          <w:tcPr>
            <w:tcW w:w="19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Time-vested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61.7 </w:t>
            </w:r>
          </w:p>
        </w:tc>
        <w:tc>
          <w:tcPr>
            <w:tcW w:w="19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51.3 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5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9.5 </w:t>
            </w:r>
          </w:p>
        </w:tc>
        <w:tc>
          <w:tcPr>
            <w:tcW w:w="19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Performance stock units settled in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2.5 </w:t>
            </w:r>
          </w:p>
        </w:tc>
        <w:tc>
          <w:tcPr>
            <w:tcW w:w="19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Employee stock purchase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4.7 </w:t>
            </w:r>
          </w:p>
        </w:tc>
        <w:tc>
          <w:tcPr>
            <w:tcW w:w="19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Stock options</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0.8 </w:t>
            </w:r>
          </w:p>
        </w:tc>
        <w:tc>
          <w:tcPr>
            <w:tcW w:w="19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Subtotal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81.4 </w:t>
            </w:r>
          </w:p>
        </w:tc>
        <w:tc>
          <w:tcPr>
            <w:tcW w:w="19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71.8 </w:t>
            </w:r>
          </w:p>
        </w:tc>
        <w:tc>
          <w:tcPr>
            <w:tcW w:w="19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Capitalized share-based compensation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(3.3)</w:t>
            </w:r>
          </w:p>
        </w:tc>
        <w:tc>
          <w:tcPr>
            <w:tcW w:w="19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Share-based compensation expense included in total cost and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78.1 </w:t>
            </w:r>
          </w:p>
        </w:tc>
        <w:tc>
          <w:tcPr>
            <w:tcW w:w="1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69.0 </w:t>
            </w:r>
          </w:p>
        </w:tc>
        <w:tc>
          <w:tcPr>
            <w:tcW w:w="1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xml:space="preserve">During the fourth quarter of 2022 we granted stock options. For additional information, please read </w:t>
      </w:r>
      <w:r>
        <w:rPr>
          <w:rFonts w:ascii="Franklin Gothic Book;sans-serif" w:hAnsi="Franklin Gothic Book;sans-serif"/>
          <w:b w:val="false"/>
          <w:i/>
          <w:color w:val="000000"/>
          <w:sz w:val="16"/>
        </w:rPr>
        <w:t>Note 16, Share-Based Payments</w:t>
      </w:r>
      <w:r>
        <w:rPr>
          <w:rFonts w:ascii="Franklin Gothic Book;sans-serif" w:hAnsi="Franklin Gothic Book;sans-serif"/>
          <w:b w:val="false"/>
          <w:color w:val="000000"/>
          <w:sz w:val="16"/>
        </w:rPr>
        <w:t>, to our consolidated financial statements included in our 2022 Form 10-K.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estimate the fair value of our obligations associated with our performance stock units settled in cash at the end of each reporting period through expected settlement. Cumulative adjustments to these obligations are recognized each quarter to reflect changes in the stock price and estimated outcome of the performance-related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3284" w:type="dxa"/>
        <w:jc w:val="left"/>
        <w:tblInd w:w="0" w:type="dxa"/>
        <w:tblCellMar>
          <w:top w:w="28" w:type="dxa"/>
          <w:left w:w="28" w:type="dxa"/>
          <w:bottom w:w="28" w:type="dxa"/>
          <w:right w:w="28" w:type="dxa"/>
        </w:tblCellMar>
      </w:tblPr>
      <w:tblGrid>
        <w:gridCol w:w="461"/>
        <w:gridCol w:w="406"/>
        <w:gridCol w:w="408"/>
        <w:gridCol w:w="587"/>
        <w:gridCol w:w="587"/>
        <w:gridCol w:w="835"/>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14:</w:t>
            </w:r>
          </w:p>
        </w:tc>
        <w:tc>
          <w:tcPr>
            <w:tcW w:w="2009"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Income Taxes</w:t>
            </w:r>
          </w:p>
        </w:tc>
      </w:tr>
    </w:tbl>
    <w:p>
      <w:pPr>
        <w:pStyle w:val="TextBody"/>
        <w:spacing w:lineRule="auto" w:line="288" w:before="180" w:after="283"/>
        <w:ind w:left="0" w:right="0" w:hanging="540"/>
        <w:rPr>
          <w:rFonts w:ascii="Franklin Gothic Book;sans-serif" w:hAnsi="Franklin Gothic Book;sans-serif"/>
          <w:b/>
          <w:color w:val="2573BA"/>
          <w:sz w:val="22"/>
        </w:rPr>
      </w:pPr>
      <w:r>
        <w:rPr>
          <w:rFonts w:ascii="Franklin Gothic Book;sans-serif" w:hAnsi="Franklin Gothic Book;sans-serif"/>
          <w:b/>
          <w:color w:val="2573BA"/>
          <w:sz w:val="22"/>
        </w:rPr>
        <w:t>Inflation Reduction Act</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net deferred tax assets as of March 31, 2023 and December 31, 2022. We expect additional guidance and regulations to be issued in future periods and will continue to assess its potential impact on our business and results of operations as further information becomes available.</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Tax Rate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reconciliation between the U.S. federal statutory tax rate and our effective tax rate is summarized as follows:</w:t>
      </w:r>
    </w:p>
    <w:tbl>
      <w:tblPr>
        <w:tblW w:w="6700" w:type="dxa"/>
        <w:jc w:val="left"/>
        <w:tblInd w:w="0" w:type="dxa"/>
        <w:tblCellMar>
          <w:top w:w="28" w:type="dxa"/>
          <w:left w:w="28" w:type="dxa"/>
          <w:bottom w:w="28" w:type="dxa"/>
          <w:right w:w="28" w:type="dxa"/>
        </w:tblCellMar>
      </w:tblPr>
      <w:tblGrid>
        <w:gridCol w:w="890"/>
        <w:gridCol w:w="784"/>
        <w:gridCol w:w="786"/>
        <w:gridCol w:w="321"/>
        <w:gridCol w:w="321"/>
        <w:gridCol w:w="756"/>
        <w:gridCol w:w="321"/>
        <w:gridCol w:w="321"/>
        <w:gridCol w:w="321"/>
        <w:gridCol w:w="321"/>
        <w:gridCol w:w="321"/>
        <w:gridCol w:w="756"/>
        <w:gridCol w:w="109"/>
        <w:gridCol w:w="109"/>
        <w:gridCol w:w="109"/>
        <w:gridCol w:w="154"/>
      </w:tblGrid>
      <w:tr>
        <w:trPr/>
        <w:tc>
          <w:tcPr>
            <w:tcW w:w="8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8"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Statutory rate</w:t>
            </w:r>
          </w:p>
        </w:tc>
        <w:tc>
          <w:tcPr>
            <w:tcW w:w="6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21.0 </w:t>
            </w:r>
          </w:p>
        </w:tc>
        <w:tc>
          <w:tcPr>
            <w:tcW w:w="75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21.0 </w:t>
            </w:r>
          </w:p>
        </w:tc>
        <w:tc>
          <w:tcPr>
            <w:tcW w:w="7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State taxes</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1.3 </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Taxes on foreign earnings</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(5.6)</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Tax credits</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Purchased intangible assets</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GILTI</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0.5 </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Neurimmune tax impacts</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24.2 </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3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6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0.6 </w:t>
            </w:r>
          </w:p>
        </w:tc>
        <w:tc>
          <w:tcPr>
            <w:tcW w:w="7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3.8 </w:t>
            </w:r>
          </w:p>
        </w:tc>
        <w:tc>
          <w:tcPr>
            <w:tcW w:w="7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Effective tax rate</w:t>
            </w:r>
          </w:p>
        </w:tc>
        <w:tc>
          <w:tcPr>
            <w:tcW w:w="64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11.6 </w:t>
            </w:r>
          </w:p>
        </w:tc>
        <w:tc>
          <w:tcPr>
            <w:tcW w:w="7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36.2 </w:t>
            </w:r>
          </w:p>
        </w:tc>
        <w:tc>
          <w:tcPr>
            <w:tcW w:w="7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Franklin Gothic Book;sans-serif" w:hAnsi="Franklin Gothic Book;sans-serif"/>
          <w:b/>
          <w:i/>
          <w:color w:val="2573BA"/>
          <w:sz w:val="20"/>
        </w:rPr>
      </w:pPr>
      <w:r>
        <w:rPr>
          <w:rFonts w:ascii="Franklin Gothic Book;sans-serif" w:hAnsi="Franklin Gothic Book;sans-serif"/>
          <w:b/>
          <w:i/>
          <w:color w:val="2573BA"/>
          <w:sz w:val="20"/>
        </w:rPr>
        <w:t>Changes in Tax Rate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decrease in our effective tax rate, excluding the impact of the net Neurimmune deferred tax asset, as discussed below, includes the resolution of an uncertain tax matter in the current quarter related to tax credits and the non-cash tax effects of changes in the value of our equity investments. The tax effects of this change in value of our equity investments are recorded discretely since changes in value of equity investments cannot be forecasted.</w:t>
      </w:r>
    </w:p>
    <w:p>
      <w:pPr>
        <w:pStyle w:val="TextBody"/>
        <w:spacing w:lineRule="auto" w:line="288" w:before="120" w:after="283"/>
        <w:rPr>
          <w:rFonts w:ascii="Franklin Gothic Book;sans-serif" w:hAnsi="Franklin Gothic Book;sans-serif"/>
          <w:b/>
          <w:i/>
          <w:color w:val="6DAD46"/>
          <w:sz w:val="20"/>
        </w:rPr>
      </w:pPr>
      <w:r>
        <w:rPr>
          <w:rFonts w:ascii="Franklin Gothic Book;sans-serif" w:hAnsi="Franklin Gothic Book;sans-serif"/>
          <w:b/>
          <w:i/>
          <w:color w:val="6DAD46"/>
          <w:sz w:val="20"/>
        </w:rPr>
        <w:t>Neurimmune Deferred Tax Asset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first quarter of 2022, upon issuance of the final NCD related to ADUHELM, we recorded an increase in a valuation allowance of approximately $85.0 million to reduce the net value of a previously recorded deferred tax asset to zero.</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This adjustment to our net deferred tax asset is recorded with an equal and offsetting amount assigned to net income (loss) attributable to noncontrolling interests, net of tax in our condensed consolidated statements of income, resulting in a zero net impact to net income attributable to Biogen Inc.</w:t>
      </w:r>
    </w:p>
    <w:p>
      <w:pPr>
        <w:pStyle w:val="TextBody"/>
        <w:spacing w:lineRule="auto" w:line="268" w:before="120" w:after="283"/>
        <w:rPr/>
      </w:pPr>
      <w:r>
        <w:rPr>
          <w:rFonts w:ascii="Franklin Gothic Book;sans-serif" w:hAnsi="Franklin Gothic Book;sans-serif"/>
          <w:b w:val="false"/>
          <w:color w:val="000000"/>
          <w:sz w:val="20"/>
        </w:rPr>
        <w:t xml:space="preserve">For additional information on our collaboration arrangement with Neurimmune, please read </w:t>
      </w:r>
      <w:r>
        <w:rPr>
          <w:rFonts w:ascii="Franklin Gothic Book;sans-serif" w:hAnsi="Franklin Gothic Book;sans-serif"/>
          <w:b w:val="false"/>
          <w:i/>
          <w:color w:val="000000"/>
          <w:sz w:val="20"/>
        </w:rPr>
        <w:t>Note 17, Investments in Variable Interest Entities</w:t>
      </w:r>
      <w:r>
        <w:rPr>
          <w:rFonts w:ascii="Franklin Gothic Book;sans-serif" w:hAnsi="Franklin Gothic Book;sans-serif"/>
          <w:b w:val="false"/>
          <w:color w:val="000000"/>
          <w:sz w:val="20"/>
        </w:rPr>
        <w:t>, to these condensed consolidated financial statements.</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Accounting for Uncertainty in Income Taxes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our subsidiaries are routinely examined by various taxing authorities. We file income tax returns in various U.S. states and in U.S. federal and other foreign jurisdictions. With few exceptions, we are no longer subject to U.S. federal tax examination for years before 2017 or state, local or non-U.S. income tax examinations for years before 2013.</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It is reasonably possible that we will adjust the value of our uncertain tax positions related to certain transfer pricing, collaboration matters and other issues as we receive additional information from various taxing authorities, including reaching settlements with such authorities.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estimate that it is reasonably possible that our gross unrecognized tax benefits, exclusive of interest, could</w:t>
      </w:r>
    </w:p>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decrease by up to approximately $500.0 million, including approximately $450.0 million related to the unrecognized</w:t>
      </w:r>
    </w:p>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tax benefits related to Neurimmune's tax basis in ADUHELM, as discussed above, in the next 12 months as a result of various audit closures, settlements and expiration of the statute of limitations. Any changes to our gross unrecognized tax benefits related to Neurimmune's tax basis in ADUHELM would result in a zero net impact to net income attributable to Biogen, Inc., as we have recorded a full valuation allowance against the relevant deferred tax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755" w:type="dxa"/>
        <w:jc w:val="left"/>
        <w:tblInd w:w="0" w:type="dxa"/>
        <w:tblCellMar>
          <w:top w:w="28" w:type="dxa"/>
          <w:left w:w="28" w:type="dxa"/>
          <w:bottom w:w="28" w:type="dxa"/>
          <w:right w:w="28" w:type="dxa"/>
        </w:tblCellMar>
      </w:tblPr>
      <w:tblGrid>
        <w:gridCol w:w="461"/>
        <w:gridCol w:w="406"/>
        <w:gridCol w:w="408"/>
        <w:gridCol w:w="1897"/>
        <w:gridCol w:w="1897"/>
        <w:gridCol w:w="2686"/>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15:</w:t>
            </w:r>
          </w:p>
        </w:tc>
        <w:tc>
          <w:tcPr>
            <w:tcW w:w="6480"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Other Consolidated Financial Statement Detail</w:t>
            </w:r>
          </w:p>
        </w:tc>
      </w:tr>
    </w:tbl>
    <w:p>
      <w:pPr>
        <w:pStyle w:val="TextBody"/>
        <w:spacing w:lineRule="auto" w:line="288" w:before="120" w:after="283"/>
        <w:ind w:left="0" w:right="0" w:hanging="540"/>
        <w:rPr>
          <w:rFonts w:ascii="Franklin Gothic Book;sans-serif" w:hAnsi="Franklin Gothic Book;sans-serif"/>
          <w:b/>
          <w:color w:val="2573BA"/>
          <w:sz w:val="22"/>
        </w:rPr>
      </w:pPr>
      <w:r>
        <w:rPr>
          <w:rFonts w:ascii="Franklin Gothic Book;sans-serif" w:hAnsi="Franklin Gothic Book;sans-serif"/>
          <w:b/>
          <w:color w:val="2573BA"/>
          <w:sz w:val="22"/>
        </w:rPr>
        <w:t>Other (Income) Expense, Net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Components of other (income) expense, net, are summarized as follows:</w:t>
      </w:r>
    </w:p>
    <w:tbl>
      <w:tblPr>
        <w:tblW w:w="7735" w:type="dxa"/>
        <w:jc w:val="left"/>
        <w:tblInd w:w="0" w:type="dxa"/>
        <w:tblCellMar>
          <w:top w:w="28" w:type="dxa"/>
          <w:left w:w="28" w:type="dxa"/>
          <w:bottom w:w="28" w:type="dxa"/>
          <w:right w:w="28" w:type="dxa"/>
        </w:tblCellMar>
      </w:tblPr>
      <w:tblGrid>
        <w:gridCol w:w="1146"/>
        <w:gridCol w:w="1006"/>
        <w:gridCol w:w="1012"/>
        <w:gridCol w:w="109"/>
        <w:gridCol w:w="109"/>
        <w:gridCol w:w="109"/>
        <w:gridCol w:w="366"/>
        <w:gridCol w:w="1017"/>
        <w:gridCol w:w="189"/>
        <w:gridCol w:w="189"/>
        <w:gridCol w:w="189"/>
        <w:gridCol w:w="189"/>
        <w:gridCol w:w="366"/>
        <w:gridCol w:w="1069"/>
        <w:gridCol w:w="189"/>
        <w:gridCol w:w="109"/>
        <w:gridCol w:w="109"/>
        <w:gridCol w:w="109"/>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2" w:type="dxa"/>
            <w:gridSpan w:val="3"/>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Interest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(80.9)</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Interest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62.5 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66.1 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(Gains) losses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77.7 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191.1 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Foreign exchange (gains) losses,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10.7 </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(0.6)</w:t>
            </w:r>
          </w:p>
        </w:tc>
        <w:tc>
          <w:tcPr>
            <w:tcW w:w="1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0.7 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0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69.4 </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263.3 </w:t>
            </w:r>
          </w:p>
        </w:tc>
        <w:tc>
          <w:tcPr>
            <w:tcW w:w="1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(gains) losses on investments, net that relate to our equity securities held during the following periods:</w:t>
      </w:r>
    </w:p>
    <w:tbl>
      <w:tblPr>
        <w:tblW w:w="9746" w:type="dxa"/>
        <w:jc w:val="left"/>
        <w:tblInd w:w="0" w:type="dxa"/>
        <w:tblCellMar>
          <w:top w:w="28" w:type="dxa"/>
          <w:left w:w="28" w:type="dxa"/>
          <w:bottom w:w="28" w:type="dxa"/>
          <w:right w:w="28" w:type="dxa"/>
        </w:tblCellMar>
      </w:tblPr>
      <w:tblGrid>
        <w:gridCol w:w="1872"/>
        <w:gridCol w:w="1646"/>
        <w:gridCol w:w="1656"/>
        <w:gridCol w:w="109"/>
        <w:gridCol w:w="109"/>
        <w:gridCol w:w="109"/>
        <w:gridCol w:w="379"/>
        <w:gridCol w:w="919"/>
        <w:gridCol w:w="196"/>
        <w:gridCol w:w="196"/>
        <w:gridCol w:w="196"/>
        <w:gridCol w:w="196"/>
        <w:gridCol w:w="379"/>
        <w:gridCol w:w="1107"/>
        <w:gridCol w:w="196"/>
        <w:gridCol w:w="109"/>
        <w:gridCol w:w="109"/>
        <w:gridCol w:w="109"/>
        <w:gridCol w:w="154"/>
      </w:tblGrid>
      <w:tr>
        <w:trPr/>
        <w:tc>
          <w:tcPr>
            <w:tcW w:w="1872"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(gains) losses recognized on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1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78.1 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190.7 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Net (gains) losses realized on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unrealized (gains) losses recognized on 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76.5 </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1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190.9 </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three months ended March 31, 2023, primarily reflect a decrease in the aggregate fair value of our investments in Denali, Sangamo and Ionis common stock of approximately $100.0 million, partially offset by an increase in the fair value of Sage common stock of approximately $23.8 million.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three months ended March 31, 2022, primarily reflect a decrease in the aggregate fair value of our investments in Denali, Sage and Sangamo common stock of approximately $205.5 million, partially offset by an increase in the fair value of Ionis common stock of approximately $19.0 million.</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Accrued Expense and Other</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expense and other consists of the following:</w:t>
      </w:r>
    </w:p>
    <w:tbl>
      <w:tblPr>
        <w:tblW w:w="10089" w:type="dxa"/>
        <w:jc w:val="left"/>
        <w:tblInd w:w="0" w:type="dxa"/>
        <w:tblCellMar>
          <w:top w:w="28" w:type="dxa"/>
          <w:left w:w="28" w:type="dxa"/>
          <w:bottom w:w="28" w:type="dxa"/>
          <w:right w:w="28" w:type="dxa"/>
        </w:tblCellMar>
      </w:tblPr>
      <w:tblGrid>
        <w:gridCol w:w="1728"/>
        <w:gridCol w:w="1519"/>
        <w:gridCol w:w="1538"/>
        <w:gridCol w:w="109"/>
        <w:gridCol w:w="109"/>
        <w:gridCol w:w="109"/>
        <w:gridCol w:w="414"/>
        <w:gridCol w:w="1503"/>
        <w:gridCol w:w="213"/>
        <w:gridCol w:w="109"/>
        <w:gridCol w:w="109"/>
        <w:gridCol w:w="109"/>
        <w:gridCol w:w="470"/>
        <w:gridCol w:w="1707"/>
        <w:gridCol w:w="343"/>
      </w:tblGrid>
      <w:tr>
        <w:trPr/>
        <w:tc>
          <w:tcPr>
            <w:tcW w:w="1728"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r>
      <w:tr>
        <w:trPr/>
        <w:tc>
          <w:tcPr>
            <w:tcW w:w="47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0" w:type="dxa"/>
            <w:gridSpan w:val="3"/>
            <w:tcBorders/>
            <w:shd w:fill="auto" w:val="clear"/>
            <w:vAlign w:val="center"/>
          </w:tcPr>
          <w:p>
            <w:pPr>
              <w:pStyle w:val="TableContents"/>
              <w:spacing w:before="0" w:after="283"/>
              <w:rPr>
                <w:sz w:val="4"/>
                <w:szCs w:val="4"/>
              </w:rPr>
            </w:pPr>
            <w:r>
              <w:rPr>
                <w:sz w:val="4"/>
                <w:szCs w:val="4"/>
              </w:rPr>
            </w:r>
          </w:p>
        </w:tc>
      </w:tr>
      <w:tr>
        <w:trPr/>
        <w:tc>
          <w:tcPr>
            <w:tcW w:w="4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Revenue-related reserves for discounts and allowances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50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907.2 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891.6 </w:t>
            </w:r>
          </w:p>
        </w:tc>
        <w:tc>
          <w:tcPr>
            <w:tcW w:w="3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Employee 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187.2 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395.6 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265.5 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277.9 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Royalties and licensing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183.9 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209.4 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0" w:type="dxa"/>
            <w:gridSpan w:val="3"/>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0" w:type="dxa"/>
            <w:gridSpan w:val="3"/>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744.4 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746.9 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accrued expense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5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2,288.2 </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7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2,521.4 </w:t>
            </w:r>
          </w:p>
        </w:tc>
        <w:tc>
          <w:tcPr>
            <w:tcW w:w="3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Franklin Gothic Book;sans-serif" w:hAnsi="Franklin Gothic Book;sans-serif"/>
          <w:b/>
          <w:i/>
          <w:color w:val="2573BA"/>
          <w:sz w:val="20"/>
        </w:rPr>
      </w:pPr>
      <w:r>
        <w:rPr>
          <w:rFonts w:ascii="Franklin Gothic Book;sans-serif" w:hAnsi="Franklin Gothic Book;sans-serif"/>
          <w:b/>
          <w:i/>
          <w:color w:val="2573BA"/>
          <w:sz w:val="20"/>
        </w:rPr>
        <w:t>Other Long-term Liabilities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 were $935.5 million and $944.2 million as of March 31, 2023 and December 31, 2022, respectively, and included accrued income taxes totaling $552.5 million and $541.7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569" w:type="dxa"/>
        <w:jc w:val="left"/>
        <w:tblInd w:w="0" w:type="dxa"/>
        <w:tblCellMar>
          <w:top w:w="28" w:type="dxa"/>
          <w:left w:w="28" w:type="dxa"/>
          <w:bottom w:w="28" w:type="dxa"/>
          <w:right w:w="28" w:type="dxa"/>
        </w:tblCellMar>
      </w:tblPr>
      <w:tblGrid>
        <w:gridCol w:w="461"/>
        <w:gridCol w:w="406"/>
        <w:gridCol w:w="408"/>
        <w:gridCol w:w="1551"/>
        <w:gridCol w:w="1551"/>
        <w:gridCol w:w="2192"/>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16:</w:t>
            </w:r>
          </w:p>
        </w:tc>
        <w:tc>
          <w:tcPr>
            <w:tcW w:w="5294"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Collaborative and Other Relationships</w:t>
            </w:r>
          </w:p>
        </w:tc>
      </w:tr>
    </w:tbl>
    <w:p>
      <w:pPr>
        <w:pStyle w:val="TextBody"/>
        <w:spacing w:lineRule="auto" w:line="288" w:before="18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Genentech, Inc. (Roche Group)</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(mosunetuzumab), which was granted accelerated approval in the U.S. during the fourth quarter of 2022 for the treatment of relapsed or refractory follicular lymphoma; glofitamab, an investigational bispecific antibody for the potential treatment of non-Hodgkin's lymphoma; and have the option to add other potential anti-CD20 therapies, pursuant to our collaboration arrangements with Genentech, a wholly-owned member of the Roche Group. For purposes of this footnote, we refer to RITUXAN and RITUXAN HYCELA collectively as RITUXAN.</w:t>
      </w:r>
    </w:p>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RITUXAN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Genentech and its affiliates are responsible for the worldwide manufacture of RITUXAN as well as all development and commercialization activities as follows:</w:t>
      </w:r>
    </w:p>
    <w:p>
      <w:pPr>
        <w:pStyle w:val="TextBody"/>
        <w:spacing w:lineRule="auto" w:line="288" w:before="60" w:after="283"/>
        <w:ind w:left="0" w:right="0" w:hanging="360"/>
        <w:rPr/>
      </w:pPr>
      <w:r>
        <w:rPr>
          <w:color w:val="0070C0"/>
        </w:rPr>
        <w:t>•</w:t>
      </w:r>
      <w:r>
        <w:rPr>
          <w:rFonts w:ascii="Franklin Gothic Book;sans-serif" w:hAnsi="Franklin Gothic Book;sans-serif"/>
          <w:b w:val="false"/>
          <w:i/>
          <w:color w:val="0070C0"/>
          <w:sz w:val="20"/>
        </w:rPr>
        <w:t>U.S.:</w:t>
      </w:r>
      <w:r>
        <w:rPr>
          <w:color w:val="000000"/>
        </w:rPr>
        <w:t xml:space="preserve"> </w:t>
      </w:r>
      <w:r>
        <w:rPr>
          <w:rFonts w:ascii="Franklin Gothic Book;sans-serif" w:hAnsi="Franklin Gothic Book;sans-serif"/>
          <w:b w:val="false"/>
          <w:color w:val="000000"/>
          <w:sz w:val="20"/>
        </w:rPr>
        <w:t>We have co-exclusively licensed our rights to develop, commercialize and market RITUXAN in the U.S.</w:t>
      </w:r>
    </w:p>
    <w:p>
      <w:pPr>
        <w:pStyle w:val="TextBody"/>
        <w:spacing w:lineRule="auto" w:line="288" w:before="60" w:after="283"/>
        <w:ind w:left="0" w:right="0" w:hanging="360"/>
        <w:rPr/>
      </w:pPr>
      <w:r>
        <w:rPr>
          <w:color w:val="0070C0"/>
        </w:rPr>
        <w:t>•</w:t>
      </w:r>
      <w:r>
        <w:rPr>
          <w:rFonts w:ascii="Franklin Gothic Book;sans-serif" w:hAnsi="Franklin Gothic Book;sans-serif"/>
          <w:b w:val="false"/>
          <w:i/>
          <w:color w:val="0070C0"/>
          <w:sz w:val="20"/>
        </w:rPr>
        <w:t>Canada:</w:t>
      </w:r>
      <w:r>
        <w:rPr>
          <w:color w:val="000000"/>
        </w:rPr>
        <w:t xml:space="preserve"> </w:t>
      </w:r>
      <w:r>
        <w:rPr>
          <w:rFonts w:ascii="Franklin Gothic Book;sans-serif" w:hAnsi="Franklin Gothic Book;sans-serif"/>
          <w:b w:val="false"/>
          <w:color w:val="000000"/>
          <w:sz w:val="20"/>
        </w:rPr>
        <w:t>We have co-exclusively licensed our rights to develop, commercialize and market RITUXAN in Canada.</w:t>
      </w:r>
    </w:p>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GAZYVA</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Roche Group and its sub-licensees maintain sole responsibility for the development, manufacture and commercialization of GAZYVA in the U.S. The level of gross sales of GAZYVA in the U.S. has impacted our percentage of the co-promotion profits for RITUXAN and LUNSUMIO, as summarized in the table below.</w:t>
      </w:r>
    </w:p>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OCREVUS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Pursuant to the terms of our collaboration arrangements with Genentech, we receive a tiered royalty on U.S. net sales from 13.5% and increasing up to 24.0% if annual net sales exceed $900.0 million. There will be a 50.0% reduction to these royalties if a biosimilar to OCREVUS is approved in the U.S.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we receive a gross 3.0% royalty on net sales of OCREVUS outside the U.S., with the royalty period lasting 11 years from the first commercial sale of OCREVUS on a country-by-country basis.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OCREVUS royalty revenue is based on our estimates from third-party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LUNSUMIO (mosunetuzumab)</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January 2022 we exercised our option with Genentech to participate in the joint development and commercialization of LUNSUMIO. Under our collaboration with Genentech, we were responsible for 30.0% of development costs for LUNSUMIO prior to FDA approval and will be entitled to a tiered share of co-promotion operating profits and losses in the U.S., as summarized in the table below. In addition, we receive low single-digit royalties on sales of LUNSUMIO outside the U.S.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2022 LUNSUMIO was granted accelerated approval by the FDA for the treatment of relapsed or refractory follicular lymphoma. Prior to regulatory approval, we record our share of the expense incurred by the collaboration for the development of anti-CD20 products in research and development expense and pre-commercialization costs within selling, general and administrative expense in our condensed consolidated statements of income. After an anti-CD20 product is approved, we record our share of the development and sales and marketing expense related to that product as a reduction of our share of pre-tax profits in revenue from anti-CD20 therapeutic programs.</w:t>
      </w:r>
    </w:p>
    <w:p>
      <w:pPr>
        <w:pStyle w:val="TextBody"/>
        <w:spacing w:lineRule="auto" w:line="288" w:before="180" w:after="283"/>
        <w:rPr>
          <w:rFonts w:ascii="Franklin Gothic Book;sans-serif" w:hAnsi="Franklin Gothic Book;sans-serif"/>
          <w:b w:val="false"/>
          <w:i/>
          <w:color w:val="0070C0"/>
          <w:sz w:val="20"/>
        </w:rPr>
      </w:pPr>
      <w:r>
        <w:rPr>
          <w:rFonts w:ascii="Franklin Gothic Book;sans-serif" w:hAnsi="Franklin Gothic Book;sans-serif"/>
          <w:b w:val="false"/>
          <w:i/>
          <w:color w:val="0070C0"/>
          <w:sz w:val="20"/>
        </w:rPr>
        <w:t>Profit-sharing Formulas</w:t>
      </w:r>
    </w:p>
    <w:p>
      <w:pPr>
        <w:pStyle w:val="TextBody"/>
        <w:spacing w:lineRule="auto" w:line="288" w:before="180" w:after="283"/>
        <w:rPr>
          <w:rFonts w:ascii="Franklin Gothic Book;sans-serif" w:hAnsi="Franklin Gothic Book;sans-serif"/>
          <w:b w:val="false"/>
          <w:i/>
          <w:color w:val="538235"/>
          <w:sz w:val="20"/>
        </w:rPr>
      </w:pPr>
      <w:r>
        <w:rPr>
          <w:rFonts w:ascii="Franklin Gothic Book;sans-serif" w:hAnsi="Franklin Gothic Book;sans-serif"/>
          <w:b w:val="false"/>
          <w:i/>
          <w:color w:val="538235"/>
          <w:sz w:val="20"/>
        </w:rPr>
        <w:t>RITUXAN and LUNSUMIO Profit Share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current pretax co-promotion profit-sharing formula for RITUXAN and LUNSUMIO in the U.S. provides for a 30.0% share on the first $50.0 million of combined co-promotion operating profits earned each calendar year. As a result of the FDA approval of LUNSUMIO our share of the combined annual co-promotion profits for RITUXAN and LUNSUMIO in excess of $50.0 million varies upon the following events, as summarized in the table below:</w:t>
      </w:r>
    </w:p>
    <w:tbl>
      <w:tblPr>
        <w:tblW w:w="6722" w:type="dxa"/>
        <w:jc w:val="left"/>
        <w:tblInd w:w="0" w:type="dxa"/>
        <w:tblCellMar>
          <w:top w:w="28" w:type="dxa"/>
          <w:left w:w="28" w:type="dxa"/>
          <w:bottom w:w="28" w:type="dxa"/>
          <w:right w:w="28" w:type="dxa"/>
        </w:tblCellMar>
      </w:tblPr>
      <w:tblGrid>
        <w:gridCol w:w="2102"/>
        <w:gridCol w:w="1849"/>
        <w:gridCol w:w="1854"/>
        <w:gridCol w:w="293"/>
        <w:gridCol w:w="293"/>
        <w:gridCol w:w="331"/>
      </w:tblGrid>
      <w:tr>
        <w:trPr/>
        <w:tc>
          <w:tcPr>
            <w:tcW w:w="2102"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85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DDDDDD"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LUNSUMIO Approval until the First Threshold Date</w:t>
            </w:r>
          </w:p>
        </w:tc>
        <w:tc>
          <w:tcPr>
            <w:tcW w:w="586" w:type="dxa"/>
            <w:gridSpan w:val="2"/>
            <w:tcBorders/>
            <w:shd w:fill="DDDDDD"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37.5 </w:t>
            </w:r>
          </w:p>
        </w:tc>
        <w:tc>
          <w:tcPr>
            <w:tcW w:w="331" w:type="dxa"/>
            <w:tcBorders/>
            <w:shd w:fill="DDDDDD"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First Threshold Date until the Second Threshold Date</w:t>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35.0 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5805" w:type="dxa"/>
            <w:gridSpan w:val="3"/>
            <w:tcBorders/>
            <w:shd w:fill="DDDDDD"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Second Threshold Date</w:t>
            </w:r>
          </w:p>
        </w:tc>
        <w:tc>
          <w:tcPr>
            <w:tcW w:w="586" w:type="dxa"/>
            <w:gridSpan w:val="2"/>
            <w:tcBorders/>
            <w:shd w:fill="DDDDDD"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30.0 </w:t>
            </w:r>
          </w:p>
        </w:tc>
        <w:tc>
          <w:tcPr>
            <w:tcW w:w="331" w:type="dxa"/>
            <w:tcBorders/>
            <w:shd w:fill="DDDDDD"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bl>
    <w:p>
      <w:pPr>
        <w:pStyle w:val="TextBody"/>
        <w:spacing w:lineRule="auto" w:line="288" w:before="120" w:after="283"/>
        <w:rPr/>
      </w:pPr>
      <w:r>
        <w:rPr>
          <w:rFonts w:ascii="Franklin Gothic Book;sans-serif" w:hAnsi="Franklin Gothic Book;sans-serif"/>
          <w:b w:val="false"/>
          <w:color w:val="000000"/>
          <w:sz w:val="20"/>
          <w:u w:val="single"/>
        </w:rPr>
        <w:t>First Threshold Date</w:t>
      </w:r>
      <w:r>
        <w:rPr>
          <w:color w:val="000000"/>
        </w:rPr>
        <w:t xml:space="preserve"> </w:t>
      </w:r>
      <w:r>
        <w:rPr>
          <w:rFonts w:ascii="Franklin Gothic Book;sans-serif" w:hAnsi="Franklin Gothic Book;sans-serif"/>
          <w:b w:val="false"/>
          <w:color w:val="000000"/>
          <w:sz w:val="20"/>
        </w:rPr>
        <w:t>means the earlier of (i) the first day of the calendar quarter following the date U.S. gross sales of GAZYVA within any consecutive 12-month period have reached $500.0 million or (ii) the first date in any calendar year in which U.S. gross sales of LUNSUMIO have reached $150.0 million.</w:t>
      </w:r>
    </w:p>
    <w:p>
      <w:pPr>
        <w:pStyle w:val="TextBody"/>
        <w:spacing w:lineRule="auto" w:line="288" w:before="120" w:after="283"/>
        <w:rPr/>
      </w:pPr>
      <w:r>
        <w:rPr>
          <w:rFonts w:ascii="Franklin Gothic Book;sans-serif" w:hAnsi="Franklin Gothic Book;sans-serif"/>
          <w:b w:val="false"/>
          <w:color w:val="000000"/>
          <w:sz w:val="20"/>
          <w:u w:val="single"/>
        </w:rPr>
        <w:t>Second Threshold Date</w:t>
      </w:r>
      <w:r>
        <w:rPr>
          <w:color w:val="000000"/>
        </w:rPr>
        <w:t xml:space="preserve"> </w:t>
      </w:r>
      <w:r>
        <w:rPr>
          <w:rFonts w:ascii="Franklin Gothic Book;sans-serif" w:hAnsi="Franklin Gothic Book;sans-serif"/>
          <w:b w:val="false"/>
          <w:color w:val="000000"/>
          <w:sz w:val="20"/>
        </w:rPr>
        <w:t>means the later of (i) the first date the gross sales in any calendar year in which U.S. gross sales of LUNSUMIO reach $350.0 million and (ii) January 1 of the calendar year following the calendar year in which the First Threshold Date occurs.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First Threshold Date was achieved. As a result, beginning in April 2023 the pre-tax profit share for RITUXAN and LUNSUMIO will be 35.0%.</w:t>
      </w:r>
    </w:p>
    <w:p>
      <w:pPr>
        <w:pStyle w:val="TextBody"/>
        <w:spacing w:lineRule="auto" w:line="288" w:before="180" w:after="283"/>
        <w:rPr>
          <w:rFonts w:ascii="Franklin Gothic Book;sans-serif" w:hAnsi="Franklin Gothic Book;sans-serif"/>
          <w:b w:val="false"/>
          <w:i/>
          <w:color w:val="538235"/>
          <w:sz w:val="20"/>
        </w:rPr>
      </w:pPr>
      <w:r>
        <w:rPr>
          <w:rFonts w:ascii="Franklin Gothic Book;sans-serif" w:hAnsi="Franklin Gothic Book;sans-serif"/>
          <w:b w:val="false"/>
          <w:i/>
          <w:color w:val="538235"/>
          <w:sz w:val="20"/>
        </w:rPr>
        <w:t>GAZYVA Profit Share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current pretax profit-sharing formula for GAZYVA provides for a 35.0% share on the first $50.0 million of operating profits earned each calendar year. Our share of annual co-promotion profits in excess of $50.0 million varies upon the following events, as summarized in the table below:</w:t>
      </w:r>
    </w:p>
    <w:tbl>
      <w:tblPr>
        <w:tblW w:w="4697" w:type="dxa"/>
        <w:jc w:val="left"/>
        <w:tblInd w:w="0" w:type="dxa"/>
        <w:tblCellMar>
          <w:top w:w="28" w:type="dxa"/>
          <w:left w:w="28" w:type="dxa"/>
          <w:bottom w:w="28" w:type="dxa"/>
          <w:right w:w="28" w:type="dxa"/>
        </w:tblCellMar>
      </w:tblPr>
      <w:tblGrid>
        <w:gridCol w:w="1367"/>
        <w:gridCol w:w="1203"/>
        <w:gridCol w:w="1210"/>
        <w:gridCol w:w="293"/>
        <w:gridCol w:w="293"/>
        <w:gridCol w:w="331"/>
      </w:tblGrid>
      <w:tr>
        <w:trPr/>
        <w:tc>
          <w:tcPr>
            <w:tcW w:w="1367"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DDDDDD"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Until Second GAZYVA Threshold Date</w:t>
            </w:r>
          </w:p>
        </w:tc>
        <w:tc>
          <w:tcPr>
            <w:tcW w:w="586" w:type="dxa"/>
            <w:gridSpan w:val="2"/>
            <w:tcBorders/>
            <w:shd w:fill="DDDDDD"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37.5 </w:t>
            </w:r>
          </w:p>
        </w:tc>
        <w:tc>
          <w:tcPr>
            <w:tcW w:w="331" w:type="dxa"/>
            <w:tcBorders/>
            <w:shd w:fill="DDDDDD"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3BA"/>
                <w:sz w:val="20"/>
              </w:rPr>
            </w:pPr>
            <w:r>
              <w:rPr>
                <w:rFonts w:ascii="Franklin Gothic Book;sans-serif" w:hAnsi="Franklin Gothic Book;sans-serif"/>
                <w:b w:val="false"/>
                <w:color w:val="2573BA"/>
                <w:sz w:val="20"/>
              </w:rPr>
              <w:t>After Second GAZYVA Threshold Date</w:t>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35.0 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3BA"/>
                <w:sz w:val="20"/>
              </w:rPr>
            </w:pPr>
            <w:r>
              <w:rPr>
                <w:rFonts w:ascii="Franklin Gothic Book;sans-serif" w:hAnsi="Franklin Gothic Book;sans-serif"/>
                <w:b w:val="false"/>
                <w:color w:val="2573BA"/>
                <w:sz w:val="20"/>
              </w:rPr>
              <w:t>%</w:t>
            </w:r>
          </w:p>
        </w:tc>
      </w:tr>
      <w:tr>
        <w:trPr/>
        <w:tc>
          <w:tcPr>
            <w:tcW w:w="3780"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Franklin Gothic Book;sans-serif" w:hAnsi="Franklin Gothic Book;sans-serif"/>
          <w:b w:val="false"/>
          <w:color w:val="000000"/>
          <w:sz w:val="20"/>
          <w:u w:val="single"/>
        </w:rPr>
        <w:t>Second GAZYVA Threshold Date</w:t>
      </w:r>
      <w:r>
        <w:rPr>
          <w:color w:val="000000"/>
        </w:rPr>
        <w:t xml:space="preserve"> </w:t>
      </w:r>
      <w:r>
        <w:rPr>
          <w:rFonts w:ascii="Franklin Gothic Book;sans-serif" w:hAnsi="Franklin Gothic Book;sans-serif"/>
          <w:b w:val="false"/>
          <w:color w:val="000000"/>
          <w:sz w:val="20"/>
        </w:rPr>
        <w:t>means the first day of the calendar quarter following the date U.S. gross sales of GAZYVA within any consecutive 12-month period have reached $500.0 million. The second GAZYVA threshold date can be achieved regardless of whether GAZYVA has been approved in a non-CLL indication.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Second GAZYVA Threshold Date was achieved. As a result, beginning in April 2023 the pre-tax profit share for GAZYVA will be 35.0%.</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Eisai Co., Ltd.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March 31, 2023, we accrued a $31.0 million payable to Eisai related to the termination of an agreement whereby Eisai co-promoted or distributed our MS products in certain Asia-Pacific markets and settings. The termination fee is included in selling, general and administrative expense in our condensed consolidated statements of income for the three months ended March 31, 2023.</w:t>
      </w:r>
    </w:p>
    <w:p>
      <w:pPr>
        <w:pStyle w:val="TextBody"/>
        <w:spacing w:lineRule="auto" w:line="288" w:before="100" w:after="283"/>
        <w:rPr>
          <w:rFonts w:ascii="Franklin Gothic Book;sans-serif" w:hAnsi="Franklin Gothic Book;sans-serif"/>
          <w:b/>
          <w:i/>
          <w:color w:val="2573BA"/>
          <w:sz w:val="20"/>
        </w:rPr>
      </w:pPr>
      <w:r>
        <w:rPr>
          <w:rFonts w:ascii="Franklin Gothic Book;sans-serif" w:hAnsi="Franklin Gothic Book;sans-serif"/>
          <w:b/>
          <w:i/>
          <w:color w:val="2573BA"/>
          <w:sz w:val="20"/>
        </w:rPr>
        <w:t>LEQEMBI (lecanemab) Collaboration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a collaboration agreement with Eisai to jointly develop and commercialize LEQEMBI (lecanemab), an anti-amyloid antibody for the potential treatment of Alzheimer's disease (the LEQEMBI Collaboration).</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Upon LEQEMBI marketing approval, we and Eisai will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pStyle w:val="TextBody"/>
        <w:spacing w:lineRule="auto" w:line="288" w:before="120" w:after="283"/>
        <w:rPr/>
      </w:pPr>
      <w:r>
        <w:rPr>
          <w:rFonts w:ascii="Franklin Gothic Book;sans-serif" w:hAnsi="Franklin Gothic Book;sans-serif"/>
          <w:b w:val="false"/>
          <w:color w:val="000000"/>
          <w:sz w:val="20"/>
        </w:rPr>
        <w:t xml:space="preserve">In January 2023 the FDA granted accelerated approval of LEQEMBI, which became commercially available in the U.S. during the first quarter of 2023. Upon commercialization, we began recognizing commercial profits and losses related to the LEQEMBI Collaboration Agreement on a net basis. </w:t>
      </w:r>
      <w:r>
        <w:rPr>
          <w:rFonts w:ascii="Franklin Gothic Book;sans-serif" w:hAnsi="Franklin Gothic Book;sans-serif"/>
          <w:b w:val="false"/>
          <w:color w:val="000000"/>
          <w:sz w:val="20"/>
          <w:highlight w:val="white"/>
        </w:rPr>
        <w:t>As we are not the principal on sales transactions related to LEQEMBI, our 50.0% share of the revenue and operating expense is recorded on a net basis in revenue from LEQEMBI Collaboration, which is a separate component of revenue within our condensed consolidated statements of income.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we recognized a reduction to revenue of approximately $18.9 million, reflecting our net profit-share of the LEQEMBI Collaboration results in the U.S. This amount is included in revenue from LEQEMBI Collaboration within our condensed consolidated statements of income.</w:t>
      </w:r>
    </w:p>
    <w:p>
      <w:pPr>
        <w:pStyle w:val="TextBody"/>
        <w:spacing w:lineRule="auto" w:line="288" w:before="120" w:after="283"/>
        <w:rPr/>
      </w:pPr>
      <w:r>
        <w:rPr>
          <w:rFonts w:ascii="Franklin Gothic Book;sans-serif" w:hAnsi="Franklin Gothic Book;sans-serif"/>
          <w:b w:val="false"/>
          <w:color w:val="000000"/>
          <w:sz w:val="20"/>
          <w:highlight w:val="white"/>
        </w:rPr>
        <w:t xml:space="preserve">During the first quarter of 2023, upon commercialization of LEQEMBI, we began recognizing our share of U.S. revenue, cost of sales and selling and marketing expense in revenue from LEQEMBI Collaboration within our condensed consolidated income statements. Our share of LEQEMBI development expense will continue to be recorded within research and development expense and, until commercial approval on a region by region basis, non-U.S. selling and marketing expense will continue to be recorded in selling, general and administrative expense within our condensed consolidated statements of income. </w:t>
      </w:r>
      <w:r>
        <w:rPr>
          <w:rFonts w:ascii="Franklin Gothic Book;sans-serif" w:hAnsi="Franklin Gothic Book;sans-serif"/>
          <w:b w:val="false"/>
          <w:color w:val="000000"/>
          <w:sz w:val="20"/>
        </w:rPr>
        <w:t>A summary of development and sales and marketing expense related to the LEQEMBI Collaboration is as follows:</w:t>
      </w:r>
    </w:p>
    <w:tbl>
      <w:tblPr>
        <w:tblW w:w="10205" w:type="dxa"/>
        <w:jc w:val="left"/>
        <w:tblInd w:w="0" w:type="dxa"/>
        <w:tblCellMar>
          <w:top w:w="28" w:type="dxa"/>
          <w:left w:w="28" w:type="dxa"/>
          <w:bottom w:w="28" w:type="dxa"/>
          <w:right w:w="28" w:type="dxa"/>
        </w:tblCellMar>
      </w:tblPr>
      <w:tblGrid>
        <w:gridCol w:w="2437"/>
        <w:gridCol w:w="2108"/>
        <w:gridCol w:w="2133"/>
        <w:gridCol w:w="109"/>
        <w:gridCol w:w="109"/>
        <w:gridCol w:w="109"/>
        <w:gridCol w:w="273"/>
        <w:gridCol w:w="799"/>
        <w:gridCol w:w="141"/>
        <w:gridCol w:w="141"/>
        <w:gridCol w:w="141"/>
        <w:gridCol w:w="141"/>
        <w:gridCol w:w="273"/>
        <w:gridCol w:w="663"/>
        <w:gridCol w:w="141"/>
        <w:gridCol w:w="109"/>
        <w:gridCol w:w="109"/>
        <w:gridCol w:w="109"/>
        <w:gridCol w:w="160"/>
      </w:tblGrid>
      <w:tr>
        <w:trPr/>
        <w:tc>
          <w:tcPr>
            <w:tcW w:w="2437"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development expense incurred by the collaboration related to the advancement of LEQEMBI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9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107.9 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6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77.0 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the LEQEMBI Collaboration development expense reflected in research and development expense in our condensed consolidated statements of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54.0 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Total sales and marketing expense incurred by the LEQEMBI Collaboration</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10.5 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15.9 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Biogen's share of the LEQEMBI Collaboration sales and marketing expense reflected in selling, general and administrative expense in our condensed consolidated statements of income</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5.3 </w:t>
            </w:r>
          </w:p>
        </w:tc>
        <w:tc>
          <w:tcPr>
            <w:tcW w:w="1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Beginning in the first quarter of 2023 reimbursement to Eisai for our share of U.S. LEQEMBI selling, general and administrative expense is recognized in revenue from LEQEMBI Collaboration within our condensed consolidated statements of income.</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ADUHELM Collaboration Agreement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LEQEMBI Collaboration also provided Eisai with an option to jointly develop and commercialize ADUHELM (aducanumab) (ADUHELM Option). In October 2017 Eisai Exercised its ADUHELM Option and we entered into a new collaboration agreement for the joint development and commercialization of ADUHELM (the ADUHELM Collaboration Agreement).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our initial ADUHELM Collaboration Agreement, we would lead the ongoing development of ADUHELM, and we and Eisai would co-promote ADUHELM with a region-based profit split. Beginning in 2019, Eisai was reimbursing us for 45.0% of development and sales and marketing expense incurred by the collaboration for the advancement of ADUHELM.</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Eisai's share of development, commercialization and manufacturing expense was limited to $335.0 million for the period from January 1, 2022 to December 31, 2022, which was achieved as of December 31, 2022. Once this limit was achieved, we became responsible for all ADUHELM related costs.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and sales and marketing expense related to our initial ADUHELM Collaboration Agreement is as follows:</w:t>
      </w:r>
    </w:p>
    <w:tbl>
      <w:tblPr>
        <w:tblW w:w="10205" w:type="dxa"/>
        <w:jc w:val="left"/>
        <w:tblInd w:w="0" w:type="dxa"/>
        <w:tblCellMar>
          <w:top w:w="28" w:type="dxa"/>
          <w:left w:w="28" w:type="dxa"/>
          <w:bottom w:w="28" w:type="dxa"/>
          <w:right w:w="28" w:type="dxa"/>
        </w:tblCellMar>
      </w:tblPr>
      <w:tblGrid>
        <w:gridCol w:w="2818"/>
        <w:gridCol w:w="2336"/>
        <w:gridCol w:w="2338"/>
        <w:gridCol w:w="109"/>
        <w:gridCol w:w="109"/>
        <w:gridCol w:w="189"/>
        <w:gridCol w:w="189"/>
        <w:gridCol w:w="189"/>
        <w:gridCol w:w="366"/>
        <w:gridCol w:w="888"/>
        <w:gridCol w:w="189"/>
        <w:gridCol w:w="109"/>
        <w:gridCol w:w="109"/>
        <w:gridCol w:w="109"/>
        <w:gridCol w:w="158"/>
      </w:tblGrid>
      <w:tr>
        <w:trPr/>
        <w:tc>
          <w:tcPr>
            <w:tcW w:w="2818"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ADUHELM Collaboration development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8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44.2 </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ADUHELM Collaboration development expense reflected in research and development expense in our condensed consolidated statements of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sales and marketing expense incurred by the ADUHELM Collaboration Agreement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95.0 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ADUHELM Collaboration sales and marketing expense reflected in selling, general and administrative expense and collaboration profit sharing/(loss reimbursement) in our condensed consolidated statements of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50.9 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4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Franklin Gothic Book;sans-serif" w:hAnsi="Franklin Gothic Book;sans-serif"/>
          <w:b w:val="false"/>
          <w:i/>
          <w:color w:val="6DAD46"/>
          <w:sz w:val="20"/>
        </w:rPr>
        <w:t>ADUHELM C</w:t>
      </w:r>
      <w:r>
        <w:rPr>
          <w:rFonts w:ascii="Franklin Gothic Book;sans-serif" w:hAnsi="Franklin Gothic Book;sans-serif"/>
          <w:b w:val="false"/>
          <w:i/>
          <w:color w:val="6DAD46"/>
          <w:sz w:val="20"/>
          <w:highlight w:val="white"/>
        </w:rPr>
        <w:t>o-promotion Profits and Losses</w:t>
      </w:r>
    </w:p>
    <w:p>
      <w:pPr>
        <w:pStyle w:val="TextBody"/>
        <w:spacing w:lineRule="auto" w:line="288" w:before="120" w:after="283"/>
        <w:rPr/>
      </w:pPr>
      <w:r>
        <w:rPr>
          <w:rFonts w:ascii="Franklin Gothic Book;sans-serif" w:hAnsi="Franklin Gothic Book;sans-serif"/>
          <w:b w:val="false"/>
          <w:color w:val="000000"/>
          <w:sz w:val="20"/>
        </w:rPr>
        <w:t xml:space="preserve">Under our initial ADUHELM Collaboration Agreement, </w:t>
      </w:r>
      <w:r>
        <w:rPr>
          <w:rFonts w:ascii="Franklin Gothic Book;sans-serif" w:hAnsi="Franklin Gothic Book;sans-serif"/>
          <w:b w:val="false"/>
          <w:color w:val="000000"/>
          <w:sz w:val="20"/>
          <w:highlight w:val="white"/>
        </w:rPr>
        <w:t>we recognized revenue on sales of ADUHELM in the U.S. to third parties as a component of product revenue in our condensed consolidated statements of income. We also recorded the related cost of revenue and sales and marketing expense in our condensed consolidated statements of income as these costs were incurred. Payments made to and received from Eisai for its 45.0% share of the co-promotion profits or losses in the U.S. were recognized in collaboration profit sharing/(loss reimbursement) in our condensed consolidated statements of income. For the three months ended March 31, 2022,</w:t>
      </w:r>
      <w:r>
        <w:rPr>
          <w:color w:val="000000"/>
        </w:rPr>
        <w:t xml:space="preserve"> </w:t>
      </w:r>
      <w:r>
        <w:rPr>
          <w:rFonts w:ascii="Franklin Gothic Book;sans-serif" w:hAnsi="Franklin Gothic Book;sans-serif"/>
          <w:b w:val="false"/>
          <w:color w:val="000000"/>
          <w:sz w:val="20"/>
          <w:highlight w:val="white"/>
        </w:rPr>
        <w:t>we recognized a net reduction to our operating expense of approximately $181.7 million to reflect Eisai's 45.0% share of net collaboration losses in the U.S.</w:t>
      </w:r>
    </w:p>
    <w:p>
      <w:pPr>
        <w:pStyle w:val="TextBody"/>
        <w:spacing w:lineRule="auto" w:line="288" w:before="120" w:after="283"/>
        <w:rPr/>
      </w:pPr>
      <w:r>
        <w:rPr>
          <w:rFonts w:ascii="Franklin Gothic Book;sans-serif" w:hAnsi="Franklin Gothic Book;sans-serif"/>
          <w:b w:val="false"/>
          <w:color w:val="000000"/>
          <w:sz w:val="20"/>
        </w:rPr>
        <w:t xml:space="preserve">During the first quarter of 2022, as a result of the final NCD, we recorded approximately $275.0 million of charges associated with the write-off of inventory and purchase commitments in excess of forecasted demand related to ADUHELM. Additionally, for the three months ended </w:t>
      </w:r>
      <w:r>
        <w:rPr>
          <w:rFonts w:ascii="Franklin Gothic Book;sans-serif" w:hAnsi="Franklin Gothic Book;sans-serif"/>
          <w:b w:val="false"/>
          <w:color w:val="000000"/>
          <w:sz w:val="20"/>
          <w:highlight w:val="white"/>
        </w:rPr>
        <w:t xml:space="preserve">March 31, 2022, </w:t>
      </w:r>
      <w:r>
        <w:rPr>
          <w:rFonts w:ascii="Franklin Gothic Book;sans-serif" w:hAnsi="Franklin Gothic Book;sans-serif"/>
          <w:b w:val="false"/>
          <w:color w:val="000000"/>
          <w:sz w:val="20"/>
        </w:rPr>
        <w:t>we recorded approximately $45.0 million of aggregate gross idle capacity charges related to ADUHELM. These charges were recorded in cost of sales within our condensed consolidated statements of income. We recognized approximately $160.0 million related to Eisai's 45.0% share of these charges in collaboration profit sharing/(loss reimbursement) within our condensed consolidated statements of income</w:t>
      </w:r>
      <w:r>
        <w:rPr>
          <w:color w:val="000000"/>
          <w:highlight w:val="white"/>
        </w:rPr>
        <w:t xml:space="preserve"> </w:t>
      </w:r>
      <w:r>
        <w:rPr>
          <w:rFonts w:ascii="Franklin Gothic Book;sans-serif" w:hAnsi="Franklin Gothic Book;sans-serif"/>
          <w:b w:val="false"/>
          <w:color w:val="000000"/>
          <w:sz w:val="20"/>
          <w:highlight w:val="white"/>
        </w:rPr>
        <w:t xml:space="preserve">for the </w:t>
      </w:r>
      <w:r>
        <w:rPr>
          <w:rFonts w:ascii="Franklin Gothic Book;sans-serif" w:hAnsi="Franklin Gothic Book;sans-serif"/>
          <w:b w:val="false"/>
          <w:color w:val="000000"/>
          <w:sz w:val="20"/>
        </w:rPr>
        <w:t>three</w:t>
      </w:r>
      <w:r>
        <w:rPr>
          <w:color w:val="000000"/>
          <w:highlight w:val="white"/>
        </w:rPr>
        <w:t xml:space="preserve"> </w:t>
      </w:r>
      <w:r>
        <w:rPr>
          <w:rFonts w:ascii="Franklin Gothic Book;sans-serif" w:hAnsi="Franklin Gothic Book;sans-serif"/>
          <w:b w:val="false"/>
          <w:color w:val="000000"/>
          <w:sz w:val="20"/>
          <w:highlight w:val="white"/>
        </w:rPr>
        <w:t>months ended March 31, 2022.</w:t>
      </w:r>
    </w:p>
    <w:p>
      <w:pPr>
        <w:pStyle w:val="TextBody"/>
        <w:spacing w:lineRule="auto" w:line="288" w:before="120" w:after="283"/>
        <w:rPr/>
      </w:pPr>
      <w:r>
        <w:rPr>
          <w:rFonts w:ascii="Franklin Gothic Book;sans-serif" w:hAnsi="Franklin Gothic Book;sans-serif"/>
          <w:b w:val="false"/>
          <w:color w:val="000000"/>
          <w:sz w:val="20"/>
          <w:highlight w:val="white"/>
        </w:rPr>
        <w:t xml:space="preserve">Amounts receivable from Eisai related to the agreements discussed above were approximately </w:t>
      </w:r>
      <w:r>
        <w:rPr>
          <w:rFonts w:ascii="Franklin Gothic Book;sans-serif" w:hAnsi="Franklin Gothic Book;sans-serif"/>
          <w:b w:val="false"/>
          <w:color w:val="000000"/>
          <w:sz w:val="20"/>
        </w:rPr>
        <w:t>$72.6 million</w:t>
      </w:r>
      <w:r>
        <w:rPr>
          <w:color w:val="000000"/>
          <w:highlight w:val="white"/>
        </w:rPr>
        <w:t xml:space="preserve"> </w:t>
      </w:r>
      <w:r>
        <w:rPr>
          <w:rFonts w:ascii="Franklin Gothic Book;sans-serif" w:hAnsi="Franklin Gothic Book;sans-serif"/>
          <w:b w:val="false"/>
          <w:color w:val="000000"/>
          <w:sz w:val="20"/>
          <w:highlight w:val="white"/>
        </w:rPr>
        <w:t xml:space="preserve">and $88.0 million as of March 31, 2023 and </w:t>
      </w:r>
      <w:r>
        <w:rPr>
          <w:rFonts w:ascii="Franklin Gothic Book;sans-serif" w:hAnsi="Franklin Gothic Book;sans-serif"/>
          <w:b w:val="false"/>
          <w:color w:val="000000"/>
          <w:sz w:val="20"/>
        </w:rPr>
        <w:t>December 31, 2022</w:t>
      </w:r>
      <w:r>
        <w:rPr>
          <w:rFonts w:ascii="Franklin Gothic Book;sans-serif" w:hAnsi="Franklin Gothic Book;sans-serif"/>
          <w:b w:val="false"/>
          <w:color w:val="000000"/>
          <w:sz w:val="20"/>
          <w:highlight w:val="white"/>
        </w:rPr>
        <w:t xml:space="preserve">, respectively. Amounts payable to Eisai related to the agreements discussed above were </w:t>
      </w:r>
      <w:r>
        <w:rPr>
          <w:rFonts w:ascii="Franklin Gothic Book;sans-serif" w:hAnsi="Franklin Gothic Book;sans-serif"/>
          <w:b w:val="false"/>
          <w:color w:val="000000"/>
          <w:sz w:val="20"/>
        </w:rPr>
        <w:t xml:space="preserve">$137.8 million </w:t>
      </w:r>
      <w:r>
        <w:rPr>
          <w:rFonts w:ascii="Franklin Gothic Book;sans-serif" w:hAnsi="Franklin Gothic Book;sans-serif"/>
          <w:b w:val="false"/>
          <w:color w:val="000000"/>
          <w:sz w:val="20"/>
          <w:highlight w:val="white"/>
        </w:rPr>
        <w:t xml:space="preserve">and $81.2 million as of March 31, 2023 and </w:t>
      </w:r>
      <w:r>
        <w:rPr>
          <w:rFonts w:ascii="Franklin Gothic Book;sans-serif" w:hAnsi="Franklin Gothic Book;sans-serif"/>
          <w:b w:val="false"/>
          <w:color w:val="000000"/>
          <w:sz w:val="20"/>
        </w:rPr>
        <w:t>December 31, 2022, respectively</w:t>
      </w:r>
      <w:r>
        <w:rPr>
          <w:rFonts w:ascii="Franklin Gothic Book;sans-serif" w:hAnsi="Franklin Gothic Book;sans-serif"/>
          <w:b w:val="false"/>
          <w:color w:val="000000"/>
          <w:sz w:val="20"/>
          <w:highlight w:val="white"/>
        </w:rPr>
        <w:t>.</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Collaborative and Other Relationships,</w:t>
      </w:r>
      <w:r>
        <w:rPr>
          <w:color w:val="000000"/>
        </w:rPr>
        <w:t xml:space="preserve"> </w:t>
      </w:r>
      <w:r>
        <w:rPr>
          <w:rFonts w:ascii="Franklin Gothic Book;sans-serif" w:hAnsi="Franklin Gothic Book;sans-serif"/>
          <w:b w:val="false"/>
          <w:color w:val="000000"/>
          <w:sz w:val="20"/>
        </w:rPr>
        <w:t>to our consolidated financial statements included in our 2022 Form 10-K.</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UCB</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All costs incurred for agreed indications, including research, development, sales and marketing expense, are shared equally between us and UCB. If marketing approval is obtained, both companies will co-promote dapirolizumab pegol and share profits and losses equally.</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the UCB collaboration agreement is as follows:</w:t>
      </w:r>
    </w:p>
    <w:tbl>
      <w:tblPr>
        <w:tblW w:w="10205" w:type="dxa"/>
        <w:jc w:val="left"/>
        <w:tblInd w:w="0" w:type="dxa"/>
        <w:tblCellMar>
          <w:top w:w="28" w:type="dxa"/>
          <w:left w:w="28" w:type="dxa"/>
          <w:bottom w:w="28" w:type="dxa"/>
          <w:right w:w="28" w:type="dxa"/>
        </w:tblCellMar>
      </w:tblPr>
      <w:tblGrid>
        <w:gridCol w:w="2405"/>
        <w:gridCol w:w="2115"/>
        <w:gridCol w:w="2110"/>
        <w:gridCol w:w="109"/>
        <w:gridCol w:w="109"/>
        <w:gridCol w:w="109"/>
        <w:gridCol w:w="293"/>
        <w:gridCol w:w="710"/>
        <w:gridCol w:w="151"/>
        <w:gridCol w:w="151"/>
        <w:gridCol w:w="151"/>
        <w:gridCol w:w="151"/>
        <w:gridCol w:w="293"/>
        <w:gridCol w:w="710"/>
        <w:gridCol w:w="151"/>
        <w:gridCol w:w="109"/>
        <w:gridCol w:w="109"/>
        <w:gridCol w:w="109"/>
        <w:gridCol w:w="160"/>
      </w:tblGrid>
      <w:tr>
        <w:trPr/>
        <w:tc>
          <w:tcPr>
            <w:tcW w:w="2405"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UCB collaboration development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1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18.3 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17.6 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UCB collaboration development expense reflected in research and development expense in our condensed consolidated statements of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9.2 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Franklin Gothic Book;sans-serif" w:hAnsi="Franklin Gothic Book;sans-serif"/>
          <w:b/>
          <w:color w:val="2573BA"/>
          <w:sz w:val="22"/>
        </w:rPr>
      </w:pPr>
      <w:r>
        <w:rPr>
          <w:rFonts w:ascii="Franklin Gothic Book;sans-serif" w:hAnsi="Franklin Gothic Book;sans-serif"/>
          <w:b/>
          <w:color w:val="2573BA"/>
          <w:sz w:val="22"/>
        </w:rPr>
        <w:t>Sage Therapeutics, Inc.</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November 2020 we entered into a global collaboration and license agreement with Sage to jointly develop and commercialize zuranolone for the potential treatment of MDD and PPD and BIIB124 (SAGE-324) for the potential treatment of essential tremor with potential in other neurological conditions such as epilepsy.</w:t>
      </w:r>
    </w:p>
    <w:p>
      <w:pPr>
        <w:pStyle w:val="TextBody"/>
        <w:spacing w:lineRule="auto" w:line="276" w:before="120" w:after="283"/>
        <w:rPr>
          <w:rFonts w:ascii="Franklin Gothic Book;sans-serif" w:hAnsi="Franklin Gothic Book;sans-serif"/>
          <w:b w:val="false"/>
          <w:color w:val="000000"/>
          <w:sz w:val="20"/>
          <w:highlight w:val="white"/>
        </w:rPr>
      </w:pPr>
      <w:r>
        <w:rPr>
          <w:rFonts w:ascii="Franklin Gothic Book;sans-serif" w:hAnsi="Franklin Gothic Book;sans-serif"/>
          <w:b w:val="false"/>
          <w:color w:val="000000"/>
          <w:sz w:val="20"/>
          <w:highlight w:val="white"/>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 We may pay Sage milestones totaling $225.0 million upon the first commercial sale of zuranolone, for the potential treatment of MDD and PPD, in the U.S.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and sales and marketing expense related to this collaboration is as follows:</w:t>
      </w:r>
    </w:p>
    <w:tbl>
      <w:tblPr>
        <w:tblW w:w="10205" w:type="dxa"/>
        <w:jc w:val="left"/>
        <w:tblInd w:w="0" w:type="dxa"/>
        <w:tblCellMar>
          <w:top w:w="28" w:type="dxa"/>
          <w:left w:w="28" w:type="dxa"/>
          <w:bottom w:w="28" w:type="dxa"/>
          <w:right w:w="28" w:type="dxa"/>
        </w:tblCellMar>
      </w:tblPr>
      <w:tblGrid>
        <w:gridCol w:w="2472"/>
        <w:gridCol w:w="2118"/>
        <w:gridCol w:w="2111"/>
        <w:gridCol w:w="109"/>
        <w:gridCol w:w="109"/>
        <w:gridCol w:w="109"/>
        <w:gridCol w:w="285"/>
        <w:gridCol w:w="692"/>
        <w:gridCol w:w="147"/>
        <w:gridCol w:w="147"/>
        <w:gridCol w:w="147"/>
        <w:gridCol w:w="147"/>
        <w:gridCol w:w="285"/>
        <w:gridCol w:w="692"/>
        <w:gridCol w:w="147"/>
        <w:gridCol w:w="109"/>
        <w:gridCol w:w="109"/>
        <w:gridCol w:w="109"/>
        <w:gridCol w:w="161"/>
      </w:tblGrid>
      <w:tr>
        <w:trPr/>
        <w:tc>
          <w:tcPr>
            <w:tcW w:w="2472"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6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Sage collaboration development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9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34.8 </w:t>
            </w:r>
          </w:p>
        </w:tc>
        <w:tc>
          <w:tcPr>
            <w:tcW w:w="14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Sage collaboration development expense reflected in research and development expense in our condensed consolidated statements of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17.4 </w:t>
            </w:r>
          </w:p>
        </w:tc>
        <w:tc>
          <w:tcPr>
            <w:tcW w:w="14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Sage sales and marketing expense incurred by the collaboration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38.2 </w:t>
            </w:r>
          </w:p>
        </w:tc>
        <w:tc>
          <w:tcPr>
            <w:tcW w:w="14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Sage collaboration sales and marketing expense reflected in selling, general and administrative expense in our condensed consolidated statements of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19.1 </w:t>
            </w:r>
          </w:p>
        </w:tc>
        <w:tc>
          <w:tcPr>
            <w:tcW w:w="14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Denali Therapeutics Inc.</w:t>
      </w:r>
    </w:p>
    <w:p>
      <w:pPr>
        <w:pStyle w:val="TextBody"/>
        <w:spacing w:lineRule="auto" w:line="288" w:before="120" w:after="283"/>
        <w:rPr/>
      </w:pPr>
      <w:r>
        <w:rPr>
          <w:rFonts w:ascii="Franklin Gothic Book;sans-serif" w:hAnsi="Franklin Gothic Book;sans-serif"/>
          <w:b w:val="false"/>
          <w:color w:val="000000"/>
          <w:sz w:val="20"/>
        </w:rPr>
        <w:t xml:space="preserve">In August 2020 we entered into a collaboration and license agreement with Denali to co-develop and co-commercialize Denali's small molecule inhibitors of LRRK2 for Parkinson's disease. </w:t>
      </w:r>
      <w:r>
        <w:rPr>
          <w:rFonts w:ascii="Franklin Gothic Book;sans-serif" w:hAnsi="Franklin Gothic Book;sans-serif"/>
          <w:b w:val="false"/>
          <w:color w:val="000000"/>
          <w:sz w:val="20"/>
          <w:highlight w:val="white"/>
        </w:rPr>
        <w:t xml:space="preserve">In addition to the LRRK2 program, we also have an exclusive option to license two preclinical programs from Denali’s Transport Vehicle platform, including its ATV enabled anti-amyloid beta program and a second program utilizing its Transport Vehicle technology. Further, we have the right of first negotiation on two additional ATV-enabled therapeutics for indications within specific neurodegenerative diseases, should Denali decide to seek a collaboration for such programs. </w:t>
      </w:r>
      <w:r>
        <w:rPr>
          <w:rFonts w:ascii="Franklin Gothic Book;sans-serif" w:hAnsi="Franklin Gothic Book;sans-serif"/>
          <w:b w:val="false"/>
          <w:color w:val="000000"/>
          <w:sz w:val="20"/>
        </w:rPr>
        <w:t>In April 2023 we exercised our option with Denali to license the ATV-enabled anti-amyloid beta program. In connection with this exercise, we will assume responsibility for all development and commercial activities and associated expenses related to the program. In addition, we will make a one-time option exercise payment to Denali and, should certain milestones be achieved, may pay Denali additional development and commercial milestone payments and royalties based on future net sales.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this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this collaboration is as follows:</w:t>
      </w:r>
    </w:p>
    <w:tbl>
      <w:tblPr>
        <w:tblW w:w="10205" w:type="dxa"/>
        <w:jc w:val="left"/>
        <w:tblInd w:w="0" w:type="dxa"/>
        <w:tblCellMar>
          <w:top w:w="28" w:type="dxa"/>
          <w:left w:w="28" w:type="dxa"/>
          <w:bottom w:w="28" w:type="dxa"/>
          <w:right w:w="28" w:type="dxa"/>
        </w:tblCellMar>
      </w:tblPr>
      <w:tblGrid>
        <w:gridCol w:w="2409"/>
        <w:gridCol w:w="2118"/>
        <w:gridCol w:w="2113"/>
        <w:gridCol w:w="109"/>
        <w:gridCol w:w="109"/>
        <w:gridCol w:w="109"/>
        <w:gridCol w:w="292"/>
        <w:gridCol w:w="708"/>
        <w:gridCol w:w="150"/>
        <w:gridCol w:w="150"/>
        <w:gridCol w:w="150"/>
        <w:gridCol w:w="150"/>
        <w:gridCol w:w="292"/>
        <w:gridCol w:w="708"/>
        <w:gridCol w:w="150"/>
        <w:gridCol w:w="109"/>
        <w:gridCol w:w="109"/>
        <w:gridCol w:w="109"/>
        <w:gridCol w:w="161"/>
      </w:tblGrid>
      <w:tr>
        <w:trPr/>
        <w:tc>
          <w:tcPr>
            <w:tcW w:w="2409"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Denali collaboration development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70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16.6 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14.9 </w:t>
            </w:r>
          </w:p>
        </w:tc>
        <w:tc>
          <w:tcPr>
            <w:tcW w:w="1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Denali collaboration development expense reflected in research and development expense in our condensed consolidated statements of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10.0 </w:t>
            </w:r>
          </w:p>
        </w:tc>
        <w:tc>
          <w:tcPr>
            <w:tcW w:w="1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color w:val="2573BA"/>
          <w:sz w:val="22"/>
        </w:rPr>
      </w:pPr>
      <w:r>
        <w:rPr>
          <w:rFonts w:ascii="Franklin Gothic Book;sans-serif" w:hAnsi="Franklin Gothic Book;sans-serif"/>
          <w:b/>
          <w:color w:val="2573BA"/>
          <w:sz w:val="22"/>
        </w:rPr>
        <w:t>Sangamo Therapeutics, Inc.</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February 2020 we entered into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be identified and selected within a five-year period. The companies are leveraging Sangamo’s proprietary zinc finger protein technology delivered via adeno-associated virus to modulate the expression of key genes involved in neurological diseases.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we terminated our collaboration and license agreement with Sangamo.</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development expense related to this collaboration is as follows:</w:t>
      </w:r>
    </w:p>
    <w:tbl>
      <w:tblPr>
        <w:tblW w:w="10205" w:type="dxa"/>
        <w:jc w:val="left"/>
        <w:tblInd w:w="0" w:type="dxa"/>
        <w:tblCellMar>
          <w:top w:w="28" w:type="dxa"/>
          <w:left w:w="28" w:type="dxa"/>
          <w:bottom w:w="28" w:type="dxa"/>
          <w:right w:w="28" w:type="dxa"/>
        </w:tblCellMar>
      </w:tblPr>
      <w:tblGrid>
        <w:gridCol w:w="2452"/>
        <w:gridCol w:w="2156"/>
        <w:gridCol w:w="2150"/>
        <w:gridCol w:w="109"/>
        <w:gridCol w:w="109"/>
        <w:gridCol w:w="109"/>
        <w:gridCol w:w="312"/>
        <w:gridCol w:w="602"/>
        <w:gridCol w:w="161"/>
        <w:gridCol w:w="161"/>
        <w:gridCol w:w="161"/>
        <w:gridCol w:w="161"/>
        <w:gridCol w:w="312"/>
        <w:gridCol w:w="602"/>
        <w:gridCol w:w="161"/>
        <w:gridCol w:w="109"/>
        <w:gridCol w:w="109"/>
        <w:gridCol w:w="109"/>
        <w:gridCol w:w="160"/>
      </w:tblGrid>
      <w:tr>
        <w:trPr/>
        <w:tc>
          <w:tcPr>
            <w:tcW w:w="245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7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7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Sangamo collaboration development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0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5.1 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7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Sangamo collaboration development expense reflected in research and development expense in our condensed consolidated statements of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2.3 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color w:val="0070C0"/>
          <w:sz w:val="22"/>
        </w:rPr>
      </w:pPr>
      <w:r>
        <w:rPr>
          <w:rFonts w:ascii="Franklin Gothic Book;sans-serif" w:hAnsi="Franklin Gothic Book;sans-serif"/>
          <w:b/>
          <w:color w:val="0070C0"/>
          <w:sz w:val="22"/>
        </w:rPr>
        <w:t>Other Research and Discovery Arrangements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arrangements may include the potential for future milestone payments based on the achievement of certain clinical and commercial development payable over a period of several years.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Other</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July 2021 we entered into a collaboration and license agreement with InnoCare Pharma Limited for orelabrutinib, an oral small molecule Bruton's tyrosine kinase inhibitor for the potential treatment of MS. This license and collaboration agreement was later terminated in February 2023.</w:t>
      </w:r>
    </w:p>
    <w:p>
      <w:pPr>
        <w:pStyle w:val="TextBody"/>
        <w:spacing w:lineRule="auto" w:line="288" w:before="120" w:after="283"/>
        <w:rPr/>
      </w:pPr>
      <w:r>
        <w:rPr>
          <w:rFonts w:ascii="Franklin Gothic Book;sans-serif" w:hAnsi="Franklin Gothic Book;sans-serif"/>
          <w:b w:val="false"/>
          <w:color w:val="000000"/>
          <w:sz w:val="20"/>
          <w:highlight w:val="white"/>
        </w:rPr>
        <w:t xml:space="preserve">For the three months ended March 31, 2023, we recorded </w:t>
      </w:r>
      <w:r>
        <w:rPr>
          <w:rFonts w:ascii="Franklin Gothic Book;sans-serif" w:hAnsi="Franklin Gothic Book;sans-serif"/>
          <w:b w:val="false"/>
          <w:color w:val="000000"/>
          <w:sz w:val="20"/>
        </w:rPr>
        <w:t>$0.2 million</w:t>
      </w:r>
      <w:r>
        <w:rPr>
          <w:color w:val="000000"/>
          <w:highlight w:val="white"/>
        </w:rPr>
        <w:t xml:space="preserve"> </w:t>
      </w:r>
      <w:r>
        <w:rPr>
          <w:rFonts w:ascii="Franklin Gothic Book;sans-serif" w:hAnsi="Franklin Gothic Book;sans-serif"/>
          <w:b w:val="false"/>
          <w:color w:val="000000"/>
          <w:sz w:val="20"/>
          <w:highlight w:val="white"/>
        </w:rPr>
        <w:t xml:space="preserve">as research and development expense in our condensed consolidated statements of income related to other research and discovery related arrangements, compared to </w:t>
      </w:r>
      <w:r>
        <w:rPr>
          <w:rFonts w:ascii="Franklin Gothic Book;sans-serif" w:hAnsi="Franklin Gothic Book;sans-serif"/>
          <w:b w:val="false"/>
          <w:color w:val="000000"/>
          <w:sz w:val="20"/>
        </w:rPr>
        <w:t>$19.5 million</w:t>
      </w:r>
      <w:r>
        <w:rPr>
          <w:color w:val="000000"/>
          <w:highlight w:val="white"/>
        </w:rPr>
        <w:t xml:space="preserve"> </w:t>
      </w:r>
      <w:r>
        <w:rPr>
          <w:rFonts w:ascii="Franklin Gothic Book;sans-serif" w:hAnsi="Franklin Gothic Book;sans-serif"/>
          <w:b w:val="false"/>
          <w:color w:val="000000"/>
          <w:sz w:val="20"/>
          <w:highlight w:val="white"/>
        </w:rPr>
        <w:t>in the prior year comparative period.</w:t>
      </w:r>
    </w:p>
    <w:p>
      <w:pPr>
        <w:pStyle w:val="TextBody"/>
        <w:spacing w:lineRule="auto" w:line="288" w:before="180" w:after="283"/>
        <w:rPr>
          <w:rFonts w:ascii="Franklin Gothic Book;sans-serif" w:hAnsi="Franklin Gothic Book;sans-serif"/>
          <w:b/>
          <w:color w:val="0070C0"/>
          <w:sz w:val="22"/>
        </w:rPr>
      </w:pPr>
      <w:r>
        <w:rPr>
          <w:rFonts w:ascii="Franklin Gothic Book;sans-serif" w:hAnsi="Franklin Gothic Book;sans-serif"/>
          <w:b/>
          <w:color w:val="0070C0"/>
          <w:sz w:val="22"/>
        </w:rPr>
        <w:t>Samsung Bioepis Co., Ltd.</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2019 Development and Commercialization Agreement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2019 we completed a transaction with Samsung Bioepis and secured the exclusive rights to commercialize two potential ophthalmology biosimilar products, BYOOVIZ (ranibizumab-nuna), a ranibizumab biosimilar referencing LUCENTIS, and SB15, a proposed aflibercept biosimilar referencing EYLEA, in major markets worldwide, including the U.S., Canada, Europe, Japan and Australia. Samsung Bioepis will be responsible for development and will supply both products to us at a pre-specified gross margin of approximately 45.0%.</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this transaction, we may also pay Samsung Bioepis up to approximately $180.0 million in additional development, regulatory and sales-based milestones.</w:t>
      </w:r>
    </w:p>
    <w:p>
      <w:pPr>
        <w:pStyle w:val="TextBody"/>
        <w:spacing w:lineRule="auto" w:line="288" w:before="120" w:after="283"/>
        <w:rPr/>
      </w:pPr>
      <w:r>
        <w:rPr>
          <w:rFonts w:ascii="Franklin Gothic Book;sans-serif" w:hAnsi="Franklin Gothic Book;sans-serif"/>
          <w:b w:val="false"/>
          <w:color w:val="000000"/>
          <w:sz w:val="20"/>
          <w:highlight w:val="white"/>
        </w:rPr>
        <w:t>We also acquired an option to extend the term of our 2013 c</w:t>
      </w:r>
      <w:r>
        <w:rPr>
          <w:rFonts w:ascii="Franklin Gothic Book;sans-serif" w:hAnsi="Franklin Gothic Book;sans-serif"/>
          <w:b w:val="false"/>
          <w:color w:val="000000"/>
          <w:sz w:val="20"/>
        </w:rPr>
        <w:t>ommercial agreement for BENEPALI, IMRALDI and FLIXABI by an additional five years, subject to payment of an option exercise fee of $60.0 million, and obtained an option to acquire exclusive rights to commercialize these products in China.</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2013 Commercial Agreement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reflect revenue on sales of BENEPALI, IMRALDI and FLIXABI to third parties in product revenue in our condensed consolidated statements of income and record the related cost of revenue and sales and marketing expense in our condensed consolidated statements of income to their respective line items when these costs are incurred.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share 50.0% of the profit or loss related to our commercial agreement with Samsung Bioepis, which is recognized in collaboration profit sharing/(loss reimbursement) in our condensed consolidated statements of income. For the three months ended March 31, 2023, we recognized net profit-sharing expense of $57.1 million to reflect Samsung Bioepis' 50.0% sharing of the net collaboration profits, compared to a net profit-sharing expense of $64.4 million in the prior year comparative period. </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Other Services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Simultaneous with the formation of Samsung Bioepis, we also entered into a license agreement with Samsung Bioepis. Under the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Samsung Bioepis. Royalty revenue under the license agreement is recognized as a component of contract manufacturing, royalty and other revenue in our condensed consolidated statements of income.</w:t>
      </w:r>
    </w:p>
    <w:p>
      <w:pPr>
        <w:pStyle w:val="TextBody"/>
        <w:spacing w:lineRule="auto" w:line="288" w:before="120" w:after="283"/>
        <w:rPr/>
      </w:pPr>
      <w:r>
        <w:rPr>
          <w:rFonts w:ascii="Franklin Gothic Book;sans-serif" w:hAnsi="Franklin Gothic Book;sans-serif"/>
          <w:b w:val="false"/>
          <w:color w:val="000000"/>
          <w:sz w:val="20"/>
        </w:rPr>
        <w:t>Amounts receivable from Samsung Bioepis related to the agreements discussed abo</w:t>
      </w:r>
      <w:r>
        <w:rPr>
          <w:rFonts w:ascii="Franklin Gothic Book;sans-serif" w:hAnsi="Franklin Gothic Book;sans-serif"/>
          <w:b w:val="false"/>
          <w:color w:val="000000"/>
          <w:sz w:val="20"/>
          <w:highlight w:val="white"/>
        </w:rPr>
        <w:t>ve were $6.3 million a</w:t>
      </w:r>
      <w:r>
        <w:rPr>
          <w:rFonts w:ascii="Franklin Gothic Book;sans-serif" w:hAnsi="Franklin Gothic Book;sans-serif"/>
          <w:b w:val="false"/>
          <w:color w:val="000000"/>
          <w:sz w:val="20"/>
        </w:rPr>
        <w:t>nd $2.0 million as of March 31, 2023 and December 31, 2022, respectively. Amounts payable to Samsung Bioepis related to the agreements discussed abo</w:t>
      </w:r>
      <w:r>
        <w:rPr>
          <w:rFonts w:ascii="Franklin Gothic Book;sans-serif" w:hAnsi="Franklin Gothic Book;sans-serif"/>
          <w:b w:val="false"/>
          <w:color w:val="000000"/>
          <w:sz w:val="20"/>
          <w:highlight w:val="white"/>
        </w:rPr>
        <w:t xml:space="preserve">ve were $32.2 million and </w:t>
      </w:r>
      <w:r>
        <w:rPr>
          <w:rFonts w:ascii="Franklin Gothic Book;sans-serif" w:hAnsi="Franklin Gothic Book;sans-serif"/>
          <w:b w:val="false"/>
          <w:color w:val="000000"/>
          <w:sz w:val="20"/>
        </w:rPr>
        <w:t>$40.5 million as of March 31, 2023 and December 31, 2022, respectively.</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Samsung Bioepis and our other significant collaboration arrangements, please read </w:t>
      </w:r>
      <w:r>
        <w:rPr>
          <w:rFonts w:ascii="Franklin Gothic Book;sans-serif" w:hAnsi="Franklin Gothic Book;sans-serif"/>
          <w:b w:val="false"/>
          <w:i/>
          <w:color w:val="000000"/>
          <w:sz w:val="20"/>
        </w:rPr>
        <w:t>Note 19,</w:t>
      </w:r>
      <w:r>
        <w:rPr>
          <w:color w:val="000000"/>
        </w:rPr>
        <w:t xml:space="preserve"> </w:t>
      </w:r>
      <w:r>
        <w:rPr>
          <w:rFonts w:ascii="Franklin Gothic Book;sans-serif" w:hAnsi="Franklin Gothic Book;sans-serif"/>
          <w:b w:val="false"/>
          <w:i/>
          <w:color w:val="000000"/>
          <w:sz w:val="20"/>
        </w:rPr>
        <w:t>Collaborative and Other Relationships,</w:t>
      </w:r>
      <w:r>
        <w:rPr>
          <w:color w:val="000000"/>
        </w:rPr>
        <w:t xml:space="preserve"> </w:t>
      </w:r>
      <w:r>
        <w:rPr>
          <w:rFonts w:ascii="Franklin Gothic Book;sans-serif" w:hAnsi="Franklin Gothic Book;sans-serif"/>
          <w:b w:val="false"/>
          <w:color w:val="000000"/>
          <w:sz w:val="20"/>
        </w:rPr>
        <w:t xml:space="preserve">to our consolidated financial statements included in our 2022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960" w:type="dxa"/>
        <w:jc w:val="left"/>
        <w:tblInd w:w="0" w:type="dxa"/>
        <w:tblCellMar>
          <w:top w:w="28" w:type="dxa"/>
          <w:left w:w="28" w:type="dxa"/>
          <w:bottom w:w="28" w:type="dxa"/>
          <w:right w:w="28" w:type="dxa"/>
        </w:tblCellMar>
      </w:tblPr>
      <w:tblGrid>
        <w:gridCol w:w="461"/>
        <w:gridCol w:w="406"/>
        <w:gridCol w:w="408"/>
        <w:gridCol w:w="1663"/>
        <w:gridCol w:w="1663"/>
        <w:gridCol w:w="2359"/>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2359"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17:</w:t>
            </w:r>
          </w:p>
        </w:tc>
        <w:tc>
          <w:tcPr>
            <w:tcW w:w="5685"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Investments in Variable Interest Entities</w:t>
            </w:r>
          </w:p>
        </w:tc>
      </w:tr>
    </w:tbl>
    <w:p>
      <w:pPr>
        <w:pStyle w:val="TextBody"/>
        <w:spacing w:lineRule="auto" w:line="288" w:before="120" w:after="283"/>
        <w:ind w:left="0" w:right="0" w:hanging="540"/>
        <w:rPr>
          <w:rFonts w:ascii="Franklin Gothic Book;sans-serif" w:hAnsi="Franklin Gothic Book;sans-serif"/>
          <w:b/>
          <w:color w:val="0070C0"/>
          <w:sz w:val="22"/>
        </w:rPr>
      </w:pPr>
      <w:r>
        <w:rPr>
          <w:rFonts w:ascii="Franklin Gothic Book;sans-serif" w:hAnsi="Franklin Gothic Book;sans-serif"/>
          <w:b/>
          <w:color w:val="0070C0"/>
          <w:sz w:val="22"/>
        </w:rPr>
        <w:t>Consolidated Variable Interest Entities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condensed consolidated financial statements include the financial results of variable interest entities in which we are the primary beneficiary. The following are our significant variable interest entities.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Neurimmune SubOne AG</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a collaboration and license agreement with Neurimmune for the development and commercialization of antibodies for the potential treatment of Alzheimer's disease, including ADUHELM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 Our royalty rates payable on products developed under the Neurimmune Agreement, including royalty rates payable on commercial sales of ADUHELM, range from the high single digits to sub-teens.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first quarter of 2022, upon issuance of the final NCD related to ADUHELM, we recorded an increase in a valuation allowance of approximately $85.0 million to reduce the net value of a previously recorded deferred tax asset to zero. This adjustment to our net deferred tax asset is recorded with an equal and offsetting amount assigned to net income (loss) attributable to noncontrolling interests, net of tax in our condensed consolidated statements of income, resulting in a zero net impact to net income attributable to Biogen Inc.</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Excluding the impact of the Neurimmune deferred tax asset, the assets and liabilities of Neurimmune are not significant to our condensed consolidated financial position or results of operations as it is a research and development organization. We have provided no financing to Neurimmune other than contractually required amounts.</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Unconsolidated Variable Interest Entities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March 31, 2023 and December 31, 2022, the carrying value of our investments in certain biotechnology companies representing potential unconsolidated variable interest entities totaled $28.0 million and $27.8 million, respectively. Our maximum exposure to loss related to these variable interest entities is limited to the carrying value of our investments.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 </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investments in Neurimmune and other variable interest entities, please read </w:t>
      </w:r>
      <w:r>
        <w:rPr>
          <w:rFonts w:ascii="Franklin Gothic Book;sans-serif" w:hAnsi="Franklin Gothic Book;sans-serif"/>
          <w:b w:val="false"/>
          <w:i/>
          <w:color w:val="000000"/>
          <w:sz w:val="20"/>
        </w:rPr>
        <w:t>Note 20, Investments in Variable Interest Entities,</w:t>
      </w:r>
      <w:r>
        <w:rPr>
          <w:color w:val="000000"/>
        </w:rPr>
        <w:t xml:space="preserve"> </w:t>
      </w:r>
      <w:r>
        <w:rPr>
          <w:rFonts w:ascii="Franklin Gothic Book;sans-serif" w:hAnsi="Franklin Gothic Book;sans-serif"/>
          <w:b w:val="false"/>
          <w:color w:val="000000"/>
          <w:sz w:val="20"/>
        </w:rPr>
        <w:t>to our consolidated financial statements included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tbl>
      <w:tblPr>
        <w:tblW w:w="2701" w:type="dxa"/>
        <w:jc w:val="left"/>
        <w:tblInd w:w="0" w:type="dxa"/>
        <w:tblCellMar>
          <w:top w:w="28" w:type="dxa"/>
          <w:left w:w="28" w:type="dxa"/>
          <w:bottom w:w="28" w:type="dxa"/>
          <w:right w:w="28" w:type="dxa"/>
        </w:tblCellMar>
      </w:tblPr>
      <w:tblGrid>
        <w:gridCol w:w="461"/>
        <w:gridCol w:w="406"/>
        <w:gridCol w:w="408"/>
        <w:gridCol w:w="417"/>
        <w:gridCol w:w="417"/>
        <w:gridCol w:w="592"/>
      </w:tblGrid>
      <w:tr>
        <w:trPr/>
        <w:tc>
          <w:tcPr>
            <w:tcW w:w="4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bottom w:val="single" w:sz="8" w:space="0" w:color="0070C0"/>
            </w:tcBorders>
            <w:shd w:fill="0070C0" w:val="clear"/>
            <w:tcMar>
              <w:top w:w="0" w:type="dxa"/>
              <w:left w:w="0" w:type="dxa"/>
              <w:bottom w:w="30" w:type="dxa"/>
              <w:right w:w="0" w:type="dxa"/>
            </w:tcMar>
            <w:vAlign w:val="center"/>
          </w:tcPr>
          <w:p>
            <w:pPr>
              <w:pStyle w:val="TableContents"/>
              <w:spacing w:lineRule="auto" w:line="240" w:before="0" w:after="0"/>
              <w:jc w:val="left"/>
              <w:rPr>
                <w:rFonts w:ascii="Franklin Gothic Book;sans-serif" w:hAnsi="Franklin Gothic Book;sans-serif"/>
                <w:b/>
                <w:color w:val="FFFFFF"/>
                <w:sz w:val="24"/>
              </w:rPr>
            </w:pPr>
            <w:r>
              <w:rPr>
                <w:rFonts w:ascii="Franklin Gothic Book;sans-serif" w:hAnsi="Franklin Gothic Book;sans-serif"/>
                <w:b/>
                <w:color w:val="FFFFFF"/>
                <w:sz w:val="24"/>
              </w:rPr>
              <w:t>Note 18:</w:t>
            </w:r>
          </w:p>
        </w:tc>
        <w:tc>
          <w:tcPr>
            <w:tcW w:w="1426" w:type="dxa"/>
            <w:gridSpan w:val="3"/>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280" w:after="283"/>
              <w:jc w:val="left"/>
              <w:rPr>
                <w:rFonts w:ascii="Franklin Gothic Book;sans-serif" w:hAnsi="Franklin Gothic Book;sans-serif"/>
                <w:b/>
                <w:color w:val="0070C0"/>
                <w:sz w:val="24"/>
              </w:rPr>
            </w:pPr>
            <w:r>
              <w:rPr>
                <w:rFonts w:ascii="Franklin Gothic Book;sans-serif" w:hAnsi="Franklin Gothic Book;sans-serif"/>
                <w:b/>
                <w:color w:val="0070C0"/>
                <w:sz w:val="24"/>
              </w:rPr>
              <w:t>Litigation</w:t>
            </w:r>
          </w:p>
        </w:tc>
      </w:tr>
    </w:tbl>
    <w:p>
      <w:pPr>
        <w:pStyle w:val="TextBody"/>
        <w:spacing w:lineRule="auto" w:line="288" w:before="120" w:after="283"/>
        <w:ind w:left="0" w:right="0" w:hanging="540"/>
        <w:rPr/>
      </w:pPr>
      <w:r>
        <w:rPr>
          <w:rFonts w:ascii="Franklin Gothic Book;sans-serif" w:hAnsi="Franklin Gothic Book;sans-serif"/>
          <w:b w:val="false"/>
          <w:color w:val="000000"/>
          <w:sz w:val="20"/>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Franklin Gothic Book;sans-serif" w:hAnsi="Franklin Gothic Book;sans-serif"/>
          <w:b w:val="false"/>
          <w:i/>
          <w:color w:val="000000"/>
          <w:sz w:val="20"/>
        </w:rPr>
        <w:t>Note 1, Summary of Significant Accounting Policies,</w:t>
      </w:r>
      <w:r>
        <w:rPr>
          <w:color w:val="000000"/>
        </w:rPr>
        <w:t xml:space="preserve"> </w:t>
      </w:r>
      <w:r>
        <w:rPr>
          <w:rFonts w:ascii="Franklin Gothic Book;sans-serif" w:hAnsi="Franklin Gothic Book;sans-serif"/>
          <w:b w:val="false"/>
          <w:color w:val="000000"/>
          <w:sz w:val="20"/>
        </w:rPr>
        <w:t>to our consolidated financial statements included in our 2022 Form 10-K.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Loss Contingencies</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ADUHELM Securities Litigation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United States District Court for the District of Massachusetts (the District Court) dismissed the previously disclosed shareholder action related to ADUHELM that had been filed in February 2022 against us and certain current and former officers. The second previously disclosed shareholder action related to ADUHELM, filed in November 2022 and dismissed by the District Court in September 2021, remains on appeal to the U.S. Court of Appeals for the First Circuit. Both actions alleged violations of federal securities laws under 15 U.S.C §78j(b) and §78t(a) and 17 C.F.R. §240.10b-5.</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Derivative Action</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and members of the Board of Directors are named as defendants in derivative actions filed by shareholders in February and July 2022, in the U.S. District Court for the District of Massachusetts. The actions allege violations of federal securities laws under 15 U.S.C. §78n(a) and 17 C.F.R. §240 14.a-9, and breaches of fiduciary duties and waste of corporate assets, and seek declaratory and injunctive relief, monetary relief payable to Biogen, and attorneys’ fees and costs payable to the plaintiffs. The District Court has stayed both cases.</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IMRALDI Patent Litigation</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June 2022 Fresenius Kabi Deutschland GmbH (Fresenius Kabi) filed a claim for damages and injunctive relief against Biogen France SAS in the Tribunal de Grande Instance de Paris, alleging that IMRALDI, the adalimumab biosimilar product of Samsung Bioepis that Biogen commercializes in Europe, infringes the French counterpart of European Patent 3 145 488 (the EP ‘488 Patent), which expires in May 2035. In August 2022 Fresenius Kabi filed a claim for damages and injunctive relief against Biogen GmbH in the Düsseldorf Regional Court, alleging infringement of the German counterpart of the EP '488 Patent. A hearing in the Düsseldorf Regional Court has been set for December 2023. No hearing has been set in the French action.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July 2019 Gedeon Richter Nyrt (Gedeon Richter) filed a claim for damages and injunctive relief against Biogen GmbH in the Düsseldorf Regional Court, alleging infringement of the German counterpart of European Patent No. 3 212 667 (the EP '667 Patent), which expires in October 2035. The case has been stayed pending review by the TBA of the EPO of the EPO's decision revoking the '667 Patent. The TBA has set a hearing for July 2023.</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November 2020 Gedeon Richter filed a claim for damages and injunctive relief against Biogen GmbH in the Düsseldorf Regional Court, alleging infringement of a German utility model corresponding to the EP '667 Patent, which expires in October 2025. The proceeding has been stayed pending the outcome of proceedings that Biogen has filed in the German Patent and Trademark Office to cancel the utility model, and the utility model was cancelled in March 2023.</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BIOGEN INC. AND SUBSIDIARIES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NOTES TO CONDENSED CONSOLIDATED FINANCIAL STATEMENTS</w:t>
      </w:r>
    </w:p>
    <w:p>
      <w:pPr>
        <w:pStyle w:val="TextBody"/>
        <w:spacing w:lineRule="auto" w:line="288" w:before="0" w:after="0"/>
        <w:jc w:val="center"/>
        <w:rPr>
          <w:rFonts w:ascii="Franklin Gothic Book;sans-serif" w:hAnsi="Franklin Gothic Book;sans-serif"/>
          <w:b/>
          <w:color w:val="00587F"/>
          <w:sz w:val="20"/>
        </w:rPr>
      </w:pPr>
      <w:r>
        <w:rPr>
          <w:rFonts w:ascii="Franklin Gothic Book;sans-serif" w:hAnsi="Franklin Gothic Book;sans-serif"/>
          <w:b/>
          <w:color w:val="00587F"/>
          <w:sz w:val="20"/>
        </w:rPr>
        <w:t>(unaudited, continued)</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Dispute with Former Convergence Shareholders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2015 Biogen acquired Convergence, a U.K. company. In November and December 2019 Shareholder Representative Services LLC, on behalf of the former shareholders of Convergence, sent us correspondence asserting claims of $200.0 million for alleged breach of the contract under which we acquired Convergence. We dispute the claims.</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ERISA Class Action Litigation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September 2020 the U.S. District Court for the District of Massachusetts consolidated two cases filed against us in July and August 2020 by participants in the Biogen 401(k) Savings Plan, alleging breach of fiduciary duty under ERISA. Plaintiffs seek a declaration of the action as a class action and monetary and other relief.</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Humana Patient Assistance Litigation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District Court for the District of Massachusetts dismissed the previously disclosed action filed against us by Humana in September 2020. Humana had alleged damages related to our providing MS patients with free medications and making charitable contributions to non-profit organizations that assist MS patients and had alleged violations of the federal RICO Act and state laws.</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Distributor Matter</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2022 we terminated our distribution agreement with the distributor of products for Biogen in various countries in the Middle East and northern Africa. The former distributor has asserted breach of contract. No suit has been filed.</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Genentech Litigation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2023 Genentech, Inc. filed suit against us in the U.S. District Court for the Northern District of California, alleging that it is owed royalties on sales of TYSABRI that occurred after the expiration of a patent licensed by Genentech to Biogen, together with interest and costs. No trial date has been set.</w:t>
      </w:r>
    </w:p>
    <w:p>
      <w:pPr>
        <w:pStyle w:val="TextBody"/>
        <w:spacing w:lineRule="auto" w:line="288" w:before="180" w:after="283"/>
        <w:rPr>
          <w:rFonts w:ascii="Franklin Gothic Book;sans-serif" w:hAnsi="Franklin Gothic Book;sans-serif"/>
          <w:b/>
          <w:color w:val="2573BA"/>
          <w:sz w:val="22"/>
        </w:rPr>
      </w:pPr>
      <w:r>
        <w:rPr>
          <w:rFonts w:ascii="Franklin Gothic Book;sans-serif" w:hAnsi="Franklin Gothic Book;sans-serif"/>
          <w:b/>
          <w:color w:val="2573BA"/>
          <w:sz w:val="22"/>
        </w:rPr>
        <w:t>Other Matters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Government Investigation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Company has received subpoenas from the Securities and Exchange Commission seeking information relating to ADUHELM, including healthcare sites and ADUHELM’s approval.</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TYSABRI Biosimilar Patent Matter</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September 2022, following Sandoz Inc.'s announcement that the FDA had accepted its biologics license application for a proposed biosimilar referring to TYSABRI, we filed an action in the U.S. District Court for the District of Delaware against Sandoz Inc., other Sandoz entities and Polpharma Biologics S.A. under the Biologics Price Competition and Innovation Act, 42 U.S.C. §262, seeking a declaratory judgment of patent infringement. No trial has been set.</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Annulment Proceedings in the General Court of the European Union relating to TECFIDERA</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Pharmaceutical Works Polpharma and Mylan Ireland each filed actions in the General Court of the European Union (the General Court) (Polpharma in October 2018 and Mylan Ireland in November 2020) to annul the EMA's decision not to validate their applications to market generic versions of TECFIDERA on the grounds that TECFIDERA benefits from regulatory data protection. On May 5, 2021, the European General Court annulled the EMA's non-validation decision with respect to Polpharma. On March 16, 2023, the European Court of Justice set aside the judgment of the General Court and dismissed Polpharma's action.</w:t>
      </w:r>
    </w:p>
    <w:p>
      <w:pPr>
        <w:pStyle w:val="TextBody"/>
        <w:spacing w:lineRule="auto" w:line="288" w:before="180" w:after="283"/>
        <w:rPr>
          <w:rFonts w:ascii="Franklin Gothic Book;sans-serif" w:hAnsi="Franklin Gothic Book;sans-serif"/>
          <w:b/>
          <w:i/>
          <w:color w:val="2573BA"/>
          <w:sz w:val="20"/>
        </w:rPr>
      </w:pPr>
      <w:r>
        <w:rPr>
          <w:rFonts w:ascii="Franklin Gothic Book;sans-serif" w:hAnsi="Franklin Gothic Book;sans-serif"/>
          <w:b/>
          <w:i/>
          <w:color w:val="2573BA"/>
          <w:sz w:val="20"/>
        </w:rPr>
        <w:t>Product Liability and Other Legal Proceedings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rPr>
          <w:rFonts w:ascii="Franklin Gothic Medium;sans-serif" w:hAnsi="Franklin Gothic Medium;sans-serif"/>
          <w:b/>
          <w:color w:val="000000"/>
          <w:sz w:val="28"/>
        </w:rPr>
      </w:pPr>
      <w:r>
        <w:rPr>
          <w:rFonts w:ascii="Franklin Gothic Medium;sans-serif" w:hAnsi="Franklin Gothic Medium;sans-serif"/>
          <w:b/>
          <w:color w:val="000000"/>
          <w:sz w:val="28"/>
        </w:rPr>
        <w:t>ITEM 2.    MANAGEMENT'S DISCUSSION AND ANALYSIS OF FINANCIAL CONDITION AND RESULTS OF OPERATIONS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discussion should be read in conjunction with our unaudited condensed consolidated financial statements (condensed consolidated financial statements) and the accompanying notes beginning on page 7 of this quarterly report on Form 10-Q and our audited consolidated financial statements and the accompanying notes included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EXECUTIVE SUMMARY</w:t>
      </w:r>
    </w:p>
    <w:p>
      <w:pPr>
        <w:pStyle w:val="TextBody"/>
        <w:spacing w:lineRule="auto" w:line="288" w:before="12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INTRODUCTION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and co-developed two treatments to address a defining pathology of Alzheimer's disease. We are focused on advancing our pipeline in neurology, neuropsychiatry, specialized immunology and rare diseases. We support our drug discovery and development efforts through internal research and development programs and external collaborations.</w:t>
      </w:r>
    </w:p>
    <w:p>
      <w:pPr>
        <w:pStyle w:val="TextBody"/>
        <w:spacing w:lineRule="auto" w:line="288" w:before="120" w:after="283"/>
        <w:rPr/>
      </w:pPr>
      <w:r>
        <w:rPr>
          <w:rFonts w:ascii="Franklin Gothic Book;sans-serif" w:hAnsi="Franklin Gothic Book;sans-serif"/>
          <w:b w:val="false"/>
          <w:color w:val="000000"/>
          <w:sz w:val="20"/>
        </w:rPr>
        <w:t xml:space="preserve">Our marketed products include TECFIDERA, VUMERITY, AVONEX, PLEGRIDY, TYSABRI and FAMPYRA for the treatment of MS; SPINRAZA for the treatment of SMA; ADUHELM for the treatment of Alzheimer's disease; and FUMADERM for the treatment of severe plaque psoriasis. We also collaborate with Eisai on the commercialization of LEQEMBI for the treatment of Alzheimer's disease, which was granted accelerated approval by the FDA in January 2023.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which was granted accelerated approval in the U.S. during the fourth quarter of 2022 for the treatment of relapsed or refractory follicular lymphoma; glofitamab, an investigational bispecific antibody for the potential treatment of non-Hodgkin's lymphoma; and have the option to add other potential anti-CD20 therapies, pursuant to our collaboration arrangements with Genentech, a wholly-owned member of the Roche Group. For additional information on our collaboration arrangements with Genentech, please read </w:t>
      </w:r>
      <w:r>
        <w:rPr>
          <w:rFonts w:ascii="Franklin Gothic Book;sans-serif" w:hAnsi="Franklin Gothic Book;sans-serif"/>
          <w:b w:val="false"/>
          <w:i/>
          <w:color w:val="000000"/>
          <w:sz w:val="20"/>
        </w:rPr>
        <w:t>Note 19, Collaborative and Other Relationships,</w:t>
      </w:r>
      <w:r>
        <w:rPr>
          <w:color w:val="000000"/>
        </w:rPr>
        <w:t xml:space="preserve"> </w:t>
      </w:r>
      <w:r>
        <w:rPr>
          <w:rFonts w:ascii="Franklin Gothic Book;sans-serif" w:hAnsi="Franklin Gothic Book;sans-serif"/>
          <w:b w:val="false"/>
          <w:color w:val="000000"/>
          <w:sz w:val="20"/>
        </w:rPr>
        <w:t>to our audited consolidated financial statements included in our 2022 Form 10-K.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to continuing to invest in new potential innovation in MS and SMA we are advancing our mid-to-late stage programs including zuranolone for MDD and PPD, BIIB080 for Alzheimer's disease, QALSODY (tofersen) for ALS and both litifilimab and dapirolizumab pegol for certain forms of lupus.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commercialize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in the U.S. We continue to develop potential biosimilar products including BIIB800, a proposed tocilizumab biosimilar referencing ACTEMRA, and SB15, a proposed aflibercept biosimilar referencing EYLEA. In February 2023 we announced that we are exploring strategic options for our biosimilars business.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Note 16,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seek to ensure an uninterrupted supply of medicines to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In the second quarter of 2021 a portion of the facility received a GMP multi-product license from the SWISSMEDIC. Solothurn has been approved for the manufacture of ADUHELM and LEQEMBI by the FDA. In the second quarter of 2021 a portion of the Solothurn manufacturing facility was placed into service and we estimate the second manufacturing suite will be operational by the end of 2023. We believe that the Solothurn facility will support our anticipated near-term needs for the manufacturing of biologic assets. If we are unable to fully utilize our manufacturing facilities, due to lower than forecasted demand for our products, we will incur excess capacity charges which will have a negative effect on our financial condition and results of operations.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revenue depends upon continued sales of our products as well as the financial rights we have in our anti-CD20 therapeutic programs, and, unless we develop, acquire rights to and/or commercialize new products and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technologies, we will be substantially dependent on sales from our products and our financial rights in our anti-CD20 therapeutic programs for many years.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pStyle w:val="TextBody"/>
        <w:spacing w:lineRule="auto" w:line="288" w:before="12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BUSINESS ENVIRONMENT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biopharmaceutical industry and the markets in which we operate are intensely competitive. Many of our competitors are working to develop or have commercialized products similar to those we market or are developing and have considerable experience in undertaking clinical trials and in obtaining regulatory approval to market pharmaceutical products. In addition, the commercialization of certain of our own approved products, products of our collaborators and pipeline product candidates may negatively impact future sales of our existing products.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products and revenue streams continue to face increasing competition in many markets from generic versions, prodrugs and biosimilars of existing products as well as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and/or could cause a decline or volatility in our stock price.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such as the COVID-19 pandemic, on employees, the global economy and the delivery of healthcare treatments, geopolitical events, supply chain disruptions, foreign currency exchange fluctuations, changes in intellectual property legal protections and changes in trade regulations and procedures.</w:t>
      </w:r>
    </w:p>
    <w:p>
      <w:pPr>
        <w:pStyle w:val="TextBody"/>
        <w:spacing w:lineRule="auto" w:line="288" w:before="120" w:after="283"/>
        <w:rPr/>
      </w:pPr>
      <w:r>
        <w:rPr>
          <w:rFonts w:ascii="Franklin Gothic Book;sans-serif" w:hAnsi="Franklin Gothic Book;sans-serif"/>
          <w:b w:val="false"/>
          <w:color w:val="000000"/>
          <w:sz w:val="20"/>
        </w:rPr>
        <w:t xml:space="preserve">For a detailed discussion on our business environment, please read </w:t>
      </w:r>
      <w:r>
        <w:rPr>
          <w:rFonts w:ascii="Franklin Gothic Book;sans-serif" w:hAnsi="Franklin Gothic Book;sans-serif"/>
          <w:b w:val="false"/>
          <w:i/>
          <w:color w:val="000000"/>
          <w:sz w:val="20"/>
        </w:rPr>
        <w:t>Item 1. Business</w:t>
      </w:r>
      <w:r>
        <w:rPr>
          <w:rFonts w:ascii="Franklin Gothic Book;sans-serif" w:hAnsi="Franklin Gothic Book;sans-serif"/>
          <w:b w:val="false"/>
          <w:color w:val="000000"/>
          <w:sz w:val="20"/>
        </w:rPr>
        <w:t xml:space="preserve">, in our 2022 Form 10-K. For additional information on our competition and pricing risks that could negatively impact our product sales, please read </w:t>
      </w:r>
      <w:r>
        <w:rPr>
          <w:rFonts w:ascii="Franklin Gothic Book;sans-serif" w:hAnsi="Franklin Gothic Book;sans-serif"/>
          <w:b w:val="false"/>
          <w:i/>
          <w:color w:val="000000"/>
          <w:sz w:val="20"/>
        </w:rPr>
        <w:t>Item 1A. Risk Factors</w:t>
      </w:r>
      <w:r>
        <w:rPr>
          <w:color w:val="000000"/>
        </w:rPr>
        <w:t xml:space="preserve"> </w:t>
      </w:r>
      <w:r>
        <w:rPr>
          <w:rFonts w:ascii="Franklin Gothic Book;sans-serif" w:hAnsi="Franklin Gothic Book;sans-serif"/>
          <w:b w:val="false"/>
          <w:color w:val="000000"/>
          <w:sz w:val="20"/>
        </w:rPr>
        <w:t>included in this report.</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TECFIDERA</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Multiple TECFIDERA generic entrants are now in North America, Brazil and certain E.U. countries and have deeply discounted prices compared to TECFIDERA. The generic competition for TECFIDERA has significantly reduced our TECFIDERA revenue and we expect that TECFIDERA revenue will continue to decline in the future.</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CJEU decided in favor of Biogen, the EMA and the EC in their appeal of a European General Court decision that had annulled the EMA's refusal to evaluate a generic version of TECFIDERA because of TECFIDERA's regulatory data and marketing protection. The CJEU set aside the General Court's judgment and dismissed the generic's action. On the basis of this favorable decision, we believe that TECFIDERA is entitled to regulatory marketing protection in the E.U. until at least February 4, 2024, and are seeking to enforce this protection. In addition, we will continue to enforce our EP 2 653 873 patent related to TECFIDERA, which expires in 2028.</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please read </w:t>
      </w:r>
      <w:r>
        <w:rPr>
          <w:rFonts w:ascii="Franklin Gothic Book;sans-serif" w:hAnsi="Franklin Gothic Book;sans-serif"/>
          <w:b w:val="false"/>
          <w:i/>
          <w:color w:val="000000"/>
          <w:sz w:val="20"/>
        </w:rPr>
        <w:t>Note 18, Litigation,</w:t>
      </w:r>
      <w:r>
        <w:rPr>
          <w:color w:val="000000"/>
        </w:rPr>
        <w:t xml:space="preserve"> </w:t>
      </w:r>
      <w:r>
        <w:rPr>
          <w:rFonts w:ascii="Franklin Gothic Book;sans-serif" w:hAnsi="Franklin Gothic Book;sans-serif"/>
          <w:b w:val="false"/>
          <w:color w:val="000000"/>
          <w:sz w:val="20"/>
        </w:rPr>
        <w:t xml:space="preserve">to our condensed consolidated financial statements included in this report and the discussion under </w:t>
      </w:r>
      <w:r>
        <w:rPr>
          <w:rFonts w:ascii="Franklin Gothic Book;sans-serif" w:hAnsi="Franklin Gothic Book;sans-serif"/>
          <w:b w:val="false"/>
          <w:i/>
          <w:color w:val="000000"/>
          <w:sz w:val="20"/>
        </w:rPr>
        <w:t xml:space="preserve">Results of Operations - Product Revenue - Multiple Sclerosis (MS) </w:t>
      </w:r>
      <w:r>
        <w:rPr>
          <w:rFonts w:ascii="Franklin Gothic Book;sans-serif" w:hAnsi="Franklin Gothic Book;sans-serif"/>
          <w:b w:val="false"/>
          <w:color w:val="000000"/>
          <w:sz w:val="20"/>
        </w:rPr>
        <w:t>below.</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BUSINESS UPDATE REGARDING MACROECONOMIC CONDITIONS AND OTHER DISRUPTIONS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Significant portions of our business are conducted in Europe, Asia and other international geographies. Factors such as the COVID-19 pandemic and other global health outbreaks, adverse weather events, geopolitical events, inflation, labor or raw material shortages and other supply chain disruptions could result in product shortages or other difficulties and delays or increased costs in manufacturing our products. Additionally, global disputes and interruptions in international relationships, including tariffs, trade protection measures, import or export licensing requirements and the imposition of trade sanctions or similar restrictions by the U.S. or other governments, affect our ability to do business. For example, tensions between the U.S. and China have led to a series of tariffs and sanctions being imposed by the U.S. on imports from China mainland, as well as other business restrictions.</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CURRENT ECONOMIC CONDITIONS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Economic conditions remain vulnerable as markets continue to be impacted in part by elevated inflation, rising interest rates, global supply chain constraints and recent bank failures.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Recently, concerns have arisen with respect to the financial condition of a number of banking institutions in the U.S., in particular those with exposure to certain types of depositors and large portfolios of investment securities. Additionally, in March 2023 SVB and Signature Bank were closed and taken over by the FDIC, which created significant market disruption and uncertainty with respect to the financial condition of a number of banking institutions in the U.S., in particular those with exposure to certain types of depositors and large portfolios of investment securities. While we do not have any direct exposure to SVB or Signature Bank, we do maintain our cash at financial institutions, often in balances that exceed the current FDIC insurance limits, and will continue to monitor our cash, cash equivalents and investments and take steps to identify any potential impact and minimize any disruptions on our business.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GEOPOLITICAL TENSIONS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ongoing geopolitical tensions related to Russia's invasion of Ukraine have resulted in global business disruptions and economic volatility, including sanctions and other restrictions levied on the government and businesses in Russia. Although we do not have affiliates or employees, in either Russia or Ukraine, we do provide various therapies to patients in Russia through a distributor. In addition, new government sanctions on the export of certain manufacturing materials to Russia may delay or limit our ability to get new products approved.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impact of the conflict on our operations and financial performance remains uncertain and will depend on future developments, including the severity and duration of the conflict, its impact on regional and global economic conditions and whether the conflict spreads or has effects on countries outside Ukraine and Russia. Revenue generated from sales in these regions represented less than 2.0% of total product revenue for the three months ended March 31, 2023 and the year ended December 31, 2022.</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will continue to monitor the ongoing conflict between Russia and Ukraine and assess any potential impacts on our business, supply chain, partners or customers, as well as any factors that could have an adverse effect on our results of operations.</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COVID-19</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COVID-19 pandemic continues to present a substantial public health and economic challenge around the world. 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the various risks posed by the COVID-19 pandemic and the conflict in Ukraine, please read </w:t>
      </w:r>
      <w:r>
        <w:rPr>
          <w:rFonts w:ascii="Franklin Gothic Book;sans-serif" w:hAnsi="Franklin Gothic Book;sans-serif"/>
          <w:b w:val="false"/>
          <w:i/>
          <w:color w:val="000000"/>
          <w:sz w:val="20"/>
        </w:rPr>
        <w:t>Item 1A.</w:t>
      </w:r>
      <w:r>
        <w:rPr>
          <w:color w:val="000000"/>
        </w:rPr>
        <w:t xml:space="preserve"> </w:t>
      </w:r>
      <w:r>
        <w:rPr>
          <w:rFonts w:ascii="Franklin Gothic Book;sans-serif" w:hAnsi="Franklin Gothic Book;sans-serif"/>
          <w:b w:val="false"/>
          <w:i/>
          <w:color w:val="000000"/>
          <w:sz w:val="20"/>
        </w:rPr>
        <w:t xml:space="preserve">Risk Factors </w:t>
      </w:r>
      <w:r>
        <w:rPr>
          <w:rFonts w:ascii="Franklin Gothic Book;sans-serif" w:hAnsi="Franklin Gothic Book;sans-serif"/>
          <w:b w:val="false"/>
          <w:color w:val="000000"/>
          <w:sz w:val="20"/>
        </w:rPr>
        <w:t>included in this report.</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INFLATION REDUCTION ACT OF 2022</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net deferred tax assets as of March 31, 2023 and December 31, 2022. We expect additional guidance and regulations to be issued in future periods and will continue to assess its potential impact on our business and results of operations as further information becomes available.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IRA also contains substantial drug pricing reforms that may have a significant impact on the pharmaceutical industry in the U.S. This includes allowing CMS to negotiate a maximum fair price for certain high-priced single source Medicare drugs, as well as redesigning Medicare Part D to reduce out-of-pocket prescription drug costs for beneficiaries, potentially resulting in higher contributions from plans and manufacturers. The IRA also establishes drug inflationary rebate requirements to penalize manufacturers from raising the prices of Medicare covered single-source drugs and biologics beyond the inflation-adjusted rate. Further, to incentivize biosimilar development, the IRA provides an 8.0% Medicare Part B add-on payment for qualifying biosimilar products for a five-year period.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IRA's drug pricing controls and Medicare redesign may have an adverse impact on our sales (particularly for our products that are more substantially reliant on Medicare reimbursement), our business and our results of operations. However, the degree of impact from this legislation on our business depends on a number of implementation decisions. We will continue to assess as further information becomes available.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FINANCIAL HIGHLIGHTS</w:t>
      </w:r>
    </w:p>
    <w:p>
      <w:pPr>
        <w:pStyle w:val="TextBody"/>
        <w:spacing w:lineRule="auto" w:line="288" w:before="120" w:after="283"/>
        <w:rPr/>
      </w:pPr>
      <w:r>
        <w:rPr>
          <w:rFonts w:ascii="Franklin Gothic Book;sans-serif" w:hAnsi="Franklin Gothic Book;sans-serif"/>
          <w:b w:val="false"/>
          <w:color w:val="000000"/>
          <w:sz w:val="20"/>
        </w:rPr>
        <w:t xml:space="preserve">As described below under </w:t>
      </w:r>
      <w:r>
        <w:rPr>
          <w:rFonts w:ascii="Franklin Gothic Book;sans-serif" w:hAnsi="Franklin Gothic Book;sans-serif"/>
          <w:b w:val="false"/>
          <w:i/>
          <w:color w:val="000000"/>
          <w:sz w:val="20"/>
        </w:rPr>
        <w:t>Results of Operations</w:t>
      </w:r>
      <w:r>
        <w:rPr>
          <w:rFonts w:ascii="Franklin Gothic Book;sans-serif" w:hAnsi="Franklin Gothic Book;sans-serif"/>
          <w:b w:val="false"/>
          <w:color w:val="000000"/>
          <w:sz w:val="20"/>
        </w:rPr>
        <w:t>, our net income and diluted earnings per share attributable to Biogen Inc. for the three months ended March 31, 2023, compared to the three months ended March 31, 2022, reflects the following: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784" w:type="dxa"/>
        <w:jc w:val="center"/>
        <w:tblInd w:w="0" w:type="dxa"/>
        <w:tblCellMar>
          <w:top w:w="28" w:type="dxa"/>
          <w:left w:w="28" w:type="dxa"/>
          <w:bottom w:w="28" w:type="dxa"/>
          <w:right w:w="28" w:type="dxa"/>
        </w:tblCellMar>
      </w:tblPr>
      <w:tblGrid>
        <w:gridCol w:w="309"/>
        <w:gridCol w:w="272"/>
        <w:gridCol w:w="272"/>
        <w:gridCol w:w="272"/>
        <w:gridCol w:w="272"/>
        <w:gridCol w:w="387"/>
      </w:tblGrid>
      <w:tr>
        <w:trPr/>
        <w:tc>
          <w:tcPr>
            <w:tcW w:w="3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1784" w:type="dxa"/>
            <w:gridSpan w:val="6"/>
            <w:tcBorders>
              <w:top w:val="single" w:sz="8" w:space="0" w:color="0070C0"/>
              <w:bottom w:val="single" w:sz="8" w:space="0" w:color="0070C0"/>
            </w:tcBorders>
            <w:shd w:fill="auto" w:val="clear"/>
            <w:tcMar>
              <w:top w:w="30" w:type="dxa"/>
              <w:left w:w="0" w:type="dxa"/>
              <w:bottom w:w="30" w:type="dxa"/>
              <w:right w:w="0" w:type="dxa"/>
            </w:tcMar>
            <w:vAlign w:val="center"/>
          </w:tcPr>
          <w:p>
            <w:pPr>
              <w:pStyle w:val="TableContents"/>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TOTAL REVENUE</w:t>
            </w:r>
          </w:p>
        </w:tc>
      </w:tr>
    </w:tbl>
    <w:p>
      <w:pPr>
        <w:pStyle w:val="TextBody"/>
        <w:spacing w:before="0" w:after="0"/>
        <w:rPr/>
      </w:pPr>
      <w:r>
        <w:rPr/>
        <w:drawing>
          <wp:inline distT="0" distB="63500" distL="0" distR="0">
            <wp:extent cx="2857500" cy="952500"/>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3"/>
                    <a:stretch>
                      <a:fillRect/>
                    </a:stretch>
                  </pic:blipFill>
                  <pic:spPr bwMode="auto">
                    <a:xfrm>
                      <a:off x="0" y="0"/>
                      <a:ext cx="2857500" cy="952500"/>
                    </a:xfrm>
                    <a:prstGeom prst="rect">
                      <a:avLst/>
                    </a:prstGeom>
                  </pic:spPr>
                </pic:pic>
              </a:graphicData>
            </a:graphic>
          </wp:inline>
        </w:drawing>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Decreased</w:t>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$68.8 million or 2.7%</w:t>
      </w:r>
    </w:p>
    <w:tbl>
      <w:tblPr>
        <w:tblW w:w="3251" w:type="dxa"/>
        <w:jc w:val="center"/>
        <w:tblInd w:w="0" w:type="dxa"/>
        <w:tblCellMar>
          <w:top w:w="28" w:type="dxa"/>
          <w:left w:w="28" w:type="dxa"/>
          <w:bottom w:w="28" w:type="dxa"/>
          <w:right w:w="28" w:type="dxa"/>
        </w:tblCellMar>
      </w:tblPr>
      <w:tblGrid>
        <w:gridCol w:w="562"/>
        <w:gridCol w:w="496"/>
        <w:gridCol w:w="496"/>
        <w:gridCol w:w="496"/>
        <w:gridCol w:w="496"/>
        <w:gridCol w:w="705"/>
      </w:tblGrid>
      <w:tr>
        <w:trPr/>
        <w:tc>
          <w:tcPr>
            <w:tcW w:w="56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r>
      <w:tr>
        <w:trPr/>
        <w:tc>
          <w:tcPr>
            <w:tcW w:w="3251" w:type="dxa"/>
            <w:gridSpan w:val="6"/>
            <w:tcBorders>
              <w:top w:val="single" w:sz="8" w:space="0" w:color="0070C0"/>
              <w:bottom w:val="single" w:sz="8" w:space="0" w:color="0070C0"/>
            </w:tcBorders>
            <w:shd w:fill="auto" w:val="clear"/>
            <w:tcMar>
              <w:top w:w="30" w:type="dxa"/>
              <w:left w:w="0" w:type="dxa"/>
              <w:bottom w:w="30" w:type="dxa"/>
              <w:right w:w="0" w:type="dxa"/>
            </w:tcMar>
            <w:vAlign w:val="center"/>
          </w:tcPr>
          <w:p>
            <w:pPr>
              <w:pStyle w:val="TableContents"/>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DILUTED EARNINGS PER SHARE</w:t>
            </w:r>
          </w:p>
        </w:tc>
      </w:tr>
    </w:tbl>
    <w:p>
      <w:pPr>
        <w:pStyle w:val="TextBody"/>
        <w:spacing w:before="0" w:after="0"/>
        <w:rPr/>
      </w:pPr>
      <w:r>
        <w:rPr/>
        <w:drawing>
          <wp:inline distT="0" distB="63500" distL="0" distR="0">
            <wp:extent cx="2857500" cy="952500"/>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4"/>
                    <a:stretch>
                      <a:fillRect/>
                    </a:stretch>
                  </pic:blipFill>
                  <pic:spPr bwMode="auto">
                    <a:xfrm>
                      <a:off x="0" y="0"/>
                      <a:ext cx="2857500" cy="952500"/>
                    </a:xfrm>
                    <a:prstGeom prst="rect">
                      <a:avLst/>
                    </a:prstGeom>
                  </pic:spPr>
                </pic:pic>
              </a:graphicData>
            </a:graphic>
          </wp:inline>
        </w:drawing>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Increased</w:t>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$0.61 or 29.6%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114" w:type="dxa"/>
        <w:jc w:val="left"/>
        <w:tblInd w:w="0" w:type="dxa"/>
        <w:tblCellMar>
          <w:top w:w="28" w:type="dxa"/>
          <w:left w:w="28" w:type="dxa"/>
          <w:bottom w:w="28" w:type="dxa"/>
          <w:right w:w="28" w:type="dxa"/>
        </w:tblCellMar>
      </w:tblPr>
      <w:tblGrid>
        <w:gridCol w:w="366"/>
        <w:gridCol w:w="321"/>
        <w:gridCol w:w="321"/>
        <w:gridCol w:w="321"/>
        <w:gridCol w:w="321"/>
        <w:gridCol w:w="464"/>
      </w:tblGrid>
      <w:tr>
        <w:trPr/>
        <w:tc>
          <w:tcPr>
            <w:tcW w:w="3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r>
      <w:tr>
        <w:trPr/>
        <w:tc>
          <w:tcPr>
            <w:tcW w:w="2114" w:type="dxa"/>
            <w:gridSpan w:val="6"/>
            <w:tcBorders>
              <w:top w:val="single" w:sz="8" w:space="0" w:color="0070C0"/>
              <w:bottom w:val="single" w:sz="8" w:space="0" w:color="0070C0"/>
            </w:tcBorders>
            <w:shd w:fill="auto" w:val="clear"/>
            <w:tcMar>
              <w:top w:w="30" w:type="dxa"/>
              <w:left w:w="0" w:type="dxa"/>
              <w:bottom w:w="30" w:type="dxa"/>
              <w:right w:w="0" w:type="dxa"/>
            </w:tcMar>
            <w:vAlign w:val="center"/>
          </w:tcPr>
          <w:p>
            <w:pPr>
              <w:pStyle w:val="TableContents"/>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PRODUCT REVENUE</w:t>
            </w:r>
          </w:p>
        </w:tc>
      </w:tr>
    </w:tbl>
    <w:p>
      <w:pPr>
        <w:pStyle w:val="TextBody"/>
        <w:spacing w:before="0" w:after="0"/>
        <w:rPr/>
      </w:pPr>
      <w:r>
        <w:rPr/>
        <w:drawing>
          <wp:inline distT="0" distB="63500" distL="0" distR="0">
            <wp:extent cx="2857500" cy="952500"/>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5"/>
                    <a:stretch>
                      <a:fillRect/>
                    </a:stretch>
                  </pic:blipFill>
                  <pic:spPr bwMode="auto">
                    <a:xfrm>
                      <a:off x="0" y="0"/>
                      <a:ext cx="2857500" cy="952500"/>
                    </a:xfrm>
                    <a:prstGeom prst="rect">
                      <a:avLst/>
                    </a:prstGeom>
                  </pic:spPr>
                </pic:pic>
              </a:graphicData>
            </a:graphic>
          </wp:inline>
        </w:drawing>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Decreased</w:t>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$303.0 million or 14.7%</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4" w:type="dxa"/>
            <w:gridSpan w:val="6"/>
            <w:tcBorders>
              <w:bottom w:val="single" w:sz="8" w:space="0" w:color="0070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color w:val="0070C0"/>
        </w:rPr>
        <w:t>•</w:t>
      </w:r>
      <w:r>
        <w:rPr>
          <w:rFonts w:ascii="Franklin Gothic Book;sans-serif" w:hAnsi="Franklin Gothic Book;sans-serif"/>
          <w:b w:val="false"/>
          <w:color w:val="0070C0"/>
          <w:sz w:val="18"/>
        </w:rPr>
        <w:t>MS revenue decreased $269.3 million, or 19.3%</w:t>
      </w:r>
    </w:p>
    <w:p>
      <w:pPr>
        <w:pStyle w:val="TextBody"/>
        <w:spacing w:lineRule="auto" w:line="288" w:before="0" w:after="0"/>
        <w:ind w:left="0" w:right="0" w:hanging="180"/>
        <w:rPr/>
      </w:pPr>
      <w:r>
        <w:rPr>
          <w:color w:val="0070C0"/>
        </w:rPr>
        <w:t>•</w:t>
      </w:r>
      <w:r>
        <w:rPr>
          <w:rFonts w:ascii="Franklin Gothic Book;sans-serif" w:hAnsi="Franklin Gothic Book;sans-serif"/>
          <w:b w:val="false"/>
          <w:color w:val="0070C0"/>
          <w:sz w:val="18"/>
        </w:rPr>
        <w:t>SMA revenue decreased $29.2 million, or 6.2%</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8"/>
        </w:rPr>
        <w:t>The decrease in MS product revenue was primarily due to a decrease in TECFIDERA demand as a result of multiple TECFIDERA generic entrants in North America, Brazil and certain E.U. countries, a decrease in Interferon demand due to competition as patients transition to higher efficacy therapies, pricing pressure and unfavorable channel dynamics in the U.S.</w:t>
      </w:r>
    </w:p>
    <w:p>
      <w:pPr>
        <w:pStyle w:val="TextBody"/>
        <w:spacing w:lineRule="auto" w:line="288" w:before="60" w:after="283"/>
        <w:ind w:left="0" w:right="0" w:hanging="360"/>
        <w:rPr/>
      </w:pPr>
      <w:r>
        <w:rPr>
          <w:color w:val="0070C0"/>
          <w:highlight w:val="white"/>
        </w:rPr>
        <w:t>•</w:t>
      </w:r>
      <w:r>
        <w:rPr>
          <w:rFonts w:ascii="Franklin Gothic Book;sans-serif" w:hAnsi="Franklin Gothic Book;sans-serif"/>
          <w:b w:val="false"/>
          <w:color w:val="000000"/>
          <w:sz w:val="18"/>
        </w:rPr>
        <w:t>The decrease in SPINRAZA revenue was primarily due to a decrease in U.S. sales volumes resulting from unfavorable channel dynamics and the impact of loading dose dynamics. Rest of world SPINRAZA revenue also decreased due to the unfavorable impact of foreign currency exchange and a decrease in sales volumes resulting from increased competition in certain established markets. The decrease was partially offset by sales volume growth in certain Asian markets and the timing of shipments.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818" w:type="dxa"/>
        <w:jc w:val="left"/>
        <w:tblInd w:w="0" w:type="dxa"/>
        <w:tblCellMar>
          <w:top w:w="28" w:type="dxa"/>
          <w:left w:w="28" w:type="dxa"/>
          <w:bottom w:w="28" w:type="dxa"/>
          <w:right w:w="28" w:type="dxa"/>
        </w:tblCellMar>
      </w:tblPr>
      <w:tblGrid>
        <w:gridCol w:w="488"/>
        <w:gridCol w:w="429"/>
        <w:gridCol w:w="429"/>
        <w:gridCol w:w="429"/>
        <w:gridCol w:w="429"/>
        <w:gridCol w:w="614"/>
      </w:tblGrid>
      <w:tr>
        <w:trPr/>
        <w:tc>
          <w:tcPr>
            <w:tcW w:w="48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2818" w:type="dxa"/>
            <w:gridSpan w:val="6"/>
            <w:tcBorders>
              <w:top w:val="single" w:sz="8" w:space="0" w:color="0070C0"/>
              <w:bottom w:val="single" w:sz="8" w:space="0" w:color="0070C0"/>
            </w:tcBorders>
            <w:shd w:fill="auto" w:val="clear"/>
            <w:tcMar>
              <w:top w:w="30" w:type="dxa"/>
              <w:left w:w="0" w:type="dxa"/>
              <w:bottom w:w="30" w:type="dxa"/>
              <w:right w:w="0" w:type="dxa"/>
            </w:tcMar>
            <w:vAlign w:val="center"/>
          </w:tcPr>
          <w:p>
            <w:pPr>
              <w:pStyle w:val="TableContents"/>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TOTAL COST AND EXPENSE</w:t>
            </w:r>
          </w:p>
        </w:tc>
      </w:tr>
    </w:tbl>
    <w:p>
      <w:pPr>
        <w:pStyle w:val="TextBody"/>
        <w:spacing w:before="0" w:after="0"/>
        <w:rPr/>
      </w:pPr>
      <w:r>
        <w:rPr/>
        <w:drawing>
          <wp:inline distT="0" distB="63500" distL="0" distR="0">
            <wp:extent cx="2857500" cy="952500"/>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6"/>
                    <a:stretch>
                      <a:fillRect/>
                    </a:stretch>
                  </pic:blipFill>
                  <pic:spPr bwMode="auto">
                    <a:xfrm>
                      <a:off x="0" y="0"/>
                      <a:ext cx="2857500" cy="952500"/>
                    </a:xfrm>
                    <a:prstGeom prst="rect">
                      <a:avLst/>
                    </a:prstGeom>
                  </pic:spPr>
                </pic:pic>
              </a:graphicData>
            </a:graphic>
          </wp:inline>
        </w:drawing>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Decreased</w:t>
      </w:r>
    </w:p>
    <w:p>
      <w:pPr>
        <w:pStyle w:val="TextBody"/>
        <w:spacing w:lineRule="auto" w:line="288" w:before="0" w:after="0"/>
        <w:jc w:val="center"/>
        <w:rPr>
          <w:rFonts w:ascii="Franklin Gothic Book;sans-serif" w:hAnsi="Franklin Gothic Book;sans-serif"/>
          <w:b w:val="false"/>
          <w:color w:val="0070C0"/>
          <w:sz w:val="20"/>
        </w:rPr>
      </w:pPr>
      <w:r>
        <w:rPr>
          <w:rFonts w:ascii="Franklin Gothic Book;sans-serif" w:hAnsi="Franklin Gothic Book;sans-serif"/>
          <w:b w:val="false"/>
          <w:color w:val="0070C0"/>
          <w:sz w:val="20"/>
        </w:rPr>
        <w:t>$159.7 million or 7.3%</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4" w:type="dxa"/>
            <w:gridSpan w:val="6"/>
            <w:tcBorders>
              <w:bottom w:val="single" w:sz="8" w:space="0" w:color="0070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color w:val="0070C0"/>
        </w:rPr>
        <w:t>•</w:t>
      </w:r>
      <w:r>
        <w:rPr>
          <w:rFonts w:ascii="Franklin Gothic Book;sans-serif" w:hAnsi="Franklin Gothic Book;sans-serif"/>
          <w:b w:val="false"/>
          <w:color w:val="0070C0"/>
          <w:sz w:val="18"/>
        </w:rPr>
        <w:t>Cost of sales decreased $91.1 million, or 12.1%</w:t>
      </w:r>
    </w:p>
    <w:p>
      <w:pPr>
        <w:pStyle w:val="TextBody"/>
        <w:spacing w:lineRule="auto" w:line="288" w:before="0" w:after="0"/>
        <w:ind w:left="0" w:right="0" w:hanging="180"/>
        <w:rPr/>
      </w:pPr>
      <w:r>
        <w:rPr>
          <w:color w:val="0070C0"/>
        </w:rPr>
        <w:t>•</w:t>
      </w:r>
      <w:r>
        <w:rPr>
          <w:rFonts w:ascii="Franklin Gothic Book;sans-serif" w:hAnsi="Franklin Gothic Book;sans-serif"/>
          <w:b w:val="false"/>
          <w:color w:val="0070C0"/>
          <w:sz w:val="18"/>
        </w:rPr>
        <w:t>SG&amp;A expense decreased $29.9 million, or 4.7%</w:t>
      </w:r>
    </w:p>
    <w:p>
      <w:pPr>
        <w:pStyle w:val="TextBody"/>
        <w:spacing w:lineRule="auto" w:line="288" w:before="60" w:after="283"/>
        <w:ind w:left="0" w:right="0" w:hanging="360"/>
        <w:rPr/>
      </w:pPr>
      <w:r>
        <w:rPr>
          <w:color w:val="0070C0"/>
          <w:highlight w:val="white"/>
        </w:rPr>
        <w:t>•</w:t>
      </w:r>
      <w:r>
        <w:rPr>
          <w:rFonts w:ascii="Franklin Gothic Book;sans-serif" w:hAnsi="Franklin Gothic Book;sans-serif"/>
          <w:b w:val="false"/>
          <w:color w:val="000000"/>
          <w:sz w:val="18"/>
        </w:rPr>
        <w:t>The decrease in cost of sales was primarily due to the write-off of approximately $275.0 million during the first quarter of 2022 related to ADUHELM inventory. The decrease was partially offset by higher cost of sales associated with contract manufacturing revenue, in part related to Eisai for LEQEMBI, which we began recognizing in the first quarter of 2023 upon commercialization.</w:t>
      </w:r>
    </w:p>
    <w:p>
      <w:pPr>
        <w:pStyle w:val="TextBody"/>
        <w:spacing w:lineRule="auto" w:line="288" w:before="60" w:after="283"/>
        <w:ind w:left="0" w:right="0" w:hanging="360"/>
        <w:rPr/>
      </w:pPr>
      <w:r>
        <w:rPr>
          <w:color w:val="0070C0"/>
          <w:highlight w:val="white"/>
        </w:rPr>
        <w:t>•</w:t>
      </w:r>
      <w:r>
        <w:rPr>
          <w:rFonts w:ascii="Franklin Gothic Book;sans-serif" w:hAnsi="Franklin Gothic Book;sans-serif"/>
          <w:b w:val="false"/>
          <w:color w:val="000000"/>
          <w:sz w:val="18"/>
        </w:rPr>
        <w:t>The decrease in selling, general and administrative expense was primarily due to cost-reduction measures realized in the first quarter of 2023, partially offset by investments to support new product launches and a $31.0 million obligation to Eisai related to the termination of the co-promotion agreement for our MS products in Japan.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086" w:type="dxa"/>
        <w:jc w:val="left"/>
        <w:tblInd w:w="0" w:type="dxa"/>
        <w:tblCellMar>
          <w:top w:w="28" w:type="dxa"/>
          <w:left w:w="28" w:type="dxa"/>
          <w:bottom w:w="28" w:type="dxa"/>
          <w:right w:w="28" w:type="dxa"/>
        </w:tblCellMar>
      </w:tblPr>
      <w:tblGrid>
        <w:gridCol w:w="1054"/>
        <w:gridCol w:w="928"/>
        <w:gridCol w:w="928"/>
        <w:gridCol w:w="928"/>
        <w:gridCol w:w="928"/>
        <w:gridCol w:w="1320"/>
      </w:tblGrid>
      <w:tr>
        <w:trPr/>
        <w:tc>
          <w:tcPr>
            <w:tcW w:w="105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r>
      <w:tr>
        <w:trPr/>
        <w:tc>
          <w:tcPr>
            <w:tcW w:w="6086" w:type="dxa"/>
            <w:gridSpan w:val="6"/>
            <w:tcBorders>
              <w:top w:val="single" w:sz="8" w:space="0" w:color="0070C0"/>
              <w:bottom w:val="single" w:sz="8" w:space="0" w:color="0070C0"/>
            </w:tcBorders>
            <w:shd w:fill="auto" w:val="clear"/>
            <w:tcMar>
              <w:top w:w="30" w:type="dxa"/>
              <w:left w:w="0" w:type="dxa"/>
              <w:bottom w:w="30" w:type="dxa"/>
              <w:right w:w="0" w:type="dxa"/>
            </w:tcMar>
            <w:vAlign w:val="center"/>
          </w:tcPr>
          <w:p>
            <w:pPr>
              <w:pStyle w:val="TableContents"/>
              <w:spacing w:lineRule="auto" w:line="240" w:before="0" w:after="283"/>
              <w:jc w:val="center"/>
              <w:rPr>
                <w:rFonts w:ascii="Franklin Gothic Medium;sans-serif" w:hAnsi="Franklin Gothic Medium;sans-serif"/>
                <w:b w:val="false"/>
                <w:color w:val="0070C0"/>
                <w:sz w:val="20"/>
              </w:rPr>
            </w:pPr>
            <w:r>
              <w:rPr>
                <w:rFonts w:ascii="Franklin Gothic Medium;sans-serif" w:hAnsi="Franklin Gothic Medium;sans-serif"/>
                <w:b w:val="false"/>
                <w:color w:val="0070C0"/>
                <w:sz w:val="20"/>
              </w:rPr>
              <w:t>FINANCIAL CONDITION, LIQUIDITY AND CAPITAL RESOURCES</w:t>
            </w:r>
          </w:p>
        </w:tc>
      </w:tr>
    </w:tbl>
    <w:p>
      <w:pPr>
        <w:pStyle w:val="TextBody"/>
        <w:spacing w:lineRule="auto" w:line="288" w:before="0" w:after="0"/>
        <w:ind w:left="0" w:right="0" w:hanging="360"/>
        <w:rPr/>
      </w:pPr>
      <w:r>
        <w:rPr>
          <w:color w:val="0070C0"/>
        </w:rPr>
        <w:t>•</w:t>
      </w:r>
      <w:r>
        <w:rPr>
          <w:rFonts w:ascii="Franklin Gothic Book;sans-serif" w:hAnsi="Franklin Gothic Book;sans-serif"/>
          <w:b w:val="false"/>
          <w:color w:val="000000"/>
          <w:sz w:val="18"/>
        </w:rPr>
        <w:t>We generated $455.3 million of net cash flow from operations for the three months ended March 31, 2023.</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8"/>
        </w:rPr>
        <w:t>Cash, cash equivalents and marketable securities totaled approximately $6,019.5 million as of March 31, 2023.</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8"/>
        </w:rPr>
        <w:t>There were no share repurchases of our common stock during the first quarter of 2023 under our 2020 Share Repurchase Program. Approximately $2.1 billion remained available under our 2020 Share Repurchase Program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52" name="Frame4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240" w:after="283"/>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RECENT DEVELOPMENTS</w:t>
      </w: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DEVELOPMENTS IN KEY COLLABORATIVE RELATIONSHIPS</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LEQEMBI (lecanemab)</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January 2023 the FDA granted accelerated approval of LEQEMBI, an anti-amyloid antibody for the treatment of Alzheimer's disease. Additionally, in January 2023 we and Eisai announced the completed submission of a supplemental BLA to the FDA for traditional approval of LEQEMBI. In March 2023 the FDA accepted the supplemental BLA and granted Priority Review for LEQEMBI, with an Advisory Committee meeting scheduled for June 9, 2023, and a PDUFA action date of July 6, 2023.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Eisai announced that the U.S. Veteran's Health Administration will be providing coverage of LEQEMBI to veterans living with early stages of Alzheimer's disease.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January 2023 the EMA accepted for review the MAA for lecanemab. In January 2023 Eisai completed the submission of a MAA to the PMDA in Japan for lecanemab, which was granted Priority Review by the Japanese Ministry of Health, Labor and Welfare. Additionally, in February 2023 the BLA for lecanemab was granted Priority Review by the NMPA of China.</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Zuranolone</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February 2023 the FDA accepted the NDA and granted Priority Review for zuranolone, with a PDUFA action date of August 5, 2023.</w:t>
      </w:r>
    </w:p>
    <w:p>
      <w:pPr>
        <w:pStyle w:val="TextBody"/>
        <w:spacing w:lineRule="auto" w:line="26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OTHER KEY DEVELOPMENTS</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QALSODY (tofersen)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TECFIDERA</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March 2023 the CJEU decided in favor of Biogen, the EMA and the EC in their appeal of a European General Court decision that had annulled the EMA's refusal to evaluate a generic version of TECFIDERA because of TECFIDERA's regulatory data and marketing protection. The CJEU set aside the General Court's judgment and dismissed the generic's action. On the basis of this favorable decision, we believe that TECFIDERA is entitled to regulatory marketing protection in the E.U. until at least February 4, 2024, and are seeking to enforce this protection.</w:t>
      </w:r>
    </w:p>
    <w:p>
      <w:pPr>
        <w:pStyle w:val="TextBody"/>
        <w:spacing w:lineRule="auto" w:line="26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BIIB093</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2023 we announced that we will be terminating our involvement in the development of BIIB093 (glibenclamide IV), currently in a Phase 3 study for large hemispheric infarction and a Phase 2 study for brain contusion, due to operational challenges and other strategic considerations.</w:t>
      </w:r>
    </w:p>
    <w:p>
      <w:pPr>
        <w:pStyle w:val="TextBody"/>
        <w:spacing w:lineRule="auto" w:line="26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BIIB131</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2023 we announced that we will be pausing the initiation of a Phase 2b study for BIIB131 (TMS-007) for acute ischemic stroke and will continue to assess whether to initiate this study.</w:t>
      </w:r>
    </w:p>
    <w:p>
      <w:pPr>
        <w:pStyle w:val="TextBody"/>
        <w:spacing w:lineRule="auto" w:line="26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BIIB132</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April 2023 we announced that we will be discontinuing further development of BIIB132 in spinocerebellar ataxia type 3, as part of our ongoing research and development prioritization initiative.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53" name="Frame4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260" w:after="283"/>
        <w:rPr>
          <w:rFonts w:ascii="Franklin Gothic Medium;sans-serif" w:hAnsi="Franklin Gothic Medium;sans-serif"/>
          <w:b w:val="false"/>
          <w:color w:val="00587F"/>
          <w:sz w:val="28"/>
        </w:rPr>
      </w:pPr>
      <w:r>
        <w:rPr>
          <w:rFonts w:ascii="Franklin Gothic Medium;sans-serif" w:hAnsi="Franklin Gothic Medium;sans-serif"/>
          <w:b w:val="false"/>
          <w:color w:val="00587F"/>
          <w:sz w:val="28"/>
        </w:rPr>
        <w:t>RESULTS OF OPERATIONS</w:t>
      </w:r>
    </w:p>
    <w:p>
      <w:pPr>
        <w:pStyle w:val="TextBody"/>
        <w:spacing w:lineRule="auto" w:line="288" w:before="12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REVENUE</w:t>
      </w:r>
    </w:p>
    <w:p>
      <w:pPr>
        <w:pStyle w:val="TextBody"/>
        <w:spacing w:lineRule="auto" w:line="288" w:before="120" w:after="283"/>
        <w:rPr/>
      </w:pPr>
      <w:r>
        <w:rPr>
          <w:rFonts w:ascii="Franklin Gothic Book;sans-serif" w:hAnsi="Franklin Gothic Book;sans-serif"/>
          <w:b w:val="false"/>
          <w:color w:val="000000"/>
          <w:sz w:val="20"/>
        </w:rPr>
        <w:t xml:space="preserve">The following revenue discussion should be read in conjunction with </w:t>
      </w:r>
      <w:r>
        <w:rPr>
          <w:rFonts w:ascii="Franklin Gothic Book;sans-serif" w:hAnsi="Franklin Gothic Book;sans-serif"/>
          <w:b w:val="false"/>
          <w:i/>
          <w:color w:val="000000"/>
          <w:sz w:val="20"/>
        </w:rPr>
        <w:t>Note 4, Revenue</w:t>
      </w:r>
      <w:r>
        <w:rPr>
          <w:rFonts w:ascii="Franklin Gothic Book;sans-serif" w:hAnsi="Franklin Gothic Book;sans-serif"/>
          <w:b w:val="false"/>
          <w:color w:val="000000"/>
          <w:sz w:val="20"/>
        </w:rPr>
        <w:t>, to our condensed consolidated financial statements included in this report.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is summarized as follows:</w:t>
      </w:r>
    </w:p>
    <w:tbl>
      <w:tblPr>
        <w:tblW w:w="10205" w:type="dxa"/>
        <w:jc w:val="left"/>
        <w:tblInd w:w="0" w:type="dxa"/>
        <w:tblCellMar>
          <w:top w:w="28" w:type="dxa"/>
          <w:left w:w="28" w:type="dxa"/>
          <w:bottom w:w="28" w:type="dxa"/>
          <w:right w:w="28" w:type="dxa"/>
        </w:tblCellMar>
      </w:tblPr>
      <w:tblGrid>
        <w:gridCol w:w="829"/>
        <w:gridCol w:w="637"/>
        <w:gridCol w:w="640"/>
        <w:gridCol w:w="109"/>
        <w:gridCol w:w="109"/>
        <w:gridCol w:w="109"/>
        <w:gridCol w:w="211"/>
        <w:gridCol w:w="766"/>
        <w:gridCol w:w="109"/>
        <w:gridCol w:w="109"/>
        <w:gridCol w:w="109"/>
        <w:gridCol w:w="109"/>
        <w:gridCol w:w="307"/>
        <w:gridCol w:w="309"/>
        <w:gridCol w:w="256"/>
        <w:gridCol w:w="109"/>
        <w:gridCol w:w="109"/>
        <w:gridCol w:w="109"/>
        <w:gridCol w:w="211"/>
        <w:gridCol w:w="766"/>
        <w:gridCol w:w="109"/>
        <w:gridCol w:w="109"/>
        <w:gridCol w:w="109"/>
        <w:gridCol w:w="109"/>
        <w:gridCol w:w="307"/>
        <w:gridCol w:w="309"/>
        <w:gridCol w:w="256"/>
        <w:gridCol w:w="109"/>
        <w:gridCol w:w="109"/>
        <w:gridCol w:w="109"/>
        <w:gridCol w:w="211"/>
        <w:gridCol w:w="664"/>
        <w:gridCol w:w="109"/>
        <w:gridCol w:w="109"/>
        <w:gridCol w:w="109"/>
        <w:gridCol w:w="109"/>
        <w:gridCol w:w="308"/>
        <w:gridCol w:w="308"/>
        <w:gridCol w:w="621"/>
      </w:tblGrid>
      <w:tr>
        <w:trPr/>
        <w:tc>
          <w:tcPr>
            <w:tcW w:w="82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2"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2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United States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701.4 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28.5 </w:t>
            </w:r>
          </w:p>
        </w:tc>
        <w:tc>
          <w:tcPr>
            <w:tcW w:w="25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34.6 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6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(173.8)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(19.9)</w:t>
            </w:r>
          </w:p>
        </w:tc>
        <w:tc>
          <w:tcPr>
            <w:tcW w:w="62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 of world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1,061.9 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43.1 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1,191.1 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(129.2)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(10.8)</w:t>
            </w:r>
          </w:p>
        </w:tc>
        <w:tc>
          <w:tcPr>
            <w:tcW w:w="6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1,763.3 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71.6 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2,066.3 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81.6 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(303.0)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(14.7)</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 from LEQEMBI Collaboration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(0.8)</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Revenue from anti-CD20 therapeutic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399.5 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16.2 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royalty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319.1 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13.0 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253.0 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382.8 </w:t>
            </w:r>
          </w:p>
        </w:tc>
        <w:tc>
          <w:tcPr>
            <w:tcW w:w="6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2,463.0 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100.0 </w:t>
            </w:r>
          </w:p>
        </w:tc>
        <w:tc>
          <w:tcPr>
            <w:tcW w:w="2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2,531.8 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2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(68.8)</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(2.7)</w:t>
            </w:r>
          </w:p>
        </w:tc>
        <w:tc>
          <w:tcPr>
            <w:tcW w:w="6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6686" w:type="dxa"/>
            <w:gridSpan w:val="30"/>
            <w:tcBorders/>
            <w:shd w:fill="auto" w:val="clea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2875" w:type="dxa"/>
            <w:gridSpan w:val="12"/>
            <w:tcBorders/>
            <w:shd w:fill="auto" w:val="clea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r>
    </w:tbl>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nm</w:t>
      </w:r>
      <w:r>
        <w:rPr>
          <w:color w:val="000000"/>
        </w:rPr>
        <w:t xml:space="preserve"> </w:t>
      </w:r>
      <w:r>
        <w:rPr>
          <w:rFonts w:ascii="Franklin Gothic Book;sans-serif" w:hAnsi="Franklin Gothic Book;sans-serif"/>
          <w:b w:val="false"/>
          <w:color w:val="000000"/>
          <w:sz w:val="16"/>
        </w:rPr>
        <w:t>Not meaningful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PRODUCT REVENUE</w:t>
      </w:r>
    </w:p>
    <w:p>
      <w:pPr>
        <w:pStyle w:val="TextBody"/>
        <w:spacing w:lineRule="auto" w:line="288" w:before="6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Product revenue is summarized as follows:</w:t>
      </w:r>
    </w:p>
    <w:tbl>
      <w:tblPr>
        <w:tblW w:w="14502" w:type="dxa"/>
        <w:jc w:val="left"/>
        <w:tblInd w:w="0" w:type="dxa"/>
        <w:tblCellMar>
          <w:top w:w="28" w:type="dxa"/>
          <w:left w:w="28" w:type="dxa"/>
          <w:bottom w:w="28" w:type="dxa"/>
          <w:right w:w="28" w:type="dxa"/>
        </w:tblCellMar>
      </w:tblPr>
      <w:tblGrid>
        <w:gridCol w:w="495"/>
        <w:gridCol w:w="277"/>
        <w:gridCol w:w="27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307"/>
        <w:gridCol w:w="309"/>
        <w:gridCol w:w="318"/>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307"/>
        <w:gridCol w:w="309"/>
        <w:gridCol w:w="318"/>
        <w:gridCol w:w="109"/>
        <w:gridCol w:w="109"/>
        <w:gridCol w:w="109"/>
        <w:gridCol w:w="211"/>
        <w:gridCol w:w="631"/>
        <w:gridCol w:w="109"/>
        <w:gridCol w:w="109"/>
        <w:gridCol w:w="109"/>
        <w:gridCol w:w="109"/>
        <w:gridCol w:w="263"/>
        <w:gridCol w:w="263"/>
        <w:gridCol w:w="620"/>
      </w:tblGrid>
      <w:tr>
        <w:trPr/>
        <w:tc>
          <w:tcPr>
            <w:tcW w:w="49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4" w:type="dxa"/>
            <w:gridSpan w:val="57"/>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3" w:type="dxa"/>
            <w:gridSpan w:val="21"/>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United</w:t>
              <w:br/>
              <w:t>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Rest of</w:t>
              <w:br/>
              <w:t>World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Multiple Sclerosis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546.1 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63.9 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709.1 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685.4 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1,394.5 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67.5 </w:t>
            </w:r>
          </w:p>
        </w:tc>
        <w:tc>
          <w:tcPr>
            <w:tcW w:w="3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(269.3)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(19.3)</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Spinal Muscular Atrophy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146.7 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296.6 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443.3 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25.1 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22.9 </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(29.2)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(6.2)</w:t>
            </w:r>
          </w:p>
        </w:tc>
        <w:tc>
          <w:tcPr>
            <w:tcW w:w="6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Biosimilars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184.2 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192.4 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10.9 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9.4 </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w:t>
            </w:r>
          </w:p>
        </w:tc>
        <w:tc>
          <w:tcPr>
            <w:tcW w:w="6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Other</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0.4 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0.1 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0.2 </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(52.0)</w:t>
            </w:r>
          </w:p>
        </w:tc>
        <w:tc>
          <w:tcPr>
            <w:tcW w:w="6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product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701.4 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1,061.9 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1,763.3 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100.0 </w:t>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875.2 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1,191.1 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2,066.3 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(303.0)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(14.7)</w:t>
            </w:r>
          </w:p>
        </w:tc>
        <w:tc>
          <w:tcPr>
            <w:tcW w:w="6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Other includes FUMADERM and ADUHELM.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54" name="Frame4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49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tbl>
      <w:tblPr>
        <w:tblW w:w="2547" w:type="dxa"/>
        <w:jc w:val="left"/>
        <w:tblInd w:w="0" w:type="dxa"/>
        <w:tblCellMar>
          <w:top w:w="28" w:type="dxa"/>
          <w:left w:w="28" w:type="dxa"/>
          <w:bottom w:w="28" w:type="dxa"/>
          <w:right w:w="28" w:type="dxa"/>
        </w:tblCellMar>
      </w:tblPr>
      <w:tblGrid>
        <w:gridCol w:w="442"/>
        <w:gridCol w:w="388"/>
        <w:gridCol w:w="388"/>
        <w:gridCol w:w="388"/>
        <w:gridCol w:w="388"/>
        <w:gridCol w:w="553"/>
      </w:tblGrid>
      <w:tr>
        <w:trPr/>
        <w:tc>
          <w:tcPr>
            <w:tcW w:w="44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2547" w:type="dxa"/>
            <w:gridSpan w:val="6"/>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0" w:after="283"/>
              <w:jc w:val="left"/>
              <w:rPr>
                <w:rFonts w:ascii="Franklin Gothic Medium;sans-serif" w:hAnsi="Franklin Gothic Medium;sans-serif"/>
                <w:b w:val="false"/>
                <w:color w:val="0070C0"/>
                <w:sz w:val="22"/>
              </w:rPr>
            </w:pPr>
            <w:r>
              <w:rPr>
                <w:rFonts w:ascii="Franklin Gothic Medium;sans-serif" w:hAnsi="Franklin Gothic Medium;sans-serif"/>
                <w:b w:val="false"/>
                <w:color w:val="0070C0"/>
                <w:sz w:val="22"/>
              </w:rPr>
              <w:t>MULTIPLE SCLEROSIS</w:t>
            </w:r>
          </w:p>
        </w:tc>
      </w:tr>
    </w:tbl>
    <w:p>
      <w:pPr>
        <w:pStyle w:val="TextBody"/>
        <w:spacing w:before="0" w:after="300"/>
        <w:rPr/>
      </w:pPr>
      <w:r>
        <w:rPr/>
        <w:drawing>
          <wp:inline distT="0" distB="63500" distL="0" distR="0">
            <wp:extent cx="2857500" cy="2381250"/>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2857500" cy="2381250"/>
                    </a:xfrm>
                    <a:prstGeom prst="rect">
                      <a:avLst/>
                    </a:prstGeom>
                  </pic:spPr>
                </pic:pic>
              </a:graphicData>
            </a:graphic>
          </wp:inline>
        </w:drawing>
      </w:r>
    </w:p>
    <w:p>
      <w:pPr>
        <w:pStyle w:val="TextBody"/>
        <w:spacing w:lineRule="auto" w:line="288" w:before="0" w:after="0"/>
        <w:ind w:left="0" w:right="0" w:hanging="180"/>
        <w:rPr/>
      </w:pPr>
      <w:r>
        <w:rPr>
          <w:color w:val="0070C0"/>
          <w:highlight w:val="white"/>
        </w:rPr>
        <w:t>•</w:t>
      </w:r>
      <w:r>
        <w:rPr>
          <w:rFonts w:ascii="Franklin Gothic Book;sans-serif" w:hAnsi="Franklin Gothic Book;sans-serif"/>
          <w:b w:val="false"/>
          <w:color w:val="000000"/>
          <w:sz w:val="19"/>
        </w:rPr>
        <w:t xml:space="preserve">Global TECFIDERA revenue decreased $135.4 million, from $409.9 million in </w:t>
      </w:r>
      <w:r>
        <w:rPr>
          <w:rFonts w:ascii="Franklin Gothic Book;sans-serif" w:hAnsi="Franklin Gothic Book;sans-serif"/>
          <w:b w:val="false"/>
          <w:color w:val="000000"/>
          <w:sz w:val="20"/>
        </w:rPr>
        <w:t>2022</w:t>
      </w:r>
      <w:r>
        <w:rPr>
          <w:color w:val="000000"/>
        </w:rPr>
        <w:t xml:space="preserve"> </w:t>
      </w:r>
      <w:r>
        <w:rPr>
          <w:rFonts w:ascii="Franklin Gothic Book;sans-serif" w:hAnsi="Franklin Gothic Book;sans-serif"/>
          <w:b w:val="false"/>
          <w:color w:val="000000"/>
          <w:sz w:val="19"/>
        </w:rPr>
        <w:t xml:space="preserve">to $274.5 million in </w:t>
      </w:r>
      <w:r>
        <w:rPr>
          <w:rFonts w:ascii="Franklin Gothic Book;sans-serif" w:hAnsi="Franklin Gothic Book;sans-serif"/>
          <w:b w:val="false"/>
          <w:color w:val="000000"/>
          <w:sz w:val="20"/>
        </w:rPr>
        <w:t>2023</w:t>
      </w:r>
      <w:r>
        <w:rPr>
          <w:rFonts w:ascii="Franklin Gothic Book;sans-serif" w:hAnsi="Franklin Gothic Book;sans-serif"/>
          <w:b w:val="false"/>
          <w:color w:val="000000"/>
          <w:sz w:val="19"/>
        </w:rPr>
        <w:t>, or 33.0%, driven by a decrease in TECFIDERA demand as a result of multiple TECFIDERA generic entrants in North America, Brazil and certain E.U. countries.</w:t>
      </w:r>
    </w:p>
    <w:p>
      <w:pPr>
        <w:pStyle w:val="TextBody"/>
        <w:spacing w:lineRule="auto" w:line="288" w:before="60" w:after="283"/>
        <w:ind w:left="0" w:right="0" w:hanging="180"/>
        <w:rPr/>
      </w:pPr>
      <w:r>
        <w:rPr>
          <w:color w:val="0070C0"/>
          <w:highlight w:val="white"/>
        </w:rPr>
        <w:t>•</w:t>
      </w:r>
      <w:r>
        <w:rPr>
          <w:rFonts w:ascii="Franklin Gothic Book;sans-serif" w:hAnsi="Franklin Gothic Book;sans-serif"/>
          <w:b w:val="false"/>
          <w:color w:val="000000"/>
          <w:sz w:val="19"/>
        </w:rPr>
        <w:t xml:space="preserve">Global Interferon revenue decreased $64.0 million, from $309.6 million in </w:t>
      </w:r>
      <w:r>
        <w:rPr>
          <w:rFonts w:ascii="Franklin Gothic Book;sans-serif" w:hAnsi="Franklin Gothic Book;sans-serif"/>
          <w:b w:val="false"/>
          <w:color w:val="000000"/>
          <w:sz w:val="20"/>
        </w:rPr>
        <w:t>2022</w:t>
      </w:r>
      <w:r>
        <w:rPr>
          <w:color w:val="000000"/>
        </w:rPr>
        <w:t xml:space="preserve"> </w:t>
      </w:r>
      <w:r>
        <w:rPr>
          <w:rFonts w:ascii="Franklin Gothic Book;sans-serif" w:hAnsi="Franklin Gothic Book;sans-serif"/>
          <w:b w:val="false"/>
          <w:color w:val="000000"/>
          <w:sz w:val="19"/>
        </w:rPr>
        <w:t xml:space="preserve">to $245.6 million in </w:t>
      </w:r>
      <w:r>
        <w:rPr>
          <w:rFonts w:ascii="Franklin Gothic Book;sans-serif" w:hAnsi="Franklin Gothic Book;sans-serif"/>
          <w:b w:val="false"/>
          <w:color w:val="000000"/>
          <w:sz w:val="20"/>
        </w:rPr>
        <w:t>2023</w:t>
      </w:r>
      <w:r>
        <w:rPr>
          <w:rFonts w:ascii="Franklin Gothic Book;sans-serif" w:hAnsi="Franklin Gothic Book;sans-serif"/>
          <w:b w:val="false"/>
          <w:color w:val="000000"/>
          <w:sz w:val="19"/>
        </w:rPr>
        <w:t>, or 20.7%, driven by a decrease in sales volumes as patients transition to higher efficacy therapies, as well as pricing pressure and the unfavorable impact of channel dynamics in the U.S.</w:t>
      </w:r>
    </w:p>
    <w:p>
      <w:pPr>
        <w:pStyle w:val="TextBody"/>
        <w:spacing w:lineRule="auto" w:line="288" w:before="60" w:after="283"/>
        <w:ind w:left="0" w:right="0" w:hanging="180"/>
        <w:rPr/>
      </w:pPr>
      <w:r>
        <w:rPr>
          <w:color w:val="0070C0"/>
          <w:highlight w:val="white"/>
        </w:rPr>
        <w:t>•</w:t>
      </w:r>
      <w:r>
        <w:rPr>
          <w:rFonts w:ascii="Franklin Gothic Book;sans-serif" w:hAnsi="Franklin Gothic Book;sans-serif"/>
          <w:b w:val="false"/>
          <w:color w:val="000000"/>
          <w:sz w:val="19"/>
        </w:rPr>
        <w:t xml:space="preserve">U.S. VUMERITY revenue decreased $31.7 million, from $125.2 million in </w:t>
      </w:r>
      <w:r>
        <w:rPr>
          <w:rFonts w:ascii="Franklin Gothic Book;sans-serif" w:hAnsi="Franklin Gothic Book;sans-serif"/>
          <w:b w:val="false"/>
          <w:color w:val="000000"/>
          <w:sz w:val="20"/>
        </w:rPr>
        <w:t xml:space="preserve">2022 to $93.5 million in 2023, </w:t>
      </w:r>
      <w:r>
        <w:rPr>
          <w:rFonts w:ascii="Franklin Gothic Book;sans-serif" w:hAnsi="Franklin Gothic Book;sans-serif"/>
          <w:b w:val="false"/>
          <w:color w:val="000000"/>
          <w:sz w:val="19"/>
        </w:rPr>
        <w:t>or 25.3%, primarily due to unfavorable channel dynamics and a favorable Medicaid-related sales adjustment in the first quarter of 2022 related to VUMERITY.</w:t>
      </w:r>
    </w:p>
    <w:p>
      <w:pPr>
        <w:pStyle w:val="TextBody"/>
        <w:spacing w:lineRule="auto" w:line="288" w:before="60" w:after="283"/>
        <w:ind w:left="0" w:right="0" w:hanging="180"/>
        <w:rPr/>
      </w:pPr>
      <w:r>
        <w:rPr>
          <w:color w:val="0070C0"/>
          <w:highlight w:val="white"/>
        </w:rPr>
        <w:t>•</w:t>
      </w:r>
      <w:r>
        <w:rPr>
          <w:rFonts w:ascii="Franklin Gothic Book;sans-serif" w:hAnsi="Franklin Gothic Book;sans-serif"/>
          <w:b w:val="false"/>
          <w:color w:val="000000"/>
          <w:sz w:val="19"/>
        </w:rPr>
        <w:t xml:space="preserve">Global TYSABRI revenue decreased $48.0 million, from $520.8 million in </w:t>
      </w:r>
      <w:r>
        <w:rPr>
          <w:rFonts w:ascii="Franklin Gothic Book;sans-serif" w:hAnsi="Franklin Gothic Book;sans-serif"/>
          <w:b w:val="false"/>
          <w:color w:val="000000"/>
          <w:sz w:val="20"/>
        </w:rPr>
        <w:t>2022 to $472.8 million in 2023,</w:t>
      </w:r>
      <w:r>
        <w:rPr>
          <w:color w:val="000000"/>
        </w:rPr>
        <w:t xml:space="preserve"> </w:t>
      </w:r>
      <w:r>
        <w:rPr>
          <w:rFonts w:ascii="Franklin Gothic Book;sans-serif" w:hAnsi="Franklin Gothic Book;sans-serif"/>
          <w:b w:val="false"/>
          <w:color w:val="000000"/>
          <w:sz w:val="19"/>
        </w:rPr>
        <w:t>or 9.2%, primarily due to a decrease in U.S. TYSABRI revenue driven by higher discounts and allowances, increased competition and unfavorable channel dynamics.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4" w:type="dxa"/>
            <w:gridSpan w:val="6"/>
            <w:tcBorders>
              <w:bottom w:val="dotted" w:sz="2" w:space="0" w:color="0070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MS revenue includes sales from TECFIDERA, VUMERITY, AVONEX, PLEGRIDY, TYSABRI and FAMPYRA.</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2023 we expect total MS revenue will continue to decline as a result of increasing competition for many of our MS products in both the U.S. and rest of world markets. We are also aware of a potential biosimilar entrant of TYSABRI that may enter the U.S. and European markets in 2023.</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we have resolved previously reported manufacturing issues at our VUMERITY contract manufacturer. In addition, we are in the process of securing regulatory approval for a secondary source of supply. We do not anticipate a supply shortage in 2023 and are currently focused on rebuilding adequate inventory.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387" w:type="dxa"/>
        <w:jc w:val="left"/>
        <w:tblInd w:w="0" w:type="dxa"/>
        <w:tblCellMar>
          <w:top w:w="28" w:type="dxa"/>
          <w:left w:w="28" w:type="dxa"/>
          <w:bottom w:w="28" w:type="dxa"/>
          <w:right w:w="28" w:type="dxa"/>
        </w:tblCellMar>
      </w:tblPr>
      <w:tblGrid>
        <w:gridCol w:w="588"/>
        <w:gridCol w:w="516"/>
        <w:gridCol w:w="516"/>
        <w:gridCol w:w="516"/>
        <w:gridCol w:w="516"/>
        <w:gridCol w:w="735"/>
      </w:tblGrid>
      <w:tr>
        <w:trPr/>
        <w:tc>
          <w:tcPr>
            <w:tcW w:w="588"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3387" w:type="dxa"/>
            <w:gridSpan w:val="6"/>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0" w:after="283"/>
              <w:jc w:val="left"/>
              <w:rPr>
                <w:rFonts w:ascii="Franklin Gothic Medium;sans-serif" w:hAnsi="Franklin Gothic Medium;sans-serif"/>
                <w:b w:val="false"/>
                <w:color w:val="0070C0"/>
                <w:sz w:val="22"/>
              </w:rPr>
            </w:pPr>
            <w:r>
              <w:rPr>
                <w:rFonts w:ascii="Franklin Gothic Medium;sans-serif" w:hAnsi="Franklin Gothic Medium;sans-serif"/>
                <w:b w:val="false"/>
                <w:color w:val="0070C0"/>
                <w:sz w:val="22"/>
              </w:rPr>
              <w:t>SPINAL MUSCULAR ATROPHY</w:t>
            </w:r>
          </w:p>
        </w:tc>
      </w:tr>
    </w:tbl>
    <w:p>
      <w:pPr>
        <w:pStyle w:val="TextBody"/>
        <w:spacing w:before="0" w:after="300"/>
        <w:rPr/>
      </w:pPr>
      <w:r>
        <w:rPr/>
        <w:drawing>
          <wp:inline distT="0" distB="63500" distL="0" distR="0">
            <wp:extent cx="2857500" cy="2381250"/>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8"/>
                    <a:stretch>
                      <a:fillRect/>
                    </a:stretch>
                  </pic:blipFill>
                  <pic:spPr bwMode="auto">
                    <a:xfrm>
                      <a:off x="0" y="0"/>
                      <a:ext cx="2857500" cy="2381250"/>
                    </a:xfrm>
                    <a:prstGeom prst="rect">
                      <a:avLst/>
                    </a:prstGeom>
                  </pic:spPr>
                </pic:pic>
              </a:graphicData>
            </a:graphic>
          </wp:inline>
        </w:drawing>
      </w:r>
    </w:p>
    <w:p>
      <w:pPr>
        <w:pStyle w:val="TextBody"/>
        <w:spacing w:lineRule="auto" w:line="288" w:before="0" w:after="0"/>
        <w:ind w:left="0" w:right="0" w:hanging="360"/>
        <w:rPr/>
      </w:pPr>
      <w:r>
        <w:rPr>
          <w:color w:val="0070C0"/>
          <w:highlight w:val="white"/>
        </w:rPr>
        <w:t>•</w:t>
      </w:r>
      <w:r>
        <w:rPr>
          <w:rFonts w:ascii="Franklin Gothic Book;sans-serif" w:hAnsi="Franklin Gothic Book;sans-serif"/>
          <w:b w:val="false"/>
          <w:color w:val="000000"/>
          <w:sz w:val="19"/>
        </w:rPr>
        <w:t>U.S. SPINRAZA revenue decreased $16.6 million, from $163.3 million in 2022 to $146.7 million in 2023, or 10.2%, primarily due to a decrease in sales volumes resulting from unfavorable channel dynamics and the impact of loading dose dynamics.</w:t>
      </w:r>
    </w:p>
    <w:p>
      <w:pPr>
        <w:pStyle w:val="TextBody"/>
        <w:spacing w:lineRule="auto" w:line="288" w:before="60" w:after="283"/>
        <w:ind w:left="0" w:right="0" w:hanging="360"/>
        <w:rPr/>
      </w:pPr>
      <w:r>
        <w:rPr>
          <w:color w:val="0070C0"/>
          <w:highlight w:val="white"/>
        </w:rPr>
        <w:t>•</w:t>
      </w:r>
      <w:r>
        <w:rPr>
          <w:rFonts w:ascii="Franklin Gothic Book;sans-serif" w:hAnsi="Franklin Gothic Book;sans-serif"/>
          <w:b w:val="false"/>
          <w:color w:val="000000"/>
          <w:sz w:val="19"/>
        </w:rPr>
        <w:t>Rest of world SPINRAZA revenue decreased $12.6 million, from $309.2 million in 2022 to $296.6 million in 2023, or 4.1%, primarily due to the unfavorable impact of foreign currency exchange and a decrease in sales volumes resulting from increased competition in certain established markets, particularly Germany. The decrease was partially offset by sales volume growth in certain Asian markets and the timing of shipments.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4" w:type="dxa"/>
            <w:gridSpan w:val="6"/>
            <w:tcBorders>
              <w:bottom w:val="dotted" w:sz="2" w:space="0" w:color="0070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SMA revenue includes sales from SPINRAZA.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57" name="Frame5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tbl>
      <w:tblPr>
        <w:tblW w:w="1591" w:type="dxa"/>
        <w:jc w:val="left"/>
        <w:tblInd w:w="0" w:type="dxa"/>
        <w:tblCellMar>
          <w:top w:w="28" w:type="dxa"/>
          <w:left w:w="28" w:type="dxa"/>
          <w:bottom w:w="28" w:type="dxa"/>
          <w:right w:w="28" w:type="dxa"/>
        </w:tblCellMar>
      </w:tblPr>
      <w:tblGrid>
        <w:gridCol w:w="276"/>
        <w:gridCol w:w="242"/>
        <w:gridCol w:w="242"/>
        <w:gridCol w:w="242"/>
        <w:gridCol w:w="242"/>
        <w:gridCol w:w="347"/>
      </w:tblGrid>
      <w:tr>
        <w:trPr/>
        <w:tc>
          <w:tcPr>
            <w:tcW w:w="27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1591" w:type="dxa"/>
            <w:gridSpan w:val="6"/>
            <w:tcBorders>
              <w:bottom w:val="single" w:sz="8" w:space="0" w:color="0070C0"/>
            </w:tcBorders>
            <w:shd w:fill="auto" w:val="clear"/>
            <w:tcMar>
              <w:top w:w="0" w:type="dxa"/>
              <w:left w:w="0" w:type="dxa"/>
              <w:bottom w:w="30" w:type="dxa"/>
              <w:right w:w="0" w:type="dxa"/>
            </w:tcMar>
            <w:vAlign w:val="center"/>
          </w:tcPr>
          <w:p>
            <w:pPr>
              <w:pStyle w:val="TableContents"/>
              <w:spacing w:lineRule="auto" w:line="240" w:before="0" w:after="283"/>
              <w:jc w:val="left"/>
              <w:rPr>
                <w:rFonts w:ascii="Franklin Gothic Medium;sans-serif" w:hAnsi="Franklin Gothic Medium;sans-serif"/>
                <w:b w:val="false"/>
                <w:color w:val="0070C0"/>
                <w:sz w:val="22"/>
              </w:rPr>
            </w:pPr>
            <w:r>
              <w:rPr>
                <w:rFonts w:ascii="Franklin Gothic Medium;sans-serif" w:hAnsi="Franklin Gothic Medium;sans-serif"/>
                <w:b w:val="false"/>
                <w:color w:val="0070C0"/>
                <w:sz w:val="22"/>
              </w:rPr>
              <w:t>BIOSIMILARS</w:t>
            </w:r>
          </w:p>
        </w:tc>
      </w:tr>
    </w:tbl>
    <w:p>
      <w:pPr>
        <w:pStyle w:val="TextBody"/>
        <w:spacing w:before="0" w:after="300"/>
        <w:rPr/>
      </w:pPr>
      <w:r>
        <w:rPr/>
        <w:drawing>
          <wp:inline distT="0" distB="63500" distL="0" distR="0">
            <wp:extent cx="2857500" cy="2857500"/>
            <wp:effectExtent l="0" t="0" r="0" b="0"/>
            <wp:docPr id="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 descr=""/>
                    <pic:cNvPicPr>
                      <a:picLocks noChangeAspect="1" noChangeArrowheads="1"/>
                    </pic:cNvPicPr>
                  </pic:nvPicPr>
                  <pic:blipFill>
                    <a:blip r:embed="rId9"/>
                    <a:stretch>
                      <a:fillRect/>
                    </a:stretch>
                  </pic:blipFill>
                  <pic:spPr bwMode="auto">
                    <a:xfrm>
                      <a:off x="0" y="0"/>
                      <a:ext cx="2857500" cy="2857500"/>
                    </a:xfrm>
                    <a:prstGeom prst="rect">
                      <a:avLst/>
                    </a:prstGeom>
                  </pic:spPr>
                </pic:pic>
              </a:graphicData>
            </a:graphic>
          </wp:inline>
        </w:drawing>
      </w:r>
    </w:p>
    <w:p>
      <w:pPr>
        <w:pStyle w:val="TextBody"/>
        <w:spacing w:lineRule="auto" w:line="288" w:before="0" w:after="0"/>
        <w:ind w:left="0" w:right="0" w:hanging="360"/>
        <w:rPr/>
      </w:pPr>
      <w:r>
        <w:rPr>
          <w:color w:val="000000"/>
        </w:rPr>
        <w:t>•</w:t>
      </w:r>
      <w:r>
        <w:rPr>
          <w:rFonts w:ascii="Franklin Gothic Book;sans-serif" w:hAnsi="Franklin Gothic Book;sans-serif"/>
          <w:b/>
          <w:color w:val="000000"/>
          <w:sz w:val="20"/>
        </w:rPr>
        <w:t>Biosimilar revenue decreased 1.0%, due to unfavorable pricing and the unfavorable impact of foreign currency exchange, offset by an increase in sales volumes related to the continued launch of BYOOVIZ in the U.S. and rest of world.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4" w:type="dxa"/>
            <w:gridSpan w:val="6"/>
            <w:tcBorders>
              <w:bottom w:val="dotted" w:sz="2" w:space="0" w:color="0070C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Biosimilars revenue includes sales from BENEPALI, IMRALDI, FLIXABI and BYOOVIZ. BYOOVIZ launched in the U.S. in June 2022 and became commercially available in July 2022 through major distributors in the U.S. In the first quarter of 2023 BYOOVIZ became commercially available in Canada.</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2023 we anticipate modest growth in revenue from our biosimilars business driven by the continued launch of BYOOVIZ in the U.S. and rest of world, offset in part by continued price reductions in certain markets.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are currently working with our contract manufacturer for IMRALDI to address facility regulatory inspection deficiencies at two filling locations, which could impact supply and have an adverse impact on 2023 IMRALDI sales, if not resolved. Manufacturing of BENEPALI also utilizes one of these facilities and therefore could have an adverse impact on 2023 BENEPALI sales. We are working with our existing secondary supplier for BENEPALI with the aim to secure additional capacity.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REVENUE FROM LEQEMBI COLLABORATION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January 2023 the FDA granted accelerated approval of LEQEMBI, which became commercially available in the U.S. during the first quarter of 2023. Upon commercialization, we began recognizing commercial profits and losses related to the LEQEMBI Collaboration Agreement on a net basis as a separate component of total revenue within our condensed consolidated income statements, as we are not the principal.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we recognized a reduction to revenue of approximately $18.9 million, reflecting our net profit-share of the LEQEMBI Collaboration results in the U.S.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2023 we anticipate we will continue to recognize a reduction to revenue, with commercial expense exceeding initial revenue.</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REVENUE FROM ANTI-CD20 THERAPEUTIC PROGRAMS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purposes of this discussion, we refer to RITUXAN and RITUXAN HYCELA collectively as RITUXAN.</w:t>
      </w:r>
    </w:p>
    <w:tbl>
      <w:tblPr>
        <w:tblW w:w="10205" w:type="dxa"/>
        <w:jc w:val="left"/>
        <w:tblInd w:w="0" w:type="dxa"/>
        <w:tblCellMar>
          <w:top w:w="28" w:type="dxa"/>
          <w:left w:w="28" w:type="dxa"/>
          <w:bottom w:w="28" w:type="dxa"/>
          <w:right w:w="28" w:type="dxa"/>
        </w:tblCellMar>
      </w:tblPr>
      <w:tblGrid>
        <w:gridCol w:w="2155"/>
        <w:gridCol w:w="1865"/>
        <w:gridCol w:w="1874"/>
        <w:gridCol w:w="109"/>
        <w:gridCol w:w="109"/>
        <w:gridCol w:w="109"/>
        <w:gridCol w:w="336"/>
        <w:gridCol w:w="981"/>
        <w:gridCol w:w="173"/>
        <w:gridCol w:w="173"/>
        <w:gridCol w:w="173"/>
        <w:gridCol w:w="173"/>
        <w:gridCol w:w="336"/>
        <w:gridCol w:w="981"/>
        <w:gridCol w:w="173"/>
        <w:gridCol w:w="109"/>
        <w:gridCol w:w="109"/>
        <w:gridCol w:w="109"/>
        <w:gridCol w:w="158"/>
      </w:tblGrid>
      <w:tr>
        <w:trPr/>
        <w:tc>
          <w:tcPr>
            <w:tcW w:w="2155"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revenue on sales of OCREVUS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283.6 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252.3 </w:t>
            </w:r>
          </w:p>
        </w:tc>
        <w:tc>
          <w:tcPr>
            <w:tcW w:w="1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Biogen’s share of pre-tax profits in the U.S. for RITUXAN, GAZYVA and LUNSUMIO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112.5 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143.2 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revenue from anti-CD20 therapeutic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3.4 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3.9 </w:t>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revenue from anti-CD20 therapeutic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399.5 </w:t>
            </w:r>
          </w:p>
        </w:tc>
        <w:tc>
          <w:tcPr>
            <w:tcW w:w="1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399.4 </w:t>
            </w:r>
          </w:p>
        </w:tc>
        <w:tc>
          <w:tcPr>
            <w:tcW w:w="1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59" name="Frame5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increase in royalty revenue on sales of OCREVUS was primarily due to sales growth of OCREVUS in the U.S.</w:t>
      </w:r>
    </w:p>
    <w:p>
      <w:pPr>
        <w:pStyle w:val="TextBody"/>
        <w:spacing w:lineRule="auto" w:line="288" w:before="120" w:after="283"/>
        <w:rPr/>
      </w:pPr>
      <w:r>
        <w:rPr>
          <w:rFonts w:ascii="Franklin Gothic Book;sans-serif" w:hAnsi="Franklin Gothic Book;sans-serif"/>
          <w:b w:val="false"/>
          <w:color w:val="000000"/>
          <w:sz w:val="20"/>
        </w:rPr>
        <w:t>For the three months ended March 31, 2023, compared to the same period in 2022, the decrease in our share of pre-tax profits in the U.S. for RITUXAN, GAZYVA and LUNSUMIO was primarily due to a decrease in</w:t>
      </w:r>
      <w:r>
        <w:rPr>
          <w:color w:val="000000"/>
          <w:highlight w:val="white"/>
        </w:rPr>
        <w:t xml:space="preserve"> </w:t>
      </w:r>
      <w:r>
        <w:rPr>
          <w:rFonts w:ascii="Franklin Gothic Book;sans-serif" w:hAnsi="Franklin Gothic Book;sans-serif"/>
          <w:b w:val="false"/>
          <w:color w:val="000000"/>
          <w:sz w:val="20"/>
          <w:highlight w:val="white"/>
        </w:rPr>
        <w:t>sales volumes of RITUXAN in the U.S. resulting from competition from multiple biosimilar products</w:t>
      </w:r>
      <w:r>
        <w:rPr>
          <w:rFonts w:ascii="Franklin Gothic Book;sans-serif" w:hAnsi="Franklin Gothic Book;sans-serif"/>
          <w:b w:val="false"/>
          <w:color w:val="000000"/>
          <w:sz w:val="20"/>
        </w:rPr>
        <w:t>. Beginning in April 2023 the pre-tax profit share for RITUXAN, GAZYVA and LUNSUMIO will decrease from 37.5% to 35.0%.</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Prior to regulatory approval, we record our share of the expense incurred by the collaboration for the development of anti-CD20 products in research and development expense and pre-commercialization costs within selling, general and administrative expense in our condensed consolidated statements of income. After an anti-CD20 product is approved, we record our share of the development and sales and marketing expense related to that product as a reduction of our share of pre-tax profits in revenue from anti-CD20 therapeutic programs.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Genentech, including information regarding the pre-tax profit-sharing formula and its impact on future revenue from anti-CD20 therapeutic programs, please read </w:t>
      </w:r>
      <w:r>
        <w:rPr>
          <w:rFonts w:ascii="Franklin Gothic Book;sans-serif" w:hAnsi="Franklin Gothic Book;sans-serif"/>
          <w:b w:val="false"/>
          <w:i/>
          <w:color w:val="000000"/>
          <w:sz w:val="20"/>
        </w:rPr>
        <w:t>Note 16, Collaborative and Other Relationships,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CONTRACT MANUFACTURING, ROYALTY AND OTHER REVENUE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 manufacturing, royalty and other revenue and is summarized as follows:</w:t>
      </w:r>
    </w:p>
    <w:tbl>
      <w:tblPr>
        <w:tblW w:w="9417" w:type="dxa"/>
        <w:jc w:val="left"/>
        <w:tblInd w:w="0" w:type="dxa"/>
        <w:tblCellMar>
          <w:top w:w="28" w:type="dxa"/>
          <w:left w:w="28" w:type="dxa"/>
          <w:bottom w:w="28" w:type="dxa"/>
          <w:right w:w="28" w:type="dxa"/>
        </w:tblCellMar>
      </w:tblPr>
      <w:tblGrid>
        <w:gridCol w:w="1750"/>
        <w:gridCol w:w="1539"/>
        <w:gridCol w:w="1556"/>
        <w:gridCol w:w="109"/>
        <w:gridCol w:w="109"/>
        <w:gridCol w:w="109"/>
        <w:gridCol w:w="379"/>
        <w:gridCol w:w="1107"/>
        <w:gridCol w:w="196"/>
        <w:gridCol w:w="196"/>
        <w:gridCol w:w="196"/>
        <w:gridCol w:w="196"/>
        <w:gridCol w:w="379"/>
        <w:gridCol w:w="919"/>
        <w:gridCol w:w="196"/>
        <w:gridCol w:w="109"/>
        <w:gridCol w:w="109"/>
        <w:gridCol w:w="109"/>
        <w:gridCol w:w="154"/>
      </w:tblGrid>
      <w:tr>
        <w:trPr/>
        <w:tc>
          <w:tcPr>
            <w:tcW w:w="1750"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5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 manufacturing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0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306.9 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47.5 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12.2 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contract manufacturing, royalty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319.1 </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66.1 </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increase in contract manufacturing revenue was primarily driven by higher volumes due to the timing of batch production, which includes batches related to LEQEMBI that we began recognizing in the first quarter of 2023 upon the accelerated approval of LEQEMBI in the U.S.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RESERVES FOR DISCOUNTS AND ALLOWANCES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Revenue from product sales is recorded net of reserves established for applicable discounts and allowances, including those associated with the implementation of pricing actions in certain international markets where we operate.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Reserves for discounts, contractual adjustments and returns that reduced gross product revenue are summarized as follows:</w:t>
      </w:r>
    </w:p>
    <w:tbl>
      <w:tblPr>
        <w:tblW w:w="6817" w:type="dxa"/>
        <w:jc w:val="left"/>
        <w:tblInd w:w="0" w:type="dxa"/>
        <w:tblCellMar>
          <w:top w:w="28" w:type="dxa"/>
          <w:left w:w="28" w:type="dxa"/>
          <w:bottom w:w="28" w:type="dxa"/>
          <w:right w:w="28" w:type="dxa"/>
        </w:tblCellMar>
      </w:tblPr>
      <w:tblGrid>
        <w:gridCol w:w="981"/>
        <w:gridCol w:w="864"/>
        <w:gridCol w:w="869"/>
        <w:gridCol w:w="109"/>
        <w:gridCol w:w="109"/>
        <w:gridCol w:w="109"/>
        <w:gridCol w:w="316"/>
        <w:gridCol w:w="924"/>
        <w:gridCol w:w="163"/>
        <w:gridCol w:w="163"/>
        <w:gridCol w:w="163"/>
        <w:gridCol w:w="163"/>
        <w:gridCol w:w="316"/>
        <w:gridCol w:w="924"/>
        <w:gridCol w:w="163"/>
        <w:gridCol w:w="109"/>
        <w:gridCol w:w="109"/>
        <w:gridCol w:w="109"/>
        <w:gridCol w:w="154"/>
      </w:tblGrid>
      <w:tr>
        <w:trPr/>
        <w:tc>
          <w:tcPr>
            <w:tcW w:w="981"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2023</w:t>
            </w:r>
          </w:p>
        </w:tc>
        <w:tc>
          <w:tcPr>
            <w:tcW w:w="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Contractual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2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629.9 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619.3 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181.2 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165.2 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Returns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4.5 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discounts and allowances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815.6 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786.0 </w:t>
            </w:r>
          </w:p>
        </w:tc>
        <w:tc>
          <w:tcPr>
            <w:tcW w:w="1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months ended March 31, 2023, reserves for discounts and allowances as a percentage of gross product revenue was 31.4% compared to 27.0% in the prior year comparative period. </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CONTRACTUAL ADJUSTMENTS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Contractual adjustments primarily relate to Medicaid and managed care rebates in the U.S., pharmacy rebates, co-payment (copay) assistance, Veterans Administration, 340B discounts, specialty pharmacy program fees and other government rebates or applicable allowances.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For the three months ended March 31, 2023, compared to the same period in 2022, the increase in contractual adjustments was primarily due to higher managed care rebates, due in part to unfavorable changes in estimates and lower Medicaid rebates in the U.S. during the first quarter of 2022 driven by a favorable Medicaid-related sales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0" name="Frame5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adjustment related to VUMERITY. This increase was partially offset by lower government rebates in the U.S. as a result of a contract pharmacy change made during the first quarter of 2023 related to our Interferons.</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DISCOUNTS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Discounts include trade term discounts and wholesaler incentives.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increase in discounts was primarily driven by higher purchase discounts, partially offset by a decrease in gross sales of TECFIDERA.</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RETURNS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 recognized in the period the related revenue is recognized, resulting in a reduction to product sales.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revenue reserves, please read </w:t>
      </w:r>
      <w:r>
        <w:rPr>
          <w:rFonts w:ascii="Franklin Gothic Book;sans-serif" w:hAnsi="Franklin Gothic Book;sans-serif"/>
          <w:b w:val="false"/>
          <w:i/>
          <w:color w:val="000000"/>
          <w:sz w:val="20"/>
        </w:rPr>
        <w:t>Note 4, Revenue,</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COST AND EXPENSE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summary of total cost and expense is as follows:</w:t>
      </w:r>
    </w:p>
    <w:tbl>
      <w:tblPr>
        <w:tblW w:w="10205" w:type="dxa"/>
        <w:jc w:val="left"/>
        <w:tblInd w:w="0" w:type="dxa"/>
        <w:tblCellMar>
          <w:top w:w="28" w:type="dxa"/>
          <w:left w:w="28" w:type="dxa"/>
          <w:bottom w:w="28" w:type="dxa"/>
          <w:right w:w="28" w:type="dxa"/>
        </w:tblCellMar>
      </w:tblPr>
      <w:tblGrid>
        <w:gridCol w:w="1606"/>
        <w:gridCol w:w="1310"/>
        <w:gridCol w:w="1316"/>
        <w:gridCol w:w="109"/>
        <w:gridCol w:w="109"/>
        <w:gridCol w:w="109"/>
        <w:gridCol w:w="211"/>
        <w:gridCol w:w="766"/>
        <w:gridCol w:w="109"/>
        <w:gridCol w:w="109"/>
        <w:gridCol w:w="109"/>
        <w:gridCol w:w="109"/>
        <w:gridCol w:w="211"/>
        <w:gridCol w:w="766"/>
        <w:gridCol w:w="109"/>
        <w:gridCol w:w="109"/>
        <w:gridCol w:w="109"/>
        <w:gridCol w:w="109"/>
        <w:gridCol w:w="109"/>
        <w:gridCol w:w="109"/>
        <w:gridCol w:w="211"/>
        <w:gridCol w:w="673"/>
        <w:gridCol w:w="109"/>
        <w:gridCol w:w="109"/>
        <w:gridCol w:w="109"/>
        <w:gridCol w:w="109"/>
        <w:gridCol w:w="329"/>
        <w:gridCol w:w="330"/>
        <w:gridCol w:w="623"/>
      </w:tblGrid>
      <w:tr>
        <w:trPr/>
        <w:tc>
          <w:tcPr>
            <w:tcW w:w="1606"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7" w:type="dxa"/>
            <w:gridSpan w:val="17"/>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c>
          <w:tcPr>
            <w:tcW w:w="1609" w:type="dxa"/>
            <w:gridSpan w:val="6"/>
            <w:tcBorders/>
            <w:shd w:fill="auto" w:val="clea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2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 excluding amortization and impairment of acquired intangible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(91.1)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(12.1)</w:t>
            </w:r>
          </w:p>
        </w:tc>
        <w:tc>
          <w:tcPr>
            <w:tcW w:w="62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570.6 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3.4 </w:t>
            </w:r>
          </w:p>
        </w:tc>
        <w:tc>
          <w:tcPr>
            <w:tcW w:w="6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605.0 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634.9 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(29.9)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(4.7)</w:t>
            </w:r>
          </w:p>
        </w:tc>
        <w:tc>
          <w:tcPr>
            <w:tcW w:w="6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Amortization and impairment of acquired intangible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50.2 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(25.0)</w:t>
            </w:r>
          </w:p>
        </w:tc>
        <w:tc>
          <w:tcPr>
            <w:tcW w:w="6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Collaboration profit sharing/(loss reimbursement)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57.1 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174.4 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(148.7)</w:t>
            </w:r>
          </w:p>
        </w:tc>
        <w:tc>
          <w:tcPr>
            <w:tcW w:w="6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(Gain) loss on fair value remeasurement of contingent 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257ACB"/>
              </w:rPr>
            </w:pPr>
            <w:r>
              <w:rPr>
                <w:color w:val="257ACB"/>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nm</w:t>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charges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(74.8)</w:t>
            </w:r>
          </w:p>
        </w:tc>
        <w:tc>
          <w:tcPr>
            <w:tcW w:w="6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69.4 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(193.9)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(73.6)</w:t>
            </w:r>
          </w:p>
        </w:tc>
        <w:tc>
          <w:tcPr>
            <w:tcW w:w="6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and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2,024.7 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2,184.4 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(159.7)</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(7.3)</w:t>
            </w:r>
          </w:p>
        </w:tc>
        <w:tc>
          <w:tcPr>
            <w:tcW w:w="6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4560" w:type="dxa"/>
            <w:gridSpan w:val="20"/>
            <w:tcBorders/>
            <w:shd w:fill="auto" w:val="clea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r>
        <w:trPr/>
        <w:tc>
          <w:tcPr>
            <w:tcW w:w="42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r>
    </w:tbl>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nm</w:t>
      </w:r>
      <w:r>
        <w:rPr>
          <w:color w:val="000000"/>
        </w:rPr>
        <w:t xml:space="preserve"> </w:t>
      </w:r>
      <w:r>
        <w:rPr>
          <w:rFonts w:ascii="Franklin Gothic Book;sans-serif" w:hAnsi="Franklin Gothic Book;sans-serif"/>
          <w:b w:val="false"/>
          <w:color w:val="000000"/>
          <w:sz w:val="16"/>
        </w:rPr>
        <w:t>Not meaningful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COST OF SALES, EXCLUDING AMORTIZATION AND IMPAIRMENT OF ACQUIRED INTANGIBLE ASSETS</w:t>
      </w:r>
    </w:p>
    <w:tbl>
      <w:tblPr>
        <w:tblW w:w="5722" w:type="dxa"/>
        <w:jc w:val="left"/>
        <w:tblInd w:w="0" w:type="dxa"/>
        <w:tblCellMar>
          <w:top w:w="28" w:type="dxa"/>
          <w:left w:w="28" w:type="dxa"/>
          <w:bottom w:w="28" w:type="dxa"/>
          <w:right w:w="28" w:type="dxa"/>
        </w:tblCellMar>
      </w:tblPr>
      <w:tblGrid>
        <w:gridCol w:w="585"/>
        <w:gridCol w:w="516"/>
        <w:gridCol w:w="518"/>
        <w:gridCol w:w="109"/>
        <w:gridCol w:w="109"/>
        <w:gridCol w:w="109"/>
        <w:gridCol w:w="316"/>
        <w:gridCol w:w="924"/>
        <w:gridCol w:w="163"/>
        <w:gridCol w:w="163"/>
        <w:gridCol w:w="163"/>
        <w:gridCol w:w="163"/>
        <w:gridCol w:w="316"/>
        <w:gridCol w:w="924"/>
        <w:gridCol w:w="163"/>
        <w:gridCol w:w="109"/>
        <w:gridCol w:w="109"/>
        <w:gridCol w:w="109"/>
        <w:gridCol w:w="154"/>
      </w:tblGrid>
      <w:tr>
        <w:trPr/>
        <w:tc>
          <w:tcPr>
            <w:tcW w:w="58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2023</w:t>
            </w:r>
          </w:p>
        </w:tc>
        <w:tc>
          <w:tcPr>
            <w:tcW w:w="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Product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92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481.4 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551.3 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Royalty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181.4 </w:t>
            </w:r>
          </w:p>
        </w:tc>
        <w:tc>
          <w:tcPr>
            <w:tcW w:w="1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202.6 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cost of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9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662.8 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9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753.9 </w:t>
            </w:r>
          </w:p>
        </w:tc>
        <w:tc>
          <w:tcPr>
            <w:tcW w:w="1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product cost of sales decreased primarily due to a write-off of approximately $275.0 million during the first quarter of 2022 of excess inventory and purchase commitments related to ADUHELM. This decrease was partially offset by higher cost of sales associated with contact manufacturing revenue, in part related to Eisai for LEQEMBI, which we began recognizing in the first quarter of 2023 upon the accelerated approval of LEQEMBI in the U.S. Cost of sales as a percentage of revenue was adversely affected by LEQEMBI batches due to minimal margins.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for the three months ended March 31, 2023, we recorded approximately $44.8 million of aggregate gross idle capacity charges. For the three months ended March 31, 2022, we recorded approximately $45.0 million of aggregate gross idle capacity charges related to ADUHELM.</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1" name="Frame5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0" w:after="0"/>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RESEARCH AND DEVELOPMENT</w:t>
      </w:r>
    </w:p>
    <w:p>
      <w:pPr>
        <w:pStyle w:val="TextBody"/>
        <w:spacing w:before="0" w:after="0"/>
        <w:rPr/>
      </w:pPr>
      <w:r>
        <w:rPr/>
        <w:drawing>
          <wp:inline distT="0" distB="63500" distL="0" distR="0">
            <wp:extent cx="3019425" cy="7296150"/>
            <wp:effectExtent l="0" t="0" r="0" b="0"/>
            <wp:docPr id="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9" descr=""/>
                    <pic:cNvPicPr>
                      <a:picLocks noChangeAspect="1" noChangeArrowheads="1"/>
                    </pic:cNvPicPr>
                  </pic:nvPicPr>
                  <pic:blipFill>
                    <a:blip r:embed="rId10"/>
                    <a:stretch>
                      <a:fillRect/>
                    </a:stretch>
                  </pic:blipFill>
                  <pic:spPr bwMode="auto">
                    <a:xfrm>
                      <a:off x="0" y="0"/>
                      <a:ext cx="3019425" cy="7296150"/>
                    </a:xfrm>
                    <a:prstGeom prst="rect">
                      <a:avLst/>
                    </a:prstGeom>
                  </pic:spPr>
                </pic:pic>
              </a:graphicData>
            </a:graphic>
          </wp:inline>
        </w:drawing>
      </w:r>
    </w:p>
    <w:p>
      <w:pPr>
        <w:pStyle w:val="TextBody"/>
        <w:spacing w:before="0" w:after="0"/>
        <w:rPr/>
      </w:pPr>
      <w:r>
        <w:rPr/>
      </w:r>
    </w:p>
    <w:p>
      <w:pPr>
        <w:pStyle w:val="TextBody"/>
        <w:spacing w:lineRule="auto" w:line="288" w:before="0" w:after="0"/>
        <w:rPr>
          <w:rFonts w:ascii="Franklin Gothic Book;sans-serif" w:hAnsi="Franklin Gothic Book;sans-serif"/>
          <w:b w:val="false"/>
          <w:color w:val="000000"/>
          <w:sz w:val="19"/>
        </w:rPr>
      </w:pPr>
      <w:r>
        <w:rPr>
          <w:rFonts w:ascii="Franklin Gothic Book;sans-serif" w:hAnsi="Franklin Gothic Book;sans-serif"/>
          <w:b w:val="false"/>
          <w:color w:val="000000"/>
          <w:sz w:val="19"/>
        </w:rPr>
        <w:t>Research and development expense, as a percentage of total revenue, was 23.2% and 21.8% for the three months ended March 31, 2023 and 2022. For the three months ended March 31, 2023, compared to the same period in 2022, the increase in research and development was primarily due to the increase in spending in the development of LEQEMBI for the treatment of Alzheimer's disease, litifilimab for the treatment of CLE and SLE, BIIB122 for the treatment of Parkinson's disease and BIIB800, a proposed tocilizumab biosimilar referencing ACTEMRA, partially offset by lower milestone payments during the first quarter of 2023.</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EARLY STAGE PROGRAMS</w:t>
      </w:r>
    </w:p>
    <w:p>
      <w:pPr>
        <w:pStyle w:val="TextBody"/>
        <w:spacing w:lineRule="auto" w:line="288" w:before="0" w:after="0"/>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Q1 2023 vs. Q1 2022</w:t>
      </w:r>
    </w:p>
    <w:p>
      <w:pPr>
        <w:pStyle w:val="TextBody"/>
        <w:spacing w:lineRule="auto" w:line="288" w:before="120" w:after="283"/>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early stage programs was driven by an increase in costs associated with:</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development of BIIB131 for the treatment of acute ischemic stroke;</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development of litifilimab for the treatment of CLE; and</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development of BIIB121 for the treatment of Angelman syndrome.</w:t>
      </w:r>
    </w:p>
    <w:p>
      <w:pPr>
        <w:pStyle w:val="TextBody"/>
        <w:spacing w:lineRule="auto" w:line="288" w:before="60" w:after="283"/>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was partially offset by a decrease in costs associated with:</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discontinuation of BIIB078 for the treatment of Alzheimer's disease; and</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advancement of BIIB122 for the treatment of Parkinson's disease into late stage.</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LATE STAGE PROGRAMS</w:t>
      </w:r>
    </w:p>
    <w:p>
      <w:pPr>
        <w:pStyle w:val="TextBody"/>
        <w:spacing w:lineRule="auto" w:line="288" w:before="0" w:after="0"/>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Q1 2023 vs. Q1 2022</w:t>
      </w:r>
    </w:p>
    <w:p>
      <w:pPr>
        <w:pStyle w:val="TextBody"/>
        <w:spacing w:lineRule="auto" w:line="288" w:before="60" w:after="283"/>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in late stage programs was driven by a decrease in costs associated with:</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advancement of LEQEMBI from late stage to marketed upon the accelerated approval of LEQEMBI in the U.S.; and</w:t>
      </w:r>
    </w:p>
    <w:p>
      <w:pPr>
        <w:pStyle w:val="TextBody"/>
        <w:spacing w:lineRule="auto" w:line="288" w:before="60" w:after="283"/>
        <w:ind w:left="0" w:right="0" w:hanging="360"/>
        <w:rPr/>
      </w:pPr>
      <w:r>
        <w:rPr>
          <w:color w:val="0070C0"/>
        </w:rPr>
        <w:t>•</w:t>
      </w:r>
      <w:r>
        <w:rPr>
          <w:rFonts w:ascii="Franklin Gothic Book;sans-serif" w:hAnsi="Franklin Gothic Book;sans-serif"/>
          <w:b/>
          <w:color w:val="000000"/>
          <w:sz w:val="19"/>
        </w:rPr>
        <w:t>advancement of LUNSUMIO from late stage to marketed upon the accelerated approval of LUNSUMIO in the U.S.</w:t>
      </w:r>
    </w:p>
    <w:p>
      <w:pPr>
        <w:pStyle w:val="TextBody"/>
        <w:spacing w:lineRule="auto" w:line="288" w:before="60" w:after="283"/>
        <w:rPr>
          <w:rFonts w:ascii="Franklin Gothic Book;sans-serif" w:hAnsi="Franklin Gothic Book;sans-serif"/>
          <w:b w:val="false"/>
          <w:color w:val="000000"/>
          <w:sz w:val="19"/>
        </w:rPr>
      </w:pPr>
      <w:r>
        <w:rPr>
          <w:rFonts w:ascii="Franklin Gothic Book;sans-serif" w:hAnsi="Franklin Gothic Book;sans-serif"/>
          <w:b w:val="false"/>
          <w:color w:val="000000"/>
          <w:sz w:val="19"/>
        </w:rPr>
        <w:t>The decrease was partially offset by an increase in costs associated with:</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advancement of litifilimab for the treatment of SLE into late stage;</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advancement of BIIB122 for the treatment of Parkinson's disease into late stage; and</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development of BIIB800, a proposed tocilizumab biosimilar referencing ACTEMRA.</w:t>
      </w:r>
    </w:p>
    <w:p>
      <w:pPr>
        <w:pStyle w:val="TextBody"/>
        <w:spacing w:lineRule="auto" w:line="288" w:before="18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MARKETED PROGRAMS</w:t>
      </w:r>
    </w:p>
    <w:p>
      <w:pPr>
        <w:pStyle w:val="TextBody"/>
        <w:spacing w:lineRule="auto" w:line="288" w:before="0" w:after="0"/>
        <w:rPr>
          <w:rFonts w:ascii="Franklin Gothic Medium;sans-serif" w:hAnsi="Franklin Gothic Medium;sans-serif"/>
          <w:b/>
          <w:color w:val="000000"/>
          <w:sz w:val="22"/>
        </w:rPr>
      </w:pPr>
      <w:r>
        <w:rPr>
          <w:rFonts w:ascii="Franklin Gothic Medium;sans-serif" w:hAnsi="Franklin Gothic Medium;sans-serif"/>
          <w:b/>
          <w:color w:val="000000"/>
          <w:sz w:val="22"/>
        </w:rPr>
        <w:t>Q1 2023 vs. Q1 2022</w:t>
      </w:r>
    </w:p>
    <w:p>
      <w:pPr>
        <w:pStyle w:val="TextBody"/>
        <w:spacing w:lineRule="auto" w:line="288" w:before="60" w:after="283"/>
        <w:rPr>
          <w:rFonts w:ascii="Franklin Gothic Book;sans-serif" w:hAnsi="Franklin Gothic Book;sans-serif"/>
          <w:b w:val="false"/>
          <w:color w:val="000000"/>
          <w:sz w:val="19"/>
        </w:rPr>
      </w:pPr>
      <w:r>
        <w:rPr>
          <w:rFonts w:ascii="Franklin Gothic Book;sans-serif" w:hAnsi="Franklin Gothic Book;sans-serif"/>
          <w:b w:val="false"/>
          <w:color w:val="000000"/>
          <w:sz w:val="19"/>
        </w:rPr>
        <w:t>The increase in marketed programs was driven by an increase in costs associated with:</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19"/>
        </w:rPr>
        <w:t>advancement of LEQEMBI from late stage to marketed upon the accelerated approval of LEQEMBI in the U.S.; and</w:t>
      </w:r>
    </w:p>
    <w:p>
      <w:pPr>
        <w:pStyle w:val="TextBody"/>
        <w:spacing w:lineRule="auto" w:line="288" w:before="60" w:after="283"/>
        <w:ind w:left="0" w:right="0" w:hanging="360"/>
        <w:rPr/>
      </w:pPr>
      <w:r>
        <w:rPr>
          <w:color w:val="0070C0"/>
        </w:rPr>
        <w:t>•</w:t>
      </w:r>
      <w:r>
        <w:rPr>
          <w:rFonts w:ascii="Franklin Gothic Book;sans-serif" w:hAnsi="Franklin Gothic Book;sans-serif"/>
          <w:b/>
          <w:color w:val="000000"/>
          <w:sz w:val="19"/>
        </w:rPr>
        <w:t>increased spend in ADUHELM primarily due to change in our cost sharing arrangement with Eisai.</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3" name="Frame5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pStyle w:val="TextBody"/>
        <w:spacing w:lineRule="auto" w:line="288" w:before="60" w:after="283"/>
        <w:ind w:left="0" w:right="0" w:hanging="360"/>
        <w:rPr/>
      </w:pPr>
      <w:r>
        <w:rPr>
          <w:color w:val="0070C0"/>
        </w:rPr>
        <w:t>•</w:t>
      </w:r>
      <w:r>
        <w:rPr>
          <w:rFonts w:ascii="Franklin Gothic Book;sans-serif" w:hAnsi="Franklin Gothic Book;sans-serif"/>
          <w:b/>
          <w:color w:val="0070C0"/>
          <w:sz w:val="20"/>
        </w:rPr>
        <w:t>Marketed products:</w:t>
      </w:r>
      <w:r>
        <w:rPr>
          <w:color w:val="000000"/>
        </w:rPr>
        <w:t xml:space="preserve"> </w:t>
      </w:r>
      <w:r>
        <w:rPr>
          <w:rFonts w:ascii="Franklin Gothic Book;sans-serif" w:hAnsi="Franklin Gothic Book;sans-serif"/>
          <w:b w:val="false"/>
          <w:color w:val="000000"/>
          <w:sz w:val="20"/>
        </w:rPr>
        <w:t>includes costs associated with product lifecycle management activities including, if applicable, costs associated with the development of new indications for existing products.</w:t>
      </w:r>
    </w:p>
    <w:p>
      <w:pPr>
        <w:pStyle w:val="TextBody"/>
        <w:spacing w:lineRule="auto" w:line="288" w:before="60" w:after="283"/>
        <w:ind w:left="0" w:right="0" w:hanging="360"/>
        <w:rPr/>
      </w:pPr>
      <w:r>
        <w:rPr>
          <w:color w:val="0070C0"/>
        </w:rPr>
        <w:t>•</w:t>
      </w:r>
      <w:r>
        <w:rPr>
          <w:rFonts w:ascii="Franklin Gothic Book;sans-serif" w:hAnsi="Franklin Gothic Book;sans-serif"/>
          <w:b/>
          <w:color w:val="0070C0"/>
          <w:sz w:val="20"/>
        </w:rPr>
        <w:t>Late stage programs:</w:t>
      </w:r>
      <w:r>
        <w:rPr>
          <w:color w:val="000000"/>
        </w:rPr>
        <w:t xml:space="preserve"> </w:t>
      </w:r>
      <w:r>
        <w:rPr>
          <w:rFonts w:ascii="Franklin Gothic Book;sans-serif" w:hAnsi="Franklin Gothic Book;sans-serif"/>
          <w:b w:val="false"/>
          <w:color w:val="000000"/>
          <w:sz w:val="20"/>
        </w:rPr>
        <w:t>are programs in Phase 3 development or in registration stage.</w:t>
      </w:r>
    </w:p>
    <w:p>
      <w:pPr>
        <w:pStyle w:val="TextBody"/>
        <w:spacing w:lineRule="auto" w:line="288" w:before="60" w:after="283"/>
        <w:ind w:left="0" w:right="0" w:hanging="360"/>
        <w:rPr/>
      </w:pPr>
      <w:r>
        <w:rPr>
          <w:color w:val="0070C0"/>
        </w:rPr>
        <w:t>•</w:t>
      </w:r>
      <w:r>
        <w:rPr>
          <w:rFonts w:ascii="Franklin Gothic Book;sans-serif" w:hAnsi="Franklin Gothic Book;sans-serif"/>
          <w:b/>
          <w:color w:val="0070C0"/>
          <w:sz w:val="20"/>
        </w:rPr>
        <w:t>Early stage programs:</w:t>
      </w:r>
      <w:r>
        <w:rPr>
          <w:color w:val="000000"/>
        </w:rPr>
        <w:t xml:space="preserve"> </w:t>
      </w:r>
      <w:r>
        <w:rPr>
          <w:rFonts w:ascii="Franklin Gothic Book;sans-serif" w:hAnsi="Franklin Gothic Book;sans-serif"/>
          <w:b w:val="false"/>
          <w:color w:val="000000"/>
          <w:sz w:val="20"/>
        </w:rPr>
        <w:t>are programs in Phase 1 or Phase 2 development.</w:t>
      </w:r>
    </w:p>
    <w:p>
      <w:pPr>
        <w:pStyle w:val="TextBody"/>
        <w:spacing w:lineRule="auto" w:line="288" w:before="60" w:after="283"/>
        <w:ind w:left="0" w:right="0" w:hanging="360"/>
        <w:rPr/>
      </w:pPr>
      <w:r>
        <w:rPr>
          <w:color w:val="0070C0"/>
        </w:rPr>
        <w:t>•</w:t>
      </w:r>
      <w:r>
        <w:rPr>
          <w:rFonts w:ascii="Franklin Gothic Book;sans-serif" w:hAnsi="Franklin Gothic Book;sans-serif"/>
          <w:b/>
          <w:color w:val="0070C0"/>
          <w:sz w:val="20"/>
        </w:rPr>
        <w:t>Research and discovery:</w:t>
      </w:r>
      <w:r>
        <w:rPr>
          <w:color w:val="000000"/>
        </w:rPr>
        <w:t xml:space="preserve"> </w:t>
      </w:r>
      <w:r>
        <w:rPr>
          <w:rFonts w:ascii="Franklin Gothic Book;sans-serif" w:hAnsi="Franklin Gothic Book;sans-serif"/>
          <w:b w:val="false"/>
          <w:color w:val="000000"/>
          <w:sz w:val="20"/>
        </w:rPr>
        <w:t xml:space="preserve">represents costs incurred to support our discovery research and translational science efforts. </w:t>
      </w:r>
    </w:p>
    <w:p>
      <w:pPr>
        <w:pStyle w:val="TextBody"/>
        <w:spacing w:lineRule="auto" w:line="288" w:before="60" w:after="283"/>
        <w:ind w:left="0" w:right="0" w:hanging="360"/>
        <w:rPr/>
      </w:pPr>
      <w:r>
        <w:rPr>
          <w:color w:val="0070C0"/>
        </w:rPr>
        <w:t>•</w:t>
      </w:r>
      <w:r>
        <w:rPr>
          <w:rFonts w:ascii="Franklin Gothic Book;sans-serif" w:hAnsi="Franklin Gothic Book;sans-serif"/>
          <w:b/>
          <w:color w:val="0070C0"/>
          <w:sz w:val="20"/>
        </w:rPr>
        <w:t>Development stage:</w:t>
      </w:r>
      <w:r>
        <w:rPr>
          <w:color w:val="000000"/>
        </w:rPr>
        <w:t xml:space="preserve"> </w:t>
      </w:r>
      <w:r>
        <w:rPr>
          <w:rFonts w:ascii="Franklin Gothic Book;sans-serif" w:hAnsi="Franklin Gothic Book;sans-serif"/>
          <w:b w:val="false"/>
          <w:color w:val="000000"/>
          <w:sz w:val="20"/>
        </w:rPr>
        <w:t>based upon the program status when incurred. Therefore, the same program could be reflected in different development stages in the same year.</w:t>
      </w:r>
    </w:p>
    <w:p>
      <w:pPr>
        <w:pStyle w:val="TextBody"/>
        <w:spacing w:lineRule="auto" w:line="288" w:before="60" w:after="283"/>
        <w:ind w:left="0" w:right="0" w:hanging="360"/>
        <w:rPr/>
      </w:pPr>
      <w:r>
        <w:rPr>
          <w:color w:val="0070C0"/>
        </w:rPr>
        <w:t>•</w:t>
      </w:r>
      <w:r>
        <w:rPr>
          <w:rFonts w:ascii="Franklin Gothic Book;sans-serif" w:hAnsi="Franklin Gothic Book;sans-serif"/>
          <w:b/>
          <w:color w:val="0070C0"/>
          <w:sz w:val="20"/>
        </w:rPr>
        <w:t>Other research and development costs:</w:t>
      </w:r>
      <w:r>
        <w:rPr>
          <w:color w:val="000000"/>
        </w:rPr>
        <w:t xml:space="preserve"> </w:t>
      </w:r>
      <w:r>
        <w:rPr>
          <w:rFonts w:ascii="Franklin Gothic Book;sans-serif" w:hAnsi="Franklin Gothic Book;sans-serif"/>
          <w:b w:val="false"/>
          <w:color w:val="000000"/>
          <w:sz w:val="20"/>
        </w:rPr>
        <w:t>For several of our programs, the research and development activities are part of our collaborative and other relationships. Our costs reflect our share of the total costs incurred.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Excluding upfront payments, we expect our core research and development expense to modestly increase in 2023, as we continue to invest in our pipeline. We intend to continue committing significant resources to targeted research and development opportunities where there is a significant unmet need and where a drug candidate has the potential to be highly differentiated.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color w:val="0070C0"/>
          <w:sz w:val="24"/>
        </w:rPr>
      </w:pPr>
      <w:r>
        <w:rPr>
          <w:rFonts w:ascii="Franklin Gothic Medium;sans-serif" w:hAnsi="Franklin Gothic Medium;sans-serif"/>
          <w:b/>
          <w:color w:val="0070C0"/>
          <w:sz w:val="24"/>
        </w:rPr>
        <w:t>SELLING, GENERAL AND ADMINISTRATIVE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selling, general and administrative expense decreased approximately 4.7% primarily due to cost-reduction measures realized during 2023, partially offset by investments to support new product launches and a $31.0 million obligation to Eisai related to the termination of the co-promotion agreement for our MS products in Japan. Beginning in the first quarter of 2023 reimbursement to Eisai for our share of U.S. LEQEMBI selling, general and administrative expense is recognized in revenue from LEQEMBI Collaboration within our condensed consolidated statements of income.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expect selling, general and administrative costs to continue to decline in 2023 due to the implementation of our cost saving initiatives.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with Eisai,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AMORTIZATION AND IMPAIRMENT OF ACQUIRED INTANGIBLE ASSETS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amortization expense is based on the economic consumption and impairment of intangible assets. Our most significant amortizable intangible assets are related to our TYSABRI, AVONEX, SPINRAZA and VUMERITY products and other programs acquired through business combinations.</w:t>
      </w:r>
    </w:p>
    <w:p>
      <w:pPr>
        <w:pStyle w:val="TextBody"/>
        <w:spacing w:lineRule="auto" w:line="288" w:before="120" w:after="283"/>
        <w:rPr/>
      </w:pPr>
      <w:r>
        <w:rPr>
          <w:rFonts w:ascii="Franklin Gothic Book;sans-serif" w:hAnsi="Franklin Gothic Book;sans-serif"/>
          <w:b w:val="false"/>
          <w:color w:val="000000"/>
          <w:sz w:val="20"/>
        </w:rPr>
        <w:t>For the three months ended March 31, 2023, compared to the same period in 2022, the decrease in amortization and impairment of acquired intangible assets was primarily due to a lower rate of amortization for acquired intangible assets. For the three months ended March 31, 2023</w:t>
      </w:r>
      <w:r>
        <w:rPr>
          <w:color w:val="000000"/>
          <w:highlight w:val="white"/>
        </w:rPr>
        <w:t xml:space="preserve"> </w:t>
      </w:r>
      <w:r>
        <w:rPr>
          <w:rFonts w:ascii="Franklin Gothic Book;sans-serif" w:hAnsi="Franklin Gothic Book;sans-serif"/>
          <w:b w:val="false"/>
          <w:color w:val="000000"/>
          <w:sz w:val="20"/>
          <w:highlight w:val="white"/>
        </w:rPr>
        <w:t xml:space="preserve">and </w:t>
      </w:r>
      <w:r>
        <w:rPr>
          <w:rFonts w:ascii="Franklin Gothic Book;sans-serif" w:hAnsi="Franklin Gothic Book;sans-serif"/>
          <w:b w:val="false"/>
          <w:color w:val="000000"/>
          <w:sz w:val="20"/>
        </w:rPr>
        <w:t>2022</w:t>
      </w:r>
      <w:r>
        <w:rPr>
          <w:rFonts w:ascii="Franklin Gothic Book;sans-serif" w:hAnsi="Franklin Gothic Book;sans-serif"/>
          <w:b w:val="false"/>
          <w:color w:val="000000"/>
          <w:sz w:val="20"/>
          <w:highlight w:val="white"/>
        </w:rPr>
        <w:t xml:space="preserve">, we had </w:t>
      </w:r>
      <w:r>
        <w:rPr>
          <w:rFonts w:ascii="Franklin Gothic Book;sans-serif" w:hAnsi="Franklin Gothic Book;sans-serif"/>
          <w:b w:val="false"/>
          <w:color w:val="000000"/>
          <w:sz w:val="20"/>
        </w:rPr>
        <w:t>no</w:t>
      </w:r>
      <w:r>
        <w:rPr>
          <w:color w:val="000000"/>
          <w:highlight w:val="white"/>
        </w:rPr>
        <w:t xml:space="preserve"> </w:t>
      </w:r>
      <w:r>
        <w:rPr>
          <w:rFonts w:ascii="Franklin Gothic Book;sans-serif" w:hAnsi="Franklin Gothic Book;sans-serif"/>
          <w:b w:val="false"/>
          <w:color w:val="000000"/>
          <w:sz w:val="20"/>
          <w:highlight w:val="white"/>
        </w:rPr>
        <w:t>impairment charges.</w:t>
      </w:r>
    </w:p>
    <w:p>
      <w:pPr>
        <w:pStyle w:val="TextBody"/>
        <w:spacing w:lineRule="auto" w:line="288" w:before="120" w:after="283"/>
        <w:rPr/>
      </w:pPr>
      <w:r>
        <w:rPr>
          <w:rFonts w:ascii="Franklin Gothic Book;sans-serif" w:hAnsi="Franklin Gothic Book;sans-serif"/>
          <w:b w:val="false"/>
          <w:color w:val="000000"/>
          <w:sz w:val="20"/>
          <w:highlight w:val="white"/>
        </w:rPr>
        <w:t xml:space="preserve">For additional information on the amortization and impairment of our acquired intangible assets, please read </w:t>
      </w:r>
      <w:r>
        <w:rPr>
          <w:rFonts w:ascii="Franklin Gothic Book;sans-serif" w:hAnsi="Franklin Gothic Book;sans-serif"/>
          <w:b w:val="false"/>
          <w:i/>
          <w:color w:val="000000"/>
          <w:sz w:val="20"/>
          <w:highlight w:val="white"/>
        </w:rPr>
        <w:t>Note 6, Intangible Assets and Goodwill</w:t>
      </w:r>
      <w:r>
        <w:rPr>
          <w:rFonts w:ascii="Franklin Gothic Book;sans-serif" w:hAnsi="Franklin Gothic Book;sans-serif"/>
          <w:b w:val="false"/>
          <w:color w:val="000000"/>
          <w:sz w:val="20"/>
          <w:highlight w:val="white"/>
        </w:rPr>
        <w:t>, 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COLLABORATION PROFIT SHARING/(LOSS REIMBURSEMENT)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Collaboration profit sharing/(loss reimbursement) primarily includes Samsung Bioepis' 50.0% share of the profit or loss related to our biosimilars 2013 commercial agreement with Samsung Bioepis and Eisai's 45.0% share of income and expense in the U.S. related to the ADUHELM Collaboration Agreement. Beginning January 1, 2023, Eisai receives only a tiered royalty based on net sales of ADUHELM, and will no longer share global profits and losses.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we recognized net profit-sharing expense of $57.1 million to reflect Samsung Bioepis' 50.0% sharing of the net collaboration profits, compared to a net profit-sharing expense of $64.4 million in the prior year comparative period.</w:t>
      </w:r>
    </w:p>
    <w:p>
      <w:pPr>
        <w:pStyle w:val="TextBody"/>
        <w:spacing w:lineRule="auto" w:line="288" w:before="120" w:after="283"/>
        <w:rPr/>
      </w:pPr>
      <w:r>
        <w:rPr>
          <w:rFonts w:ascii="Franklin Gothic Book;sans-serif" w:hAnsi="Franklin Gothic Book;sans-serif"/>
          <w:b w:val="false"/>
          <w:color w:val="000000"/>
          <w:sz w:val="20"/>
          <w:highlight w:val="white"/>
        </w:rPr>
        <w:t>For the</w:t>
      </w:r>
      <w:r>
        <w:rPr>
          <w:color w:val="000000"/>
        </w:rPr>
        <w:t xml:space="preserve"> </w:t>
      </w:r>
      <w:r>
        <w:rPr>
          <w:rFonts w:ascii="Franklin Gothic Book;sans-serif" w:hAnsi="Franklin Gothic Book;sans-serif"/>
          <w:b w:val="false"/>
          <w:color w:val="000000"/>
          <w:sz w:val="20"/>
        </w:rPr>
        <w:t xml:space="preserve">three months ended March 31, 2022, </w:t>
      </w:r>
      <w:r>
        <w:rPr>
          <w:rFonts w:ascii="Franklin Gothic Book;sans-serif" w:hAnsi="Franklin Gothic Book;sans-serif"/>
          <w:b w:val="false"/>
          <w:color w:val="000000"/>
          <w:sz w:val="20"/>
          <w:highlight w:val="white"/>
        </w:rPr>
        <w:t xml:space="preserve">we recognized a net reduction to our operating expense of approximately </w:t>
      </w:r>
      <w:r>
        <w:rPr>
          <w:rFonts w:ascii="Franklin Gothic Book;sans-serif" w:hAnsi="Franklin Gothic Book;sans-serif"/>
          <w:b w:val="false"/>
          <w:color w:val="000000"/>
          <w:sz w:val="20"/>
        </w:rPr>
        <w:t xml:space="preserve">$181.7 million to reflect Eisai's 45.0% </w:t>
      </w:r>
      <w:r>
        <w:rPr>
          <w:rFonts w:ascii="Franklin Gothic Book;sans-serif" w:hAnsi="Franklin Gothic Book;sans-serif"/>
          <w:b w:val="false"/>
          <w:color w:val="000000"/>
          <w:sz w:val="20"/>
          <w:highlight w:val="white"/>
        </w:rPr>
        <w:t>share of net collaboration losses in the U.S.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4" name="Frame5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and license arrangements with Eisai and Samsung Bioepis, please read </w:t>
      </w:r>
      <w:r>
        <w:rPr>
          <w:rFonts w:ascii="Franklin Gothic Book;sans-serif" w:hAnsi="Franklin Gothic Book;sans-serif"/>
          <w:b w:val="false"/>
          <w:i/>
          <w:color w:val="000000"/>
          <w:sz w:val="20"/>
        </w:rPr>
        <w:t>Note 16, Collaborative and Other Relationships,</w:t>
      </w:r>
      <w:r>
        <w:rPr>
          <w:color w:val="000000"/>
        </w:rPr>
        <w:t xml:space="preserve"> </w:t>
      </w:r>
      <w:r>
        <w:rPr>
          <w:rFonts w:ascii="Franklin Gothic Book;sans-serif" w:hAnsi="Franklin Gothic Book;sans-serif"/>
          <w:b w:val="false"/>
          <w:color w:val="000000"/>
          <w:sz w:val="20"/>
        </w:rPr>
        <w:t xml:space="preserve">to our condensed consolidated financial statements included in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RESTRUCTURING CHARGES</w:t>
      </w:r>
    </w:p>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2022 COST SAVING INITIATIVES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December 2021 and May 2022 we announced our plans to implement a series of cost-reduction measures that when completed we expect may yield approximately $1.0 billion in expense savings. These savings are being achieved through a number of initiatives, including reductions to our workforce, the substantial elimination of our commercial ADUHELM infrastructure, the consolidation of certain real estate locations and operating efficiency gains across our selling, general and administrative and research and development functions.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Under these initiatives, we estimate we will incur total restructuring charges of approximately $135.0 million, primarily related to severance. These amounts were substantially incurred during 2022. As of March 31, 2023, approximately $28.0 million remained in our restructuring reserve and payments are expected to be made through 2026.</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and 2022, we recognized $9.6 million and $38.1 million, respectively, of net pre-tax restructuring charges, of which approximately $7.1 million and $27.7 million, respectively, consisted of employee severance costs.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cost saving initiatives, please read </w:t>
      </w:r>
      <w:r>
        <w:rPr>
          <w:rFonts w:ascii="Franklin Gothic Book;sans-serif" w:hAnsi="Franklin Gothic Book;sans-serif"/>
          <w:b w:val="false"/>
          <w:i/>
          <w:color w:val="000000"/>
          <w:sz w:val="20"/>
        </w:rPr>
        <w:t>Note 3, Restructuring,</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OTHER (INCOME) EXPENSE, NET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change in other (income) expense, net primarily reflects net unrealized losses on our holdings in equity securities. For the three months ended March 31, 2023, net unrealized losses and realized losses on our holdings in equity securities were approximately $76.5 million and $1.6 million, respectively, compared to net unrealized losses and realized gains of approximately $190.9 million and $0.2 million, respectively, in the prior year comparative period.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three months ended March 31, 2023, primarily reflect a decrease in the aggregate fair value of our investments in Denali, Sangamo and Ionis common stock of approximately $100.0 million, partially offset by an increase in the fair value of Sage common stock of approximately $23.8 million.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net unrealized losses recognized during the three months ended March 31, 2022, primarily reflect a decrease in the aggregate fair value of our investments in Denali, Sage and Sangamo common stock of approximately $205.5 million, partially offset by an increase in the fair value of Ionis common stock of approximately $19.0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INCOME TAX PROVISION</w:t>
      </w:r>
    </w:p>
    <w:tbl>
      <w:tblPr>
        <w:tblW w:w="7929" w:type="dxa"/>
        <w:jc w:val="left"/>
        <w:tblInd w:w="0" w:type="dxa"/>
        <w:tblCellMar>
          <w:top w:w="28" w:type="dxa"/>
          <w:left w:w="28" w:type="dxa"/>
          <w:bottom w:w="28" w:type="dxa"/>
          <w:right w:w="28" w:type="dxa"/>
        </w:tblCellMar>
      </w:tblPr>
      <w:tblGrid>
        <w:gridCol w:w="1385"/>
        <w:gridCol w:w="1219"/>
        <w:gridCol w:w="1221"/>
        <w:gridCol w:w="109"/>
        <w:gridCol w:w="109"/>
        <w:gridCol w:w="109"/>
        <w:gridCol w:w="279"/>
        <w:gridCol w:w="815"/>
        <w:gridCol w:w="338"/>
        <w:gridCol w:w="144"/>
        <w:gridCol w:w="144"/>
        <w:gridCol w:w="144"/>
        <w:gridCol w:w="279"/>
        <w:gridCol w:w="815"/>
        <w:gridCol w:w="338"/>
        <w:gridCol w:w="109"/>
        <w:gridCol w:w="109"/>
        <w:gridCol w:w="109"/>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70C0"/>
                <w:sz w:val="16"/>
              </w:rPr>
            </w:pPr>
            <w:r>
              <w:rPr>
                <w:rFonts w:ascii="Franklin Gothic Book;sans-serif" w:hAnsi="Franklin Gothic Book;sans-serif"/>
                <w:b w:val="false"/>
                <w:color w:val="0070C0"/>
                <w:sz w:val="16"/>
              </w:rPr>
              <w:t>2023</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before income tax (benefit)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81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438.3 </w:t>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8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347.4 </w:t>
            </w:r>
          </w:p>
        </w:tc>
        <w:tc>
          <w:tcPr>
            <w:tcW w:w="3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50.7 </w:t>
            </w:r>
          </w:p>
        </w:tc>
        <w:tc>
          <w:tcPr>
            <w:tcW w:w="3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125.6 </w:t>
            </w:r>
          </w:p>
        </w:tc>
        <w:tc>
          <w:tcPr>
            <w:tcW w:w="3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Effective tax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11.6 </w:t>
            </w:r>
          </w:p>
        </w:tc>
        <w:tc>
          <w:tcPr>
            <w:tcW w:w="338"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36.2 </w:t>
            </w:r>
          </w:p>
        </w:tc>
        <w:tc>
          <w:tcPr>
            <w:tcW w:w="3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decrease in our effective tax rate includes the impact of recording a valuation allowance on the net Neurimmune deferred tax asset during the first quarter of 2022, the resolution of an uncertain tax matter in the current quarter related to tax credits and the non-cash tax effects of changes in the value of our equity investments. The tax effects of this change in value of our equity investments are recorded discretely since changes in value of equity investments cannot be forecasted.</w:t>
      </w:r>
    </w:p>
    <w:p>
      <w:pPr>
        <w:pStyle w:val="TextBody"/>
        <w:spacing w:lineRule="auto" w:line="268" w:before="120" w:after="283"/>
        <w:rPr/>
      </w:pPr>
      <w:r>
        <w:rPr>
          <w:rFonts w:ascii="Franklin Gothic Book;sans-serif" w:hAnsi="Franklin Gothic Book;sans-serif"/>
          <w:b w:val="false"/>
          <w:color w:val="000000"/>
          <w:sz w:val="20"/>
        </w:rPr>
        <w:t xml:space="preserve">For additional information on our income taxes, please read </w:t>
      </w:r>
      <w:r>
        <w:rPr>
          <w:rFonts w:ascii="Franklin Gothic Book;sans-serif" w:hAnsi="Franklin Gothic Book;sans-serif"/>
          <w:b w:val="false"/>
          <w:i/>
          <w:color w:val="000000"/>
          <w:sz w:val="20"/>
        </w:rPr>
        <w:t>Note 14, Income Taxes</w:t>
      </w:r>
      <w:r>
        <w:rPr>
          <w:rFonts w:ascii="Franklin Gothic Book;sans-serif" w:hAnsi="Franklin Gothic Book;sans-serif"/>
          <w:b w:val="false"/>
          <w:color w:val="000000"/>
          <w:sz w:val="20"/>
        </w:rPr>
        <w:t>, 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5" name="Frame5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NONCONTROLLING INTERESTS, NET OF TAX</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condensed consolidated financial statements include the financial results of our variable interest entity, Neurimmune, as we determined that we are the primary beneficiary.</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change in net income (loss) attributable to noncontrolling interests, net of tax, was primarily due to an increase in a valuation allowance of approximately $85.0 million recorded in the first quarter of 2022.</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the valuation allowance and our collaboration agreement with Neurimmune, please read </w:t>
      </w:r>
      <w:r>
        <w:rPr>
          <w:rFonts w:ascii="Franklin Gothic Book;sans-serif" w:hAnsi="Franklin Gothic Book;sans-serif"/>
          <w:b w:val="false"/>
          <w:i/>
          <w:color w:val="000000"/>
          <w:sz w:val="20"/>
        </w:rPr>
        <w:t>Note 17, Investments in Variable Interest Entities,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587F"/>
          <w:sz w:val="28"/>
        </w:rPr>
      </w:pPr>
      <w:r>
        <w:rPr>
          <w:rFonts w:ascii="Franklin Gothic Medium;sans-serif" w:hAnsi="Franklin Gothic Medium;sans-serif"/>
          <w:b w:val="false"/>
          <w:color w:val="00587F"/>
          <w:sz w:val="28"/>
        </w:rPr>
        <w:t>FINANCIAL CONDITION, LIQUIDITY AND CAPITAL RESOURCES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financial condition is summarized as follows:</w:t>
      </w:r>
    </w:p>
    <w:tbl>
      <w:tblPr>
        <w:tblW w:w="10205" w:type="dxa"/>
        <w:jc w:val="left"/>
        <w:tblInd w:w="0" w:type="dxa"/>
        <w:tblCellMar>
          <w:top w:w="28" w:type="dxa"/>
          <w:left w:w="28" w:type="dxa"/>
          <w:bottom w:w="28" w:type="dxa"/>
          <w:right w:w="28" w:type="dxa"/>
        </w:tblCellMar>
      </w:tblPr>
      <w:tblGrid>
        <w:gridCol w:w="1175"/>
        <w:gridCol w:w="1008"/>
        <w:gridCol w:w="1013"/>
        <w:gridCol w:w="109"/>
        <w:gridCol w:w="109"/>
        <w:gridCol w:w="109"/>
        <w:gridCol w:w="323"/>
        <w:gridCol w:w="1175"/>
        <w:gridCol w:w="166"/>
        <w:gridCol w:w="109"/>
        <w:gridCol w:w="109"/>
        <w:gridCol w:w="109"/>
        <w:gridCol w:w="361"/>
        <w:gridCol w:w="1310"/>
        <w:gridCol w:w="186"/>
        <w:gridCol w:w="109"/>
        <w:gridCol w:w="109"/>
        <w:gridCol w:w="109"/>
        <w:gridCol w:w="211"/>
        <w:gridCol w:w="675"/>
        <w:gridCol w:w="109"/>
        <w:gridCol w:w="109"/>
        <w:gridCol w:w="109"/>
        <w:gridCol w:w="109"/>
        <w:gridCol w:w="279"/>
        <w:gridCol w:w="279"/>
        <w:gridCol w:w="627"/>
      </w:tblGrid>
      <w:tr>
        <w:trPr/>
        <w:tc>
          <w:tcPr>
            <w:tcW w:w="1175"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DDDDDD"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As of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3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Financial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DDDDDD"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75"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2,898.2 </w:t>
            </w:r>
          </w:p>
        </w:tc>
        <w:tc>
          <w:tcPr>
            <w:tcW w:w="1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3,419.3 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5"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(521.1)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(15.2)</w:t>
            </w:r>
          </w:p>
        </w:tc>
        <w:tc>
          <w:tcPr>
            <w:tcW w:w="62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securities — 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2,143.1 </w:t>
            </w:r>
          </w:p>
        </w:tc>
        <w:tc>
          <w:tcPr>
            <w:tcW w:w="1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1,473.5 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669.6 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45.4 </w:t>
            </w:r>
          </w:p>
        </w:tc>
        <w:tc>
          <w:tcPr>
            <w:tcW w:w="6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Marketable securities — 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978.2 </w:t>
            </w:r>
          </w:p>
        </w:tc>
        <w:tc>
          <w:tcPr>
            <w:tcW w:w="1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705.7 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272.5 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38.6 </w:t>
            </w:r>
          </w:p>
        </w:tc>
        <w:tc>
          <w:tcPr>
            <w:tcW w:w="6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cash, cash equivalents and marketable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7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6,019.5 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5,598.5 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7.5 </w:t>
            </w:r>
          </w:p>
        </w:tc>
        <w:tc>
          <w:tcPr>
            <w:tcW w:w="62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Borrowings: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Notes payable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75"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6,282.7 </w:t>
            </w:r>
          </w:p>
        </w:tc>
        <w:tc>
          <w:tcPr>
            <w:tcW w:w="1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6,281.0 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5"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70C0"/>
              </w:rPr>
            </w:pPr>
            <w:r>
              <w:rPr>
                <w:color w:val="0070C0"/>
              </w:rPr>
              <w:t>— </w:t>
            </w:r>
          </w:p>
        </w:tc>
        <w:tc>
          <w:tcPr>
            <w:tcW w:w="62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borrowings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7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6,282.7 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6,281.0 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70C0"/>
              </w:rPr>
            </w:pPr>
            <w:r>
              <w:rPr>
                <w:color w:val="0070C0"/>
              </w:rPr>
              <w:t>— </w:t>
            </w:r>
          </w:p>
        </w:tc>
        <w:tc>
          <w:tcPr>
            <w:tcW w:w="62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Working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75"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9,762.5 </w:t>
            </w:r>
          </w:p>
        </w:tc>
        <w:tc>
          <w:tcPr>
            <w:tcW w:w="1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1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9,791.2 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5"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(28.7)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(0.3)</w:t>
            </w:r>
          </w:p>
        </w:tc>
        <w:tc>
          <w:tcPr>
            <w:tcW w:w="62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(3,014.9)</w:t>
            </w:r>
          </w:p>
        </w:tc>
        <w:tc>
          <w:tcPr>
            <w:tcW w:w="1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(3,272.8)</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257.9 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(7.9)</w:t>
            </w:r>
          </w:p>
        </w:tc>
        <w:tc>
          <w:tcPr>
            <w:tcW w:w="6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 working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11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6,747.6 </w:t>
            </w:r>
          </w:p>
        </w:tc>
        <w:tc>
          <w:tcPr>
            <w:tcW w:w="1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3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6,518.4 </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c>
          <w:tcPr>
            <w:tcW w:w="6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229.2 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3.5 </w:t>
            </w:r>
          </w:p>
        </w:tc>
        <w:tc>
          <w:tcPr>
            <w:tcW w:w="6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OVERVIEW</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historically financed and expect to continue to fund our operating and capital expenditures primarily through cash flow earned through our operations, as well as our existing cash resources. We believe generic competition for TECFIDERA in the U.S. and other key markets, continued decline in the Interferon product class and investments in the development and launch of potential new products will continue to reduce our cash flow from operations in 2023 and will have a significant adverse impact on our future cash flow from operations.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pStyle w:val="TextBody"/>
        <w:spacing w:lineRule="auto" w:line="276" w:before="120" w:after="283"/>
        <w:rPr/>
      </w:pPr>
      <w:r>
        <w:rPr>
          <w:rFonts w:ascii="Franklin Gothic Book;sans-serif" w:hAnsi="Franklin Gothic Book;sans-serif"/>
          <w:b w:val="false"/>
          <w:color w:val="000000"/>
          <w:sz w:val="20"/>
        </w:rPr>
        <w:t xml:space="preserve">For additional information on certain risks that could negatively impact our financial position or future results of operations, please read </w:t>
      </w:r>
      <w:r>
        <w:rPr>
          <w:rFonts w:ascii="Franklin Gothic Book;sans-serif" w:hAnsi="Franklin Gothic Book;sans-serif"/>
          <w:b w:val="false"/>
          <w:i/>
          <w:color w:val="000000"/>
          <w:sz w:val="20"/>
        </w:rPr>
        <w:t>Item 1A.</w:t>
      </w:r>
      <w:r>
        <w:rPr>
          <w:color w:val="000000"/>
        </w:rPr>
        <w:t xml:space="preserve"> </w:t>
      </w:r>
      <w:r>
        <w:rPr>
          <w:rFonts w:ascii="Franklin Gothic Book;sans-serif" w:hAnsi="Franklin Gothic Book;sans-serif"/>
          <w:b w:val="false"/>
          <w:i/>
          <w:color w:val="000000"/>
          <w:sz w:val="20"/>
        </w:rPr>
        <w:t>Risk Factors</w:t>
      </w:r>
      <w:r>
        <w:rPr>
          <w:color w:val="000000"/>
        </w:rPr>
        <w:t xml:space="preserve"> </w:t>
      </w:r>
      <w:r>
        <w:rPr>
          <w:rFonts w:ascii="Franklin Gothic Book;sans-serif" w:hAnsi="Franklin Gothic Book;sans-serif"/>
          <w:b w:val="false"/>
          <w:color w:val="000000"/>
          <w:sz w:val="20"/>
        </w:rPr>
        <w:t xml:space="preserve">and </w:t>
      </w:r>
      <w:r>
        <w:rPr>
          <w:rFonts w:ascii="Franklin Gothic Book;sans-serif" w:hAnsi="Franklin Gothic Book;sans-serif"/>
          <w:b w:val="false"/>
          <w:i/>
          <w:color w:val="000000"/>
          <w:sz w:val="20"/>
        </w:rPr>
        <w:t>Item 3. Quantitative and Qualitative Disclosures About Market Risk</w:t>
      </w:r>
      <w:r>
        <w:rPr>
          <w:color w:val="000000"/>
        </w:rPr>
        <w:t xml:space="preserve"> </w:t>
      </w:r>
      <w:r>
        <w:rPr>
          <w:rFonts w:ascii="Franklin Gothic Book;sans-serif" w:hAnsi="Franklin Gothic Book;sans-serif"/>
          <w:b w:val="false"/>
          <w:color w:val="000000"/>
          <w:sz w:val="20"/>
        </w:rPr>
        <w:t>included in this report.</w:t>
      </w:r>
    </w:p>
    <w:p>
      <w:pPr>
        <w:pStyle w:val="TextBody"/>
        <w:spacing w:lineRule="auto" w:line="276" w:before="180" w:after="283"/>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LIQUIDITY</w:t>
      </w:r>
    </w:p>
    <w:p>
      <w:pPr>
        <w:pStyle w:val="TextBody"/>
        <w:spacing w:lineRule="auto" w:line="276"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WORKING CAPITAL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Working capital is defined as current assets less current liabilities. Our working capital was $6.7 billion and $6.5 billion as of March 31, 2023 and December 31, 2022, respectively. The change in working capital reflects a decrease in total current assets of approximately $28.7 million and a decrease in total current liabilities of approximately $257.9 million. The changes in current assets and current liabilities were primarily driven by the following:</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66" name="Frame5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8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CURRENT ASSETS</w:t>
      </w:r>
    </w:p>
    <w:p>
      <w:pPr>
        <w:pStyle w:val="TextBody"/>
        <w:spacing w:lineRule="auto" w:line="288" w:before="60" w:after="283"/>
        <w:ind w:left="0" w:right="0" w:hanging="360"/>
        <w:rPr/>
      </w:pPr>
      <w:r>
        <w:rPr>
          <w:color w:val="0070C0"/>
        </w:rPr>
        <w:t>•</w:t>
      </w:r>
      <w:r>
        <w:rPr>
          <w:rFonts w:ascii="Franklin Gothic Book;sans-serif" w:hAnsi="Franklin Gothic Book;sans-serif"/>
          <w:b/>
          <w:color w:val="000000"/>
          <w:sz w:val="20"/>
        </w:rPr>
        <w:t>$148.5 million increase in cash, cash equivalents and current marketable securities;</w:t>
      </w:r>
    </w:p>
    <w:p>
      <w:pPr>
        <w:pStyle w:val="TextBody"/>
        <w:spacing w:lineRule="auto" w:line="288" w:before="60" w:after="283"/>
        <w:ind w:left="0" w:right="0" w:hanging="360"/>
        <w:rPr/>
      </w:pPr>
      <w:r>
        <w:rPr>
          <w:color w:val="0070C0"/>
        </w:rPr>
        <w:t>•</w:t>
      </w:r>
      <w:r>
        <w:rPr>
          <w:rFonts w:ascii="Franklin Gothic Book;sans-serif" w:hAnsi="Franklin Gothic Book;sans-serif"/>
          <w:b/>
          <w:color w:val="000000"/>
          <w:sz w:val="20"/>
        </w:rPr>
        <w:t>$70.6 million</w:t>
      </w:r>
      <w:r>
        <w:rPr>
          <w:color w:val="0070C0"/>
        </w:rPr>
        <w:t xml:space="preserve"> </w:t>
      </w:r>
      <w:r>
        <w:rPr>
          <w:rFonts w:ascii="Franklin Gothic Book;sans-serif" w:hAnsi="Franklin Gothic Book;sans-serif"/>
          <w:b/>
          <w:color w:val="000000"/>
          <w:sz w:val="20"/>
        </w:rPr>
        <w:t>decrease in accounts receivable; and</w:t>
      </w:r>
    </w:p>
    <w:p>
      <w:pPr>
        <w:pStyle w:val="TextBody"/>
        <w:spacing w:lineRule="auto" w:line="288" w:before="60" w:after="283"/>
        <w:ind w:left="0" w:right="0" w:hanging="360"/>
        <w:rPr/>
      </w:pPr>
      <w:r>
        <w:rPr>
          <w:color w:val="0070C0"/>
        </w:rPr>
        <w:t>•</w:t>
      </w:r>
      <w:r>
        <w:rPr>
          <w:rFonts w:ascii="Franklin Gothic Book;sans-serif" w:hAnsi="Franklin Gothic Book;sans-serif"/>
          <w:b/>
          <w:color w:val="000000"/>
          <w:sz w:val="20"/>
        </w:rPr>
        <w:t>$63.4 million decrease in short-term inventory.</w:t>
      </w:r>
    </w:p>
    <w:p>
      <w:pPr>
        <w:pStyle w:val="TextBody"/>
        <w:spacing w:lineRule="auto" w:line="288" w:before="18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CURRENT LIABILITIES</w:t>
      </w:r>
    </w:p>
    <w:p>
      <w:pPr>
        <w:pStyle w:val="TextBody"/>
        <w:spacing w:lineRule="auto" w:line="288" w:before="60" w:after="283"/>
        <w:ind w:left="0" w:right="0" w:hanging="360"/>
        <w:rPr/>
      </w:pPr>
      <w:r>
        <w:rPr>
          <w:color w:val="0070C0"/>
        </w:rPr>
        <w:t>•</w:t>
      </w:r>
      <w:r>
        <w:rPr>
          <w:rFonts w:ascii="Franklin Gothic Book;sans-serif" w:hAnsi="Franklin Gothic Book;sans-serif"/>
          <w:b/>
          <w:color w:val="000000"/>
          <w:sz w:val="20"/>
        </w:rPr>
        <w:t>$233.2 million decrease in accrued expense and other primarily reflecting the timing of payment for our annual incentive compensation.</w:t>
      </w: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CASH, CASH EQUIVALENTS AND MARKETABLE SECURITIES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March 31, 2023, we had cash, cash equivalents and marketable securities totaling approximately $6.0 billion compared to approximately $5.6 billion as of December 31, 2022. 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the fair value of our significant common stock investments in our strategic investment portfolio:</w:t>
      </w:r>
    </w:p>
    <w:tbl>
      <w:tblPr>
        <w:tblW w:w="5453" w:type="dxa"/>
        <w:jc w:val="left"/>
        <w:tblInd w:w="0" w:type="dxa"/>
        <w:tblCellMar>
          <w:top w:w="28" w:type="dxa"/>
          <w:left w:w="28" w:type="dxa"/>
          <w:bottom w:w="28" w:type="dxa"/>
          <w:right w:w="28" w:type="dxa"/>
        </w:tblCellMar>
      </w:tblPr>
      <w:tblGrid>
        <w:gridCol w:w="456"/>
        <w:gridCol w:w="401"/>
        <w:gridCol w:w="403"/>
        <w:gridCol w:w="109"/>
        <w:gridCol w:w="109"/>
        <w:gridCol w:w="109"/>
        <w:gridCol w:w="355"/>
        <w:gridCol w:w="1037"/>
        <w:gridCol w:w="183"/>
        <w:gridCol w:w="109"/>
        <w:gridCol w:w="109"/>
        <w:gridCol w:w="109"/>
        <w:gridCol w:w="422"/>
        <w:gridCol w:w="1233"/>
        <w:gridCol w:w="309"/>
      </w:tblGrid>
      <w:tr>
        <w:trPr/>
        <w:tc>
          <w:tcPr>
            <w:tcW w:w="4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26DCE"/>
                <w:sz w:val="16"/>
              </w:rPr>
            </w:pPr>
            <w:r>
              <w:rPr>
                <w:rFonts w:ascii="Franklin Gothic Book;sans-serif" w:hAnsi="Franklin Gothic Book;sans-serif"/>
                <w:b/>
                <w:color w:val="026DCE"/>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December 31, 2022</w:t>
            </w:r>
          </w:p>
        </w:tc>
      </w:tr>
      <w:tr>
        <w:trPr/>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Denali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03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306.7 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370.2 </w:t>
            </w:r>
          </w:p>
        </w:tc>
        <w:tc>
          <w:tcPr>
            <w:tcW w:w="3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261.9 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238.0 </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Sangamo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41.6 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74.3 </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Ionis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67.9 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108.6 </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0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678.1 </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12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791.1 </w:t>
            </w:r>
          </w:p>
        </w:tc>
        <w:tc>
          <w:tcPr>
            <w:tcW w:w="3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the contractual holding period restrictions on our investments in Denali, Sage, Sangamo and Ionis have expired, our ability to liquidate these investments may be limited by the size of our interest, the volume of market related activity, our concentrated level of ownership and other potential restrictions resulting from our status as a collaborator. Therefore, we may realize significantly less than the current value of such investments.</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collaboration arrangements, please read </w:t>
      </w:r>
      <w:r>
        <w:rPr>
          <w:rFonts w:ascii="Franklin Gothic Book;sans-serif" w:hAnsi="Franklin Gothic Book;sans-serif"/>
          <w:b w:val="false"/>
          <w:i/>
          <w:color w:val="000000"/>
          <w:sz w:val="20"/>
        </w:rPr>
        <w:t xml:space="preserve">Note 16, Collaborative and Other Relationships, </w:t>
      </w:r>
      <w:r>
        <w:rPr>
          <w:rFonts w:ascii="Franklin Gothic Book;sans-serif" w:hAnsi="Franklin Gothic Book;sans-serif"/>
          <w:b w:val="false"/>
          <w:color w:val="000000"/>
          <w:sz w:val="20"/>
        </w:rPr>
        <w:t>to our condensed consolidated financial statements included in this report</w:t>
      </w:r>
      <w:r>
        <w:rPr>
          <w:rFonts w:ascii="Franklin Gothic Book;sans-serif" w:hAnsi="Franklin Gothic Book;sans-serif"/>
          <w:b w:val="false"/>
          <w:i/>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CASH FLOW</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cash flow activity:</w:t>
      </w:r>
    </w:p>
    <w:tbl>
      <w:tblPr>
        <w:tblW w:w="9414" w:type="dxa"/>
        <w:jc w:val="left"/>
        <w:tblInd w:w="0" w:type="dxa"/>
        <w:tblCellMar>
          <w:top w:w="28" w:type="dxa"/>
          <w:left w:w="28" w:type="dxa"/>
          <w:bottom w:w="28" w:type="dxa"/>
          <w:right w:w="28" w:type="dxa"/>
        </w:tblCellMar>
      </w:tblPr>
      <w:tblGrid>
        <w:gridCol w:w="1702"/>
        <w:gridCol w:w="1493"/>
        <w:gridCol w:w="1500"/>
        <w:gridCol w:w="109"/>
        <w:gridCol w:w="109"/>
        <w:gridCol w:w="109"/>
        <w:gridCol w:w="264"/>
        <w:gridCol w:w="770"/>
        <w:gridCol w:w="136"/>
        <w:gridCol w:w="136"/>
        <w:gridCol w:w="136"/>
        <w:gridCol w:w="136"/>
        <w:gridCol w:w="264"/>
        <w:gridCol w:w="770"/>
        <w:gridCol w:w="136"/>
        <w:gridCol w:w="136"/>
        <w:gridCol w:w="136"/>
        <w:gridCol w:w="136"/>
        <w:gridCol w:w="308"/>
        <w:gridCol w:w="308"/>
        <w:gridCol w:w="620"/>
      </w:tblGrid>
      <w:tr>
        <w:trPr/>
        <w:tc>
          <w:tcPr>
            <w:tcW w:w="1702"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For the Three Months Ended March 31,</w:t>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DDDDDD"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257ACB"/>
                <w:sz w:val="16"/>
              </w:rPr>
            </w:pPr>
            <w:r>
              <w:rPr>
                <w:rFonts w:ascii="Franklin Gothic Book;sans-serif" w:hAnsi="Franklin Gothic Book;sans-serif"/>
                <w:b/>
                <w:color w:val="257ACB"/>
                <w:sz w:val="16"/>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2022</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70C0"/>
                <w:sz w:val="16"/>
              </w:rPr>
            </w:pPr>
            <w:r>
              <w:rPr>
                <w:rFonts w:ascii="Franklin Gothic Book;sans-serif" w:hAnsi="Franklin Gothic Book;sans-serif"/>
                <w:b/>
                <w:color w:val="0070C0"/>
                <w:sz w:val="16"/>
              </w:rPr>
              <w:t>% Change</w:t>
            </w:r>
          </w:p>
        </w:tc>
      </w:tr>
      <w:tr>
        <w:trPr/>
        <w:tc>
          <w:tcPr>
            <w:tcW w:w="4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257ACB"/>
                <w:sz w:val="16"/>
              </w:rPr>
            </w:pPr>
            <w:r>
              <w:rPr>
                <w:rFonts w:ascii="Franklin Gothic Book;sans-serif" w:hAnsi="Franklin Gothic Book;sans-serif"/>
                <w:b w:val="false"/>
                <w:color w:val="257ACB"/>
                <w:sz w:val="16"/>
              </w:rPr>
              <w:t>$</w:t>
            </w:r>
          </w:p>
        </w:tc>
        <w:tc>
          <w:tcPr>
            <w:tcW w:w="77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455.3 </w:t>
            </w:r>
          </w:p>
        </w:tc>
        <w:tc>
          <w:tcPr>
            <w:tcW w:w="13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77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161.8 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181.4 </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w:t>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(953.0)</w:t>
            </w:r>
          </w:p>
        </w:tc>
        <w:tc>
          <w:tcPr>
            <w:tcW w:w="13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(648.0)</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47.1 </w:t>
            </w:r>
          </w:p>
        </w:tc>
        <w:tc>
          <w:tcPr>
            <w:tcW w:w="6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flow provided by (used in)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257ACB"/>
                <w:sz w:val="16"/>
              </w:rPr>
            </w:pPr>
            <w:r>
              <w:rPr>
                <w:rFonts w:ascii="Franklin Gothic Book;sans-serif" w:hAnsi="Franklin Gothic Book;sans-serif"/>
                <w:b w:val="false"/>
                <w:color w:val="257ACB"/>
                <w:sz w:val="16"/>
              </w:rPr>
              <w:t>(43.4)</w:t>
            </w:r>
          </w:p>
        </w:tc>
        <w:tc>
          <w:tcPr>
            <w:tcW w:w="13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(16.5)</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070C0"/>
                <w:sz w:val="16"/>
              </w:rPr>
            </w:pPr>
            <w:r>
              <w:rPr>
                <w:rFonts w:ascii="Franklin Gothic Book;sans-serif" w:hAnsi="Franklin Gothic Book;sans-serif"/>
                <w:b w:val="false"/>
                <w:color w:val="0070C0"/>
                <w:sz w:val="16"/>
              </w:rPr>
              <w:t>163.0 </w:t>
            </w:r>
          </w:p>
        </w:tc>
        <w:tc>
          <w:tcPr>
            <w:tcW w:w="6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OPERATING ACTIVITIES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cash flow is derived by adjusting our net income for:</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20"/>
        </w:rPr>
        <w:t>non-cash operating items such as depreciation and amortization, impairment charges, unrealized gain (loss) on strategic investments and share-based compensation;</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20"/>
        </w:rPr>
        <w:t>changes in operating assets and liabilities, which reflect timing differences between the receipt and payment of cash associated with transactions and when they are recognized in results of operations; and</w:t>
      </w:r>
    </w:p>
    <w:p>
      <w:pPr>
        <w:pStyle w:val="TextBody"/>
        <w:spacing w:lineRule="auto" w:line="288" w:before="60" w:after="283"/>
        <w:ind w:left="0" w:right="0" w:hanging="360"/>
        <w:rPr/>
      </w:pPr>
      <w:r>
        <w:rPr>
          <w:color w:val="0070C0"/>
        </w:rPr>
        <w:t>•</w:t>
      </w:r>
      <w:r>
        <w:rPr>
          <w:rFonts w:ascii="Franklin Gothic Book;sans-serif" w:hAnsi="Franklin Gothic Book;sans-serif"/>
          <w:b w:val="false"/>
          <w:color w:val="000000"/>
          <w:sz w:val="20"/>
        </w:rPr>
        <w:t>gains (losses) on the disposal of assets, deferred income taxes, changes in the fair value of contingent payments associated with our acquisitions of businesses and acquired IPR&amp;D.</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67" name="Frame5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increase in net cash flow provided by operating activities was primarily due to higher net income in the current period, the timing of customer payments of accounts receivable and inventory levels, partially offset by a decrease in accounts payable in the first quarter of 2023.</w:t>
      </w:r>
    </w:p>
    <w:p>
      <w:pPr>
        <w:pStyle w:val="TextBody"/>
        <w:spacing w:lineRule="auto" w:line="288" w:before="18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INVESTING ACTIVITIES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increase in net cash flow used in investing activities was primarily due to an increase in net purchases of marketable securities in the current period, driven by the investment of our increased cash flows from operations.</w:t>
      </w:r>
    </w:p>
    <w:p>
      <w:pPr>
        <w:pStyle w:val="TextBody"/>
        <w:spacing w:lineRule="auto" w:line="288" w:before="180" w:after="283"/>
        <w:rPr>
          <w:rFonts w:ascii="Franklin Gothic Medium;sans-serif" w:hAnsi="Franklin Gothic Medium;sans-serif"/>
          <w:b w:val="false"/>
          <w:color w:val="000000"/>
          <w:sz w:val="22"/>
        </w:rPr>
      </w:pPr>
      <w:r>
        <w:rPr>
          <w:rFonts w:ascii="Franklin Gothic Medium;sans-serif" w:hAnsi="Franklin Gothic Medium;sans-serif"/>
          <w:b w:val="false"/>
          <w:color w:val="000000"/>
          <w:sz w:val="22"/>
        </w:rPr>
        <w:t>FINANCING ACTIVITIES</w:t>
      </w:r>
    </w:p>
    <w:p>
      <w:pPr>
        <w:pStyle w:val="TextBody"/>
        <w:spacing w:lineRule="auto" w:line="288" w:before="120" w:after="240"/>
        <w:rPr>
          <w:rFonts w:ascii="Franklin Gothic Book;sans-serif" w:hAnsi="Franklin Gothic Book;sans-serif"/>
          <w:b w:val="false"/>
          <w:color w:val="000000"/>
          <w:sz w:val="20"/>
        </w:rPr>
      </w:pPr>
      <w:r>
        <w:rPr>
          <w:rFonts w:ascii="Franklin Gothic Book;sans-serif" w:hAnsi="Franklin Gothic Book;sans-serif"/>
          <w:b w:val="false"/>
          <w:color w:val="000000"/>
          <w:sz w:val="20"/>
        </w:rPr>
        <w:t>For the three months ended March 31, 2023, compared to the same period in 2022, the increase in net cash flow used in financing activities was primarily due to an increase in payments for payroll tax withholdings related to our equity awards.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CAPITAL RESOURCES</w:t>
      </w: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DEBT AND CREDIT FACILITIES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long-term obligations primarily consist of long-term debt with final maturity dates ranging between 2025 and 2051. As of March 31, 2023, our outstanding balance related to long-term debt was $6,282.7 million.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maintain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March 31, 2023 and December 31, 2022, we had no outstanding borrowings and were in compliance with all covenants under this facility.</w:t>
      </w:r>
    </w:p>
    <w:p>
      <w:pPr>
        <w:pStyle w:val="TextBody"/>
        <w:spacing w:lineRule="auto" w:line="288" w:before="120" w:after="283"/>
        <w:rPr/>
      </w:pPr>
      <w:r>
        <w:rPr>
          <w:rFonts w:ascii="Franklin Gothic Book;sans-serif" w:hAnsi="Franklin Gothic Book;sans-serif"/>
          <w:b w:val="false"/>
          <w:color w:val="000000"/>
          <w:sz w:val="20"/>
        </w:rPr>
        <w:t xml:space="preserve">For a summary of the fair and carrying values of our outstanding borrowings as of March 31, 2023 and December 31, 2022, please read </w:t>
      </w:r>
      <w:r>
        <w:rPr>
          <w:rFonts w:ascii="Franklin Gothic Book;sans-serif" w:hAnsi="Franklin Gothic Book;sans-serif"/>
          <w:b w:val="false"/>
          <w:i/>
          <w:color w:val="000000"/>
          <w:sz w:val="20"/>
        </w:rPr>
        <w:t>Note 7, Fair Value Measurements,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pStyle w:val="TextBody"/>
        <w:spacing w:lineRule="auto" w:line="288" w:before="120" w:after="283"/>
        <w:rPr/>
      </w:pPr>
      <w:r>
        <w:rPr>
          <w:rFonts w:ascii="Franklin Gothic Book;sans-serif" w:hAnsi="Franklin Gothic Book;sans-serif"/>
          <w:b w:val="false"/>
          <w:color w:val="000000"/>
          <w:sz w:val="20"/>
        </w:rPr>
        <w:t xml:space="preserve">For additional information on our Senior Notes and credit facility please read, </w:t>
      </w:r>
      <w:r>
        <w:rPr>
          <w:rFonts w:ascii="Franklin Gothic Book;sans-serif" w:hAnsi="Franklin Gothic Book;sans-serif"/>
          <w:b w:val="false"/>
          <w:i/>
          <w:color w:val="000000"/>
          <w:sz w:val="20"/>
        </w:rPr>
        <w:t>Note 13, Indebtedness</w:t>
      </w:r>
      <w:r>
        <w:rPr>
          <w:rFonts w:ascii="Franklin Gothic Book;sans-serif" w:hAnsi="Franklin Gothic Book;sans-serif"/>
          <w:b w:val="false"/>
          <w:color w:val="000000"/>
          <w:sz w:val="20"/>
        </w:rPr>
        <w:t>, to our consolidated financial statements included in our 2022 Form 10-K.</w:t>
      </w: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SHARE REPURCHASE PROGRAMS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There were no share repurchases of our common stock during the three months ended March 31, 2023 and 2022. Approximately $2.1 billion remained available under our 2020 Share Repurchase Program as of March 31, 2023.</w:t>
      </w: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CAPITAL EXPENDITURES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the fourth quarter of 2021 we began construction of a new gene therapy manufacturing facility in RTP, North Carolina to support our gene therapy pipeline across multiple therapeutic areas. The new manufacturing facility will be approximately 197,000 square feet and is expected to be operational by the end of 2023, with an estimated total investment of approximately $195.0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color w:val="0070C0"/>
          <w:sz w:val="24"/>
        </w:rPr>
      </w:pPr>
      <w:r>
        <w:rPr>
          <w:rFonts w:ascii="Franklin Gothic Medium;sans-serif" w:hAnsi="Franklin Gothic Medium;sans-serif"/>
          <w:b/>
          <w:color w:val="0070C0"/>
          <w:sz w:val="24"/>
        </w:rPr>
        <w:t>CONTRACTUAL OBLIGATIONS AND OFF-BALANCE SHEET ARRANGEMENTS</w:t>
      </w:r>
    </w:p>
    <w:p>
      <w:pPr>
        <w:pStyle w:val="TextBody"/>
        <w:spacing w:lineRule="auto" w:line="288" w:before="12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CONTRACTUAL OBLIGATIONS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contractual obligations primarily consist of our obligations under non-cancellable operating leases, long-term debt obligations and defined benefit and other purchase obligations, excluding amounts related to uncertain tax positions, funding commitments, contingent development, regulatory and commercial milestone payments and contingent payments, as described below.</w:t>
      </w:r>
    </w:p>
    <w:p>
      <w:pPr>
        <w:pStyle w:val="TextBody"/>
        <w:spacing w:lineRule="auto" w:line="288" w:before="120" w:after="283"/>
        <w:rPr/>
      </w:pPr>
      <w:r>
        <w:rPr>
          <w:rFonts w:ascii="Franklin Gothic Book;sans-serif" w:hAnsi="Franklin Gothic Book;sans-serif"/>
          <w:b w:val="false"/>
          <w:color w:val="000000"/>
          <w:sz w:val="20"/>
        </w:rPr>
        <w:t xml:space="preserve">In addition, certain of our collaboration and licensing arrangements include royalty payment obligations. For additional information on our royalty payments please read, </w:t>
      </w:r>
      <w:r>
        <w:rPr>
          <w:rFonts w:ascii="Franklin Gothic Book;sans-serif" w:hAnsi="Franklin Gothic Book;sans-serif"/>
          <w:b w:val="false"/>
          <w:i/>
          <w:color w:val="000000"/>
          <w:sz w:val="20"/>
        </w:rPr>
        <w:t>Note 19, Collaborative and Other Relationships</w:t>
      </w:r>
      <w:r>
        <w:rPr>
          <w:rFonts w:ascii="Franklin Gothic Book;sans-serif" w:hAnsi="Franklin Gothic Book;sans-serif"/>
          <w:b w:val="false"/>
          <w:color w:val="000000"/>
          <w:sz w:val="20"/>
        </w:rPr>
        <w:t>, to our consolidated financial statements included in our 2022 Form 10-K.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There have been no material changes in our contractual obligations since December 31, 2022.</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68" name="Frame5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59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CONTINGENT DEVELOPMENT, REGULATORY AND COMMERCIAL MILESTONE PAYMENTS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Based on our development plans as of March 31, 2023, we could trigger potential future milestone payments to third parties of up to approximately $7.2 billion, including approximately $1.3 billion in development milestones, approximately $0.7 billion in regulatory milestones and approximately $5.2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March 31, 2023,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pStyle w:val="TextBody"/>
        <w:spacing w:lineRule="auto" w:line="288" w:before="180" w:after="283"/>
        <w:rPr/>
      </w:pPr>
      <w:r>
        <w:rPr>
          <w:rFonts w:ascii="Franklin Gothic Book;sans-serif" w:hAnsi="Franklin Gothic Book;sans-serif"/>
          <w:b w:val="false"/>
          <w:color w:val="000000"/>
          <w:sz w:val="20"/>
        </w:rPr>
        <w:t xml:space="preserve">If certain clinical and commercial milestones are met, we may pay up to approximately $314.0 million in milestones in 2023 under our current agreements. This includes milestones totaling </w:t>
      </w:r>
      <w:r>
        <w:rPr>
          <w:rFonts w:ascii="Franklin Gothic Book;sans-serif" w:hAnsi="Franklin Gothic Book;sans-serif"/>
          <w:b w:val="false"/>
          <w:color w:val="000000"/>
          <w:sz w:val="20"/>
          <w:highlight w:val="white"/>
        </w:rPr>
        <w:t>$225.0 million due to Sage upon the first commercial sale of zuranolone, for the potential treatment of MDD and PPD, in the U.S.</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OTHER FUNDING COMMITMENTS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March 31, 2023, we have several ongoing clinical studies in various clinical trial stages. Our most significant clinical trial expenditures are to CROs. The contracts with CROs are generally cancellable, with notice, at our option. We recorded accrued expense of approximately $16.8 million in our condensed consolidated balance sheets for expenditures incurred by CROs as of March 31, 2023. We have approximately $917.5 million in cancellable future commitments based on existing CRO contracts as of March 31, 2023.</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TAX RELATED OBLIGATIONS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exclude liabilities pertaining to uncertain tax positions from our summary of contractual obligations as we cannot make a reliable estimate of the period of cash settlement with the respective taxing authorities. As of March 31, 2023, we have approximately $137.3 million of liabilities associated with uncertain tax positions.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As of March 31, 2023 and December 31, 2022, we have accrued income tax liabilities of approximately $560.3 million and $558.0 million, respectively, under the Transition Toll Tax. Of the amounts accrued as of March 31, 2023, approximately $138.9 million is expected to be paid within one year. The Transition Toll Tax is being paid in installments over an eight-year period, which started in 2018, and will not accrue interest.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color w:val="0070C0"/>
          <w:sz w:val="28"/>
        </w:rPr>
      </w:pPr>
      <w:r>
        <w:rPr>
          <w:rFonts w:ascii="Franklin Gothic Medium;sans-serif" w:hAnsi="Franklin Gothic Medium;sans-serif"/>
          <w:b/>
          <w:color w:val="0070C0"/>
          <w:sz w:val="28"/>
        </w:rPr>
        <w:t>NEW ACCOUNTING STANDARDS</w:t>
      </w:r>
    </w:p>
    <w:p>
      <w:pPr>
        <w:pStyle w:val="TextBody"/>
        <w:spacing w:lineRule="auto" w:line="288" w:before="120" w:after="283"/>
        <w:rPr/>
      </w:pPr>
      <w:r>
        <w:rPr>
          <w:rFonts w:ascii="Franklin Gothic Book;sans-serif" w:hAnsi="Franklin Gothic Book;sans-serif"/>
          <w:b w:val="false"/>
          <w:color w:val="000000"/>
          <w:sz w:val="20"/>
        </w:rPr>
        <w:t xml:space="preserve">For a discussion of new accounting standards please read </w:t>
      </w:r>
      <w:r>
        <w:rPr>
          <w:rFonts w:ascii="Franklin Gothic Book;sans-serif" w:hAnsi="Franklin Gothic Book;sans-serif"/>
          <w:b w:val="false"/>
          <w:i/>
          <w:color w:val="000000"/>
          <w:sz w:val="20"/>
        </w:rPr>
        <w:t>Note 1, Summary of Significant Accounting Policies,</w:t>
      </w:r>
      <w:r>
        <w:rPr>
          <w:color w:val="000000"/>
        </w:rPr>
        <w:t xml:space="preserve"> </w:t>
      </w:r>
      <w:r>
        <w:rPr>
          <w:rFonts w:ascii="Franklin Gothic Book;sans-serif" w:hAnsi="Franklin Gothic Book;sans-serif"/>
          <w:b w:val="false"/>
          <w:color w:val="000000"/>
          <w:sz w:val="20"/>
        </w:rPr>
        <w:t>to our condensed consolidated financial statements included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Franklin Gothic Medium;sans-serif" w:hAnsi="Franklin Gothic Medium;sans-serif"/>
          <w:b/>
          <w:color w:val="0070C0"/>
          <w:sz w:val="28"/>
        </w:rPr>
      </w:pPr>
      <w:r>
        <w:rPr>
          <w:rFonts w:ascii="Franklin Gothic Medium;sans-serif" w:hAnsi="Franklin Gothic Medium;sans-serif"/>
          <w:b/>
          <w:color w:val="0070C0"/>
          <w:sz w:val="28"/>
        </w:rPr>
        <w:t>CRITICAL ACCOUNTING ESTIMATES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preparation of our condensed consolidated financial statements, which have been prepared in accordance with accounting principles generally accepted in the U.S.,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pStyle w:val="TextBody"/>
        <w:spacing w:lineRule="auto" w:line="288" w:before="120" w:after="283"/>
        <w:rPr/>
      </w:pPr>
      <w:r>
        <w:rPr>
          <w:rFonts w:ascii="Franklin Gothic Book;sans-serif" w:hAnsi="Franklin Gothic Book;sans-serif"/>
          <w:b w:val="false"/>
          <w:color w:val="000000"/>
          <w:sz w:val="20"/>
        </w:rPr>
        <w:t xml:space="preserve">For a discussion of our critical accounting estimates, please read </w:t>
      </w:r>
      <w:r>
        <w:rPr>
          <w:rFonts w:ascii="Franklin Gothic Book;sans-serif" w:hAnsi="Franklin Gothic Book;sans-serif"/>
          <w:b w:val="false"/>
          <w:i/>
          <w:color w:val="000000"/>
          <w:sz w:val="20"/>
        </w:rPr>
        <w:t>Part II,</w:t>
      </w:r>
      <w:r>
        <w:rPr>
          <w:color w:val="000000"/>
        </w:rPr>
        <w:t xml:space="preserve"> </w:t>
      </w:r>
      <w:r>
        <w:rPr>
          <w:rFonts w:ascii="Franklin Gothic Book;sans-serif" w:hAnsi="Franklin Gothic Book;sans-serif"/>
          <w:b w:val="false"/>
          <w:i/>
          <w:color w:val="000000"/>
          <w:sz w:val="20"/>
        </w:rPr>
        <w:t>Item 7. Management’s Discussion and Analysis of Financial Condition and Results of Operations</w:t>
      </w:r>
      <w:r>
        <w:rPr>
          <w:color w:val="000000"/>
        </w:rPr>
        <w:t xml:space="preserve"> </w:t>
      </w:r>
      <w:r>
        <w:rPr>
          <w:rFonts w:ascii="Franklin Gothic Book;sans-serif" w:hAnsi="Franklin Gothic Book;sans-serif"/>
          <w:b w:val="false"/>
          <w:color w:val="000000"/>
          <w:sz w:val="20"/>
        </w:rPr>
        <w:t>in our 2022 Form 10-K. There have been no material changes to our critical accounting estimates since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Franklin Gothic Medium;sans-serif" w:hAnsi="Franklin Gothic Medium;sans-serif"/>
          <w:b/>
          <w:color w:val="000000"/>
          <w:sz w:val="28"/>
        </w:rPr>
      </w:pPr>
      <w:r>
        <w:rPr>
          <w:rFonts w:ascii="Franklin Gothic Medium;sans-serif" w:hAnsi="Franklin Gothic Medium;sans-serif"/>
          <w:b/>
          <w:color w:val="000000"/>
          <w:sz w:val="28"/>
        </w:rPr>
        <w:t>ITEM 3.    QUANTITATIVE AND QUALITATIVE DISCLOSURES ABOUT MARKET RISK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COVID-19 pandemic and the conflict in Ukraine.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69" name="Frame6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speculative purposes. The counterparties to these contracts are major financial institutions, and there is no significant concentration of exposure with any one counterparty. </w:t>
      </w:r>
    </w:p>
    <w:p>
      <w:pPr>
        <w:pStyle w:val="TextBody"/>
        <w:spacing w:lineRule="auto" w:line="288" w:before="18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FOREIGN CURRENCY EXCHANGE RISK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and Japanese yen.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established revenue and operating expense hedging and balance sheet risk management programs to protect against volatility of future foreign currency cash flow and changes in fair value caused by volatility in foreign currency exchange rates.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March 31, 2023, and is not expected to have a material impact on our results of operations or financial position in the future.</w:t>
      </w:r>
    </w:p>
    <w:p>
      <w:pPr>
        <w:pStyle w:val="TextBody"/>
        <w:spacing w:lineRule="auto" w:line="288" w:before="180" w:after="283"/>
        <w:rPr>
          <w:rFonts w:ascii="Franklin Gothic Medium;sans-serif" w:hAnsi="Franklin Gothic Medium;sans-serif"/>
          <w:b/>
          <w:color w:val="000000"/>
          <w:sz w:val="24"/>
        </w:rPr>
      </w:pPr>
      <w:r>
        <w:rPr>
          <w:rFonts w:ascii="Franklin Gothic Medium;sans-serif" w:hAnsi="Franklin Gothic Medium;sans-serif"/>
          <w:b/>
          <w:color w:val="000000"/>
          <w:sz w:val="24"/>
        </w:rPr>
        <w:t>REVENUE AND OPERATING EXPENSE HEDGING PROGRAM</w:t>
      </w:r>
    </w:p>
    <w:p>
      <w:pPr>
        <w:pStyle w:val="TextBody"/>
        <w:spacing w:lineRule="auto" w:line="288" w:before="120" w:after="283"/>
        <w:rPr/>
      </w:pPr>
      <w:r>
        <w:rPr>
          <w:rFonts w:ascii="Franklin Gothic Book;sans-serif" w:hAnsi="Franklin Gothic Book;sans-serif"/>
          <w:b w:val="false"/>
          <w:color w:val="000000"/>
          <w:sz w:val="20"/>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18 months. We do not engage in currency speculation. For a more detailed disclosure of our revenue and operating expense hedging program, please read </w:t>
      </w:r>
      <w:r>
        <w:rPr>
          <w:rFonts w:ascii="Franklin Gothic Book;sans-serif" w:hAnsi="Franklin Gothic Book;sans-serif"/>
          <w:b w:val="false"/>
          <w:i/>
          <w:color w:val="000000"/>
          <w:sz w:val="20"/>
        </w:rPr>
        <w:t>Note 9, Derivative Instruments,</w:t>
      </w:r>
      <w:r>
        <w:rPr>
          <w:color w:val="000000"/>
        </w:rPr>
        <w:t xml:space="preserve"> </w:t>
      </w:r>
      <w:r>
        <w:rPr>
          <w:rFonts w:ascii="Franklin Gothic Book;sans-serif" w:hAnsi="Franklin Gothic Book;sans-serif"/>
          <w:b w:val="false"/>
          <w:color w:val="000000"/>
          <w:sz w:val="20"/>
        </w:rPr>
        <w:t xml:space="preserve">to our condensed consolidated financial statements included in this report.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pStyle w:val="TextBody"/>
        <w:spacing w:lineRule="auto" w:line="288" w:before="180" w:after="283"/>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BALANCE SHEET RISK MANAGEMENT HEDGING PROGRAM</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quantitative information includes the impact of currency movements on forward contracts used in our revenue, operating expense and balance sheet hedging programs. As of March 31, 2023 and December 31, 2022, a hypothetical adverse 10.0% movement in foreign currency exchange rates compared to the U.S. dollar across all maturities would result in a hypothetical decrease in the fair value of forward contracts of approximately $323.1 million and $293.7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0" name="Frame6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80" w:after="283"/>
        <w:rPr>
          <w:rFonts w:ascii="Franklin Gothic Medium;sans-serif" w:hAnsi="Franklin Gothic Medium;sans-serif"/>
          <w:b/>
          <w:color w:val="2573BA"/>
          <w:sz w:val="24"/>
        </w:rPr>
      </w:pPr>
      <w:r>
        <w:rPr>
          <w:rFonts w:ascii="Franklin Gothic Medium;sans-serif" w:hAnsi="Franklin Gothic Medium;sans-serif"/>
          <w:b/>
          <w:color w:val="2573BA"/>
          <w:sz w:val="24"/>
        </w:rPr>
        <w:t>INTEREST RATE RISK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March 31, 2023 and December 31, 2022, we estimate that such hypothetical 100 basis point adverse movement would result in a hypothetical loss in fair value of approximately $17.9 million and $11.7 million, respectively, to our interest rate sensitive instruments. The fair values of our investments were determined using third-party pricing services or other market observable data.</w:t>
      </w:r>
    </w:p>
    <w:p>
      <w:pPr>
        <w:pStyle w:val="TextBody"/>
        <w:spacing w:lineRule="auto" w:line="288" w:before="180" w:after="283"/>
        <w:rPr>
          <w:rFonts w:ascii="Franklin Gothic Medium;sans-serif" w:hAnsi="Franklin Gothic Medium;sans-serif"/>
          <w:b/>
          <w:color w:val="0070C0"/>
          <w:sz w:val="24"/>
        </w:rPr>
      </w:pPr>
      <w:r>
        <w:rPr>
          <w:rFonts w:ascii="Franklin Gothic Medium;sans-serif" w:hAnsi="Franklin Gothic Medium;sans-serif"/>
          <w:b/>
          <w:color w:val="0070C0"/>
          <w:sz w:val="24"/>
        </w:rPr>
        <w:t>CREDIT RISK</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operate in certain countries where weakness in economic conditions, including the effects of the COVID-19 pandemic and the conflict in Ukraine,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believe that our allowance for doubtful accounts was adequate as of March 31, 2023 and December 31, 2022.</w:t>
      </w:r>
    </w:p>
    <w:p>
      <w:pPr>
        <w:pStyle w:val="TextBody"/>
        <w:spacing w:lineRule="auto" w:line="288" w:before="180" w:after="283"/>
        <w:rPr>
          <w:rFonts w:ascii="Franklin Gothic Medium;sans-serif" w:hAnsi="Franklin Gothic Medium;sans-serif"/>
          <w:b/>
          <w:color w:val="0070C0"/>
          <w:sz w:val="24"/>
        </w:rPr>
      </w:pPr>
      <w:r>
        <w:rPr>
          <w:rFonts w:ascii="Franklin Gothic Medium;sans-serif" w:hAnsi="Franklin Gothic Medium;sans-serif"/>
          <w:b/>
          <w:color w:val="0070C0"/>
          <w:sz w:val="24"/>
        </w:rPr>
        <w:t>EQUITY PRICE RISK</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strategic investment portfolio includes investments in equity securities of certain biotechnology companies. While we are holding such securities, we are subject to equity price risk, and this may increase the volatility of our income in future periods due to changes in the fair value of equity investments. We may sell such equity securities based on our business considerations, which may include limiting our price risk.</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Changes in the fair value of these equity securities are impacted by the volatility of the stock market and changes in general economic conditions, among other factors. The potential change in fair value for equity price sensitive instruments has been assessed on a hypothetical 10.0% adverse movement. As of March 31, 2023 and December 31, 2022, a hypothetical adverse 10.0% movement would result in a hypothetical decrease in fair value of approximately $67.8 million and $79.1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Franklin Gothic Medium;sans-serif" w:hAnsi="Franklin Gothic Medium;sans-serif"/>
          <w:b/>
          <w:color w:val="000000"/>
          <w:sz w:val="28"/>
        </w:rPr>
      </w:pPr>
      <w:r>
        <w:rPr>
          <w:rFonts w:ascii="Franklin Gothic Medium;sans-serif" w:hAnsi="Franklin Gothic Medium;sans-serif"/>
          <w:b/>
          <w:color w:val="000000"/>
          <w:sz w:val="28"/>
        </w:rPr>
        <w:t>ITEM 4.     CONTROLS AND PROCEDURES</w:t>
      </w:r>
    </w:p>
    <w:p>
      <w:pPr>
        <w:pStyle w:val="TextBody"/>
        <w:spacing w:lineRule="auto" w:line="288" w:before="180" w:after="283"/>
        <w:rPr>
          <w:rFonts w:ascii="Franklin Gothic Medium;sans-serif" w:hAnsi="Franklin Gothic Medium;sans-serif"/>
          <w:b/>
          <w:color w:val="0070C0"/>
          <w:sz w:val="24"/>
        </w:rPr>
      </w:pPr>
      <w:r>
        <w:rPr>
          <w:rFonts w:ascii="Franklin Gothic Medium;sans-serif" w:hAnsi="Franklin Gothic Medium;sans-serif"/>
          <w:b/>
          <w:color w:val="0070C0"/>
          <w:sz w:val="24"/>
        </w:rPr>
        <w:t>DISCLOSURE CONTROLS AND PROCEDURES AND INTERNAL CONTROL OVER FINANCIAL REPORTING</w:t>
      </w:r>
    </w:p>
    <w:p>
      <w:pPr>
        <w:pStyle w:val="TextBody"/>
        <w:spacing w:lineRule="auto" w:line="288" w:before="180" w:after="283"/>
        <w:rPr>
          <w:rFonts w:ascii="Franklin Gothic Medium;sans-serif" w:hAnsi="Franklin Gothic Medium;sans-serif"/>
          <w:b/>
          <w:color w:val="000000"/>
          <w:sz w:val="24"/>
        </w:rPr>
      </w:pPr>
      <w:r>
        <w:rPr>
          <w:rFonts w:ascii="Franklin Gothic Medium;sans-serif" w:hAnsi="Franklin Gothic Medium;sans-serif"/>
          <w:b/>
          <w:color w:val="000000"/>
          <w:sz w:val="24"/>
        </w:rPr>
        <w:t>CONTROLS AND PROCEDURES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March 31, 2023. Based upon that evaluation, our principal executive officer and principal financial officer concluded that, as of the end of the period covered by this report, our disclosure controls and procedures are effective in ensuring that:</w:t>
      </w:r>
    </w:p>
    <w:p>
      <w:pPr>
        <w:pStyle w:val="TextBody"/>
        <w:spacing w:lineRule="auto" w:line="288" w:before="120" w:after="283"/>
        <w:ind w:left="0" w:right="0" w:hanging="270"/>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the information required to be disclosed by us in the reports that we file or submit under the Securities Exchange Act is recorded, processed, summarized and reported within the time periods specified in the U.S. Securities and Exchange Commission’s rules and forms; and </w:t>
      </w:r>
    </w:p>
    <w:p>
      <w:pPr>
        <w:pStyle w:val="TextBody"/>
        <w:spacing w:lineRule="auto" w:line="288" w:before="120" w:after="283"/>
        <w:ind w:left="0" w:right="0" w:hanging="270"/>
        <w:rPr>
          <w:rFonts w:ascii="Franklin Gothic Book;sans-serif" w:hAnsi="Franklin Gothic Book;sans-serif"/>
          <w:b w:val="false"/>
          <w:color w:val="000000"/>
          <w:sz w:val="20"/>
        </w:rPr>
      </w:pPr>
      <w:r>
        <w:rPr>
          <w:rFonts w:ascii="Franklin Gothic Book;sans-serif" w:hAnsi="Franklin Gothic Book;sans-serif"/>
          <w:b w:val="false"/>
          <w:color w:val="000000"/>
          <w:sz w:val="20"/>
        </w:rPr>
        <w:t>(b) such information is accumulated and communicated to our management, including our principal executive officer and principal financial officer, as appropriate to allow timely decisions regarding required disclosure.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designing and evaluating our disclosure controls and procedures, our management recognized that any controls and procedures, no matter how well designed and operated, can provide only reasonable assurance of achieving the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1" name="Frame6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desired control objectives, and our management necessarily was required to apply its judgment in evaluating the cost-benefit relationship of possible controls and procedures.</w:t>
      </w:r>
    </w:p>
    <w:p>
      <w:pPr>
        <w:pStyle w:val="TextBody"/>
        <w:spacing w:lineRule="auto" w:line="288" w:before="180" w:after="283"/>
        <w:rPr>
          <w:rFonts w:ascii="Franklin Gothic Medium;sans-serif" w:hAnsi="Franklin Gothic Medium;sans-serif"/>
          <w:b/>
          <w:color w:val="000000"/>
          <w:sz w:val="24"/>
        </w:rPr>
      </w:pPr>
      <w:r>
        <w:rPr>
          <w:rFonts w:ascii="Franklin Gothic Medium;sans-serif" w:hAnsi="Franklin Gothic Medium;sans-serif"/>
          <w:b/>
          <w:color w:val="000000"/>
          <w:sz w:val="24"/>
        </w:rPr>
        <w:t>CHANGES IN INTERNAL CONTROL OVER FINANCIAL REPORTING</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There were no changes in our internal control over financial reporting during the quarter ended March 31, 2023,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2" name="Frame6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280" w:after="283"/>
        <w:jc w:val="center"/>
        <w:rPr>
          <w:rFonts w:ascii="Franklin Gothic Book;sans-serif" w:hAnsi="Franklin Gothic Book;sans-serif"/>
          <w:b/>
          <w:color w:val="1C5A7D"/>
          <w:sz w:val="24"/>
        </w:rPr>
      </w:pPr>
      <w:r>
        <w:rPr>
          <w:rFonts w:ascii="Franklin Gothic Book;sans-serif" w:hAnsi="Franklin Gothic Book;sans-serif"/>
          <w:b/>
          <w:color w:val="1C5A7D"/>
          <w:sz w:val="24"/>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Franklin Gothic Medium;sans-serif" w:hAnsi="Franklin Gothic Medium;sans-serif"/>
          <w:b/>
          <w:color w:val="000000"/>
          <w:sz w:val="28"/>
        </w:rPr>
      </w:pPr>
      <w:r>
        <w:rPr>
          <w:rFonts w:ascii="Franklin Gothic Medium;sans-serif" w:hAnsi="Franklin Gothic Medium;sans-serif"/>
          <w:b/>
          <w:color w:val="000000"/>
          <w:sz w:val="28"/>
        </w:rPr>
        <w:t>ITEM 1.    LEGAL PROCEEDINGS</w:t>
      </w:r>
    </w:p>
    <w:p>
      <w:pPr>
        <w:pStyle w:val="TextBody"/>
        <w:spacing w:lineRule="auto" w:line="288" w:before="120" w:after="283"/>
        <w:rPr/>
      </w:pPr>
      <w:r>
        <w:rPr>
          <w:rFonts w:ascii="Franklin Gothic Book;sans-serif" w:hAnsi="Franklin Gothic Book;sans-serif"/>
          <w:b w:val="false"/>
          <w:color w:val="000000"/>
          <w:sz w:val="20"/>
        </w:rPr>
        <w:t xml:space="preserve">For a discussion of legal proceedings as of March 31, 2023, please read </w:t>
      </w:r>
      <w:r>
        <w:rPr>
          <w:rFonts w:ascii="Franklin Gothic Book;sans-serif" w:hAnsi="Franklin Gothic Book;sans-serif"/>
          <w:b w:val="false"/>
          <w:i/>
          <w:color w:val="000000"/>
          <w:sz w:val="20"/>
        </w:rPr>
        <w:t>Note 18, Litigation,</w:t>
      </w:r>
      <w:r>
        <w:rPr>
          <w:color w:val="000000"/>
        </w:rPr>
        <w:t xml:space="preserve"> </w:t>
      </w:r>
      <w:r>
        <w:rPr>
          <w:rFonts w:ascii="Franklin Gothic Book;sans-serif" w:hAnsi="Franklin Gothic Book;sans-serif"/>
          <w:b w:val="false"/>
          <w:color w:val="000000"/>
          <w:sz w:val="20"/>
        </w:rPr>
        <w:t>to our condensed consolidated financial statements included in this report, which is incorporated into this item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Franklin Gothic Medium;sans-serif" w:hAnsi="Franklin Gothic Medium;sans-serif"/>
          <w:b/>
          <w:color w:val="000000"/>
          <w:sz w:val="28"/>
        </w:rPr>
      </w:pPr>
      <w:r>
        <w:rPr>
          <w:rFonts w:ascii="Franklin Gothic Medium;sans-serif" w:hAnsi="Franklin Gothic Medium;sans-serif"/>
          <w:b/>
          <w:color w:val="000000"/>
          <w:sz w:val="28"/>
        </w:rPr>
        <w:t>ITEM 1A.    RISK FACTORS</w:t>
      </w:r>
    </w:p>
    <w:p>
      <w:pPr>
        <w:pStyle w:val="TextBody"/>
        <w:spacing w:lineRule="auto" w:line="288" w:before="120" w:after="283"/>
        <w:rPr>
          <w:rFonts w:ascii="Franklin Gothic Book;sans-serif" w:hAnsi="Franklin Gothic Book;sans-serif"/>
          <w:b/>
          <w:color w:val="00497F"/>
          <w:sz w:val="20"/>
        </w:rPr>
      </w:pPr>
      <w:r>
        <w:rPr>
          <w:rFonts w:ascii="Franklin Gothic Book;sans-serif" w:hAnsi="Franklin Gothic Book;sans-serif"/>
          <w:b/>
          <w:color w:val="00497F"/>
          <w:sz w:val="20"/>
        </w:rPr>
        <w:t>Risks Related to Our Business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 xml:space="preserve">We are substantially dependent on revenue from our products.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could cause a decline in our stock price: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introduction, greater acceptance or more favorable reimbursement of competing products, including new originator therapies, generics, prodrugs and biosimilars of existing products and products approved under abbreviated regulatory pathways;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safety or efficacy issues;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third-parties;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adverse legal, administrative, regulatory or legislative developments;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our ability to maintain a positive reputation among patients, healthcare providers and others, which may be impacted by our pricing and reimbursement decisions; or</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inability or reluctance of patients to receive a diagnosis, prescription or administration of our products or a decision to prescribe and administer competitive therapies as a direct or indirect result of the COVID-19 pandemic.</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LEQEMBI is in the early stages of commercial launch in the U.S. In addition to risks associated with new product launches and the other factors described in these Risk Factors, Biogen’s and Eisai’s ability to successfully commercialize LEQEMBI may be adversely affected due to:</w:t>
      </w:r>
    </w:p>
    <w:p>
      <w:pPr>
        <w:pStyle w:val="TextBody"/>
        <w:spacing w:lineRule="auto" w:line="268" w:before="120" w:after="283"/>
        <w:ind w:left="0" w:right="0" w:hanging="360"/>
        <w:rPr/>
      </w:pPr>
      <w:r>
        <w:rPr>
          <w:color w:val="000000"/>
        </w:rPr>
        <w:t>•</w:t>
      </w:r>
      <w:r>
        <w:rPr>
          <w:rFonts w:ascii="Franklin Gothic Book;sans-serif" w:hAnsi="Franklin Gothic Book;sans-serif"/>
          <w:b w:val="false"/>
          <w:color w:val="000000"/>
          <w:sz w:val="20"/>
        </w:rPr>
        <w:t>Eisai’s ability to obtain and maintain adequate reimbursement for LEQEMBI;</w:t>
      </w:r>
    </w:p>
    <w:p>
      <w:pPr>
        <w:pStyle w:val="TextBody"/>
        <w:spacing w:lineRule="auto" w:line="268" w:before="120" w:after="283"/>
        <w:ind w:left="0" w:right="0" w:hanging="360"/>
        <w:rPr/>
      </w:pPr>
      <w:r>
        <w:rPr>
          <w:color w:val="000000"/>
        </w:rPr>
        <w:t>•</w:t>
      </w:r>
      <w:r>
        <w:rPr>
          <w:rFonts w:ascii="Franklin Gothic Book;sans-serif" w:hAnsi="Franklin Gothic Book;sans-serif"/>
          <w:b w:val="false"/>
          <w:color w:val="000000"/>
          <w:sz w:val="20"/>
        </w:rPr>
        <w:t>the effectiveness of Eisai's and Biogen’s commercial strategy for marketing LEQEMBI; and</w:t>
      </w:r>
    </w:p>
    <w:p>
      <w:pPr>
        <w:pStyle w:val="TextBody"/>
        <w:spacing w:lineRule="auto" w:line="268" w:before="120" w:after="283"/>
        <w:ind w:left="0" w:right="0" w:hanging="360"/>
        <w:rPr/>
      </w:pPr>
      <w:r>
        <w:rPr>
          <w:color w:val="000000"/>
        </w:rPr>
        <w:t>•</w:t>
      </w:r>
      <w:r>
        <w:rPr>
          <w:rFonts w:ascii="Franklin Gothic Book;sans-serif" w:hAnsi="Franklin Gothic Book;sans-serif"/>
          <w:b w:val="false"/>
          <w:color w:val="000000"/>
          <w:sz w:val="20"/>
        </w:rPr>
        <w:t>Eisai’s and Biogen’s ability to maintain a positive reputation among patients, healthcare providers and others in the Alzheimer’s disease community, which may be impacted by pricing and reimbursement decisions relating to LEQEMBI, which are made by Eisai.</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FDA may withdraw approval if Eisai and Biogen fail to comply with the conditions of the accelerated approval.</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long-term success depends upon the successful development of new products and additional indications for our existing products.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long-term success will depend upon the successful development of new products from our research and development activities or our licenses or acquisitions from third-parties, as well as additional indications for our existing products.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 additional challenges and risks, including obtaining approval from regulatory authorities that have limited experience with the development of such therapies.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3" name="Frame6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Success in preclinical work or early-stage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Sales of new products or products with additional indications may not meet investor expectations.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If we fail to compete effectively, our business and market position would suffer.</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may be automatically substituted for our product and significantly reduce our revenue in a short period of time.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compete, maintain and grow our business may also be adversely affected due to a number of factors, including:</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introduction of other products, including products that may be more efficacious, safer, less expensive or more convenient alternatives to our products, including our own products and products of our collaborators;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the off-label use by physicians of therapies indicated for other conditions to treat patients;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patient dynamics, including the size of the patient population and our ability to identify, attract and maintain new and current patients to our therapies;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reluctance of physicians to prescribe, and patients to use, our products without additional data on the efficacy and safety of such products;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inability to obtain appropriate pricing and adequate reimbursement for our products compared to our competitors in key international markets; or</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our ability to obtain and maintain patent, data or market exclusivity for our products.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business may be adversely affected if we do not successfully execute or realize the anticipated benefits of our strategic and growth initiatives.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4" name="Frame6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 successful execution of our strategic and growth initiatives may depend upon internal development projects, commercial initiatives and external opportunities, which may include the acquisition and in-licensing of products, technologies and companies or the entry into strategic alliances and collaborations.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fail to initiate or complete transactions for many reasons, including failure to obtain regulatory or other approvals as well as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pStyle w:val="TextBody"/>
        <w:spacing w:lineRule="auto" w:line="276"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Sales of our products depend, to a significant extent, on adequate coverage, pricing and reimbursement from third-party payors. When a new pharmaceutical product is approved, the availability of government and private reimbursement for that product may be uncertain, as is the pricing and amount for which that product will be reimbursed.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Pricing and reimbursement for our products may be adversely affected by a number of factors, including:</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changes in, and implementation of, federal, state or foreign government regulations or private third-party payors’ reimbursement policies;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pressure by employers on private health insurance plans to reduce costs;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our ability to receive reimbursement for our products or our ability to receive comparable reimbursement to that of competing products;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This may create the opportunity for third-party cross-border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5" name="Frame6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trade or influence our decision to sell or not to sell a product, thus adversely affecting our geographic expansion plans and revenue. Additionally, and in part due to the impact of the COVID-19 pandemic, in certain jurisdictions governmental health agencies may adjust, retroactively and/or prospectively, reimbursement rates for our products.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failure to obtain or maintain adequate coverage, pricing or reimbursement for our products could have an adverse effect on our business, reputation, revenue and results of operations.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We depend on relationships with collaborators and other third-parties for revenue, and for the development, regulatory approval, commercialization and marketing of certain of our products and product candidates, which are outside of our full control.</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third-parties. Reliance on third-parties subjects us to a number of risks, including:</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we may be unable to control the resources our collaborators or third-parties devote to our programs, products or product candidates;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third-parties fail to perform;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the interests of our collaborators or third-parties may not always be aligned with our interests, and such parties may not pursue regulatory approvals or market a product in the same manner or to the same extent that we would, which could adversely affect our revenue, or may adopt tax strategies that could have an adverse effect on our business, results of operations or financial condition;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any failure on the part of our collaborators or third-parties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as well as involve us in possible legal proceedings;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any improper conduct or actions on the part of our collaborators or third-parties could subject us to civil or criminal investigations and monetary and injunctive penalties, impact the accuracy and timing of our financial reporting and/or adversely impact our ability to conduct business, our operating results and our reputation.</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results of operations may be adversely affected by current and potential future healthcare reforms.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76" name="Frame6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the U.S., federal and state legislatures, health agencies and third-party payors continue to focus on containing the cost of health care. Legislative and regulatory proposals, enactments to reform health care insurance programs (including those contained in the IRA) and increasing pressure from social sources could significantly influence the manner in which our products are prescribed, purchased and reimbursed.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There is increasing public attention on the costs of prescription drugs and we expect drug pricing and other health care costs to continue to be subject to intense political and societal pressures on a global basis. For example, two committees of the U.S. House of Representatives previously investigated the approval and price of ADUHELM. In addition, there have been (including elements of the IRA), and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 </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success in commercializing biosimilars is subject to risks and uncertainties inherent in the development, manufacture and commercialization of biosimilars. If we are unsuccessful in such activities, our business may be adversely affected.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development, manufacture and commercialization of biosimilar products require specialized expertise and are very costly and subject to complex regulation. Our success in commercializing biosimilars is subject to a number of risks, including:</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Reliance on Third-Parties.</w:t>
      </w:r>
      <w:r>
        <w:rPr>
          <w:color w:val="000000"/>
        </w:rPr>
        <w:t xml:space="preserve"> </w:t>
      </w:r>
      <w:r>
        <w:rPr>
          <w:rFonts w:ascii="Franklin Gothic Book;sans-serif" w:hAnsi="Franklin Gothic Book;sans-serif"/>
          <w:b w:val="false"/>
          <w:color w:val="000000"/>
          <w:sz w:val="20"/>
        </w:rPr>
        <w:t>We are dependent, in part, on the efforts of collaboration partners and other third-parties over whom we have limited or no control in the development and manufacturing of biosimilars products. If these third-parties fail to perform successfully, our biosimilar product development or commercialization of biosimilar products could be delayed, revenue from biosimilar products could decline and/or we may not realize the anticipated benefits of these arrangements;</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Regulatory Compliance.</w:t>
      </w:r>
      <w:r>
        <w:rPr>
          <w:color w:val="000000"/>
        </w:rPr>
        <w:t xml:space="preserve"> </w:t>
      </w:r>
      <w:r>
        <w:rPr>
          <w:rFonts w:ascii="Franklin Gothic Book;sans-serif" w:hAnsi="Franklin Gothic Book;sans-serif"/>
          <w:b w:val="false"/>
          <w:color w:val="000000"/>
          <w:sz w:val="20"/>
        </w:rPr>
        <w:t>Biosimilar products may face regulatory hurdles or delays due to the evolving and uncertain regulatory and commercial pathway of biosimilars products in certain jurisdictions;</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77" name="Frame6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Ability to Provide Adequate Supply.</w:t>
      </w:r>
      <w:r>
        <w:rPr>
          <w:color w:val="000000"/>
        </w:rPr>
        <w:t xml:space="preserve"> </w:t>
      </w:r>
      <w:r>
        <w:rPr>
          <w:rFonts w:ascii="Franklin Gothic Book;sans-serif" w:hAnsi="Franklin Gothic Book;sans-serif"/>
          <w:b w:val="false"/>
          <w:color w:val="000000"/>
          <w:sz w:val="20"/>
        </w:rPr>
        <w:t>Manufacturing biosimilars is complex. If we encounter any manufacturing or supply chain difficulties we may be unable to meet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Intellectual Property and Regulatory Challenges.</w:t>
      </w:r>
      <w:r>
        <w:rPr>
          <w:color w:val="000000"/>
        </w:rPr>
        <w:t xml:space="preserve"> </w:t>
      </w:r>
      <w:r>
        <w:rPr>
          <w:rFonts w:ascii="Franklin Gothic Book;sans-serif" w:hAnsi="Franklin Gothic Book;sans-serif"/>
          <w:b w:val="false"/>
          <w:color w:val="000000"/>
          <w:sz w:val="20"/>
        </w:rPr>
        <w:t xml:space="preserve">Biosimilar products may face extensive patent clearances, patent infringement litigation, injunctions or regulatory challenges, which could prevent the commercial launch of a product or delay it for many years or result in imposition of monetary damages, penalties or other civil sanctions and damage our reputation; </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Failure to Gain Market and Patient Acceptance.</w:t>
      </w:r>
      <w:r>
        <w:rPr>
          <w:color w:val="000000"/>
        </w:rPr>
        <w:t xml:space="preserve"> </w:t>
      </w:r>
      <w:r>
        <w:rPr>
          <w:rFonts w:ascii="Franklin Gothic Book;sans-serif" w:hAnsi="Franklin Gothic Book;sans-serif"/>
          <w:b w:val="false"/>
          <w:color w:val="000000"/>
          <w:sz w:val="20"/>
        </w:rPr>
        <w:t>Market success of biosimilar products will be adversely affected if patients, physicians and/or payors do not accept biosimilar products as safe and efficacious products offering a more competitive price or other benefit over existing therapies; and</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Competitive Challenges.</w:t>
      </w:r>
      <w:r>
        <w:rPr>
          <w:color w:val="000000"/>
        </w:rPr>
        <w:t xml:space="preserve"> </w:t>
      </w:r>
      <w:r>
        <w:rPr>
          <w:rFonts w:ascii="Franklin Gothic Book;sans-serif" w:hAnsi="Franklin Gothic Book;sans-serif"/>
          <w:b w:val="false"/>
          <w:color w:val="000000"/>
          <w:sz w:val="20"/>
        </w:rPr>
        <w:t>Biosimilar products face significant competition, including from innovator products and biosimilar products 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pStyle w:val="TextBody"/>
        <w:spacing w:lineRule="auto" w:line="247" w:before="120" w:after="283"/>
        <w:rPr>
          <w:rFonts w:ascii="Franklin Gothic Book;sans-serif" w:hAnsi="Franklin Gothic Book;sans-serif"/>
          <w:b/>
          <w:color w:val="00497F"/>
          <w:sz w:val="20"/>
        </w:rPr>
      </w:pPr>
      <w:r>
        <w:rPr>
          <w:rFonts w:ascii="Franklin Gothic Book;sans-serif" w:hAnsi="Franklin Gothic Book;sans-serif"/>
          <w:b/>
          <w:color w:val="00497F"/>
          <w:sz w:val="20"/>
        </w:rPr>
        <w:t>Risks Related to Intellectual Property</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 xml:space="preserve">If we are unable to obtain and maintain adequate protection for our data, intellectual property and other proprietary rights, our business may be harmed. </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Furthermore, our products may be determined to infringe patents or other intellectual property rights held by third-parties. Legal proceedings, administrative challenges or other types of proceedings are and may in the future be necessary to determine the validity, scope or non-infringement of certain patent rights claimed by third-parties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a decline or volatility in our stock price.</w:t>
      </w:r>
    </w:p>
    <w:p>
      <w:pPr>
        <w:pStyle w:val="TextBody"/>
        <w:spacing w:lineRule="auto" w:line="247" w:before="120" w:after="283"/>
        <w:rPr>
          <w:rFonts w:ascii="Franklin Gothic Book;sans-serif" w:hAnsi="Franklin Gothic Book;sans-serif"/>
          <w:b/>
          <w:color w:val="00497F"/>
          <w:sz w:val="20"/>
        </w:rPr>
      </w:pPr>
      <w:r>
        <w:rPr>
          <w:rFonts w:ascii="Franklin Gothic Book;sans-serif" w:hAnsi="Franklin Gothic Book;sans-serif"/>
          <w:b/>
          <w:color w:val="00497F"/>
          <w:sz w:val="20"/>
        </w:rPr>
        <w:t>Risks Related to Development, Clinical Testing and Regulation of Our Products and Product Candidates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Successful preclinical work or early stage clinical trials does not ensure success in later stage trials, regulatory approval or commercial viability of a product.</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78" name="Frame6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69</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or not approve adequate reimbursement.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Clinical trials and the development of biopharmaceutical products is a lengthy and complex process. If we fail to adequately manage our clinical activities, our clinical trials or potential regulatory approvals may be delayed or denied.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have opened clinical trial sites and are enrolling patients in a number of countries where our experience is limited. In most cases, we use the services of third-parties to carry out our clinical trial related activities and rely on such parties to accurately report their results. Our reliance on third-parties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Adverse safety events or restrictions on use and safety warnings for our products can negatively affect our business, product sales and stock price.</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Restrictions on use or safety warnings that may be required to be included in the label of our products may significantly reduce expected revenue for those products and require significant expense and management time.</w:t>
      </w:r>
    </w:p>
    <w:p>
      <w:pPr>
        <w:pStyle w:val="TextBody"/>
        <w:spacing w:lineRule="auto" w:line="288" w:before="120" w:after="283"/>
        <w:rPr>
          <w:rFonts w:ascii="Franklin Gothic Book;sans-serif" w:hAnsi="Franklin Gothic Book;sans-serif"/>
          <w:b/>
          <w:color w:val="00497F"/>
          <w:sz w:val="20"/>
        </w:rPr>
      </w:pPr>
      <w:r>
        <w:rPr>
          <w:rFonts w:ascii="Franklin Gothic Book;sans-serif" w:hAnsi="Franklin Gothic Book;sans-serif"/>
          <w:b/>
          <w:color w:val="00497F"/>
          <w:sz w:val="20"/>
        </w:rPr>
        <w:t>Risks Related to Our Operations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A breakdown or breach of our technology systems could subject us to liability or interrupt the operation of our business.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are increasingly dependent upon technology systems and data to operate our business. The COVID-19 pandemic has caused us to modify our business practices in ways that heighten this dependence, including changing the requirement that most of our office-based employees in the U.S. and our other key markets work from the office, with a number of our employees now working in hybrid or full-remote positions.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Breakdowns, invasions, corruptions, destructions and/or breaches of our technology systems or those of our business partners, including our cloud technologies, and/or unauthorized access to our data and information could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79" name="Frame7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subject us to liability, negatively impact our business operations, and/or require replacement of technology and/or ransom payments. Our technology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Cyber-attacks are increasing in their frequency, sophistication and intensity, and are becoming increasingly difficult to detect, when they impact vendors, customers or companies, including vendors, suppliers and other companies in our supply chain. They are often carried out by motivated, well-resourced, skilled and persistent actors, including nation states, organized crime groups, “hacktivists” and employees or contractors acting with careless or malicious intent. Geopolitical instability, including that related to Russia's invasion of Ukraine may increase cyber-attacks. Cyber-attacks include deployment of harmful malware and key loggers, ransomware, a denial-of-service attack, a malicious website,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Regulators are considering new cyber security regulations. For example, the SEC has proposed amendments to its disclosure rules regarding cyber security risk management, strategy, governance and incident reporting by public companies. These proposed regulations may impact the manner in which we operate.</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Manufacturing issues could substantially increase our costs, limit supply of our products and/or reduce our revenue.</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process of manufacturing our products is complex, highly regulated and subject to numerous risks, including:</w:t>
      </w:r>
    </w:p>
    <w:p>
      <w:pPr>
        <w:pStyle w:val="TextBody"/>
        <w:spacing w:lineRule="auto" w:line="268" w:before="120" w:after="283"/>
        <w:ind w:left="0" w:right="0" w:hanging="360"/>
        <w:rPr/>
      </w:pPr>
      <w:r>
        <w:rPr>
          <w:color w:val="000000"/>
        </w:rPr>
        <w:t>•</w:t>
      </w:r>
      <w:r>
        <w:rPr>
          <w:rFonts w:ascii="Franklin Gothic Book;sans-serif" w:hAnsi="Franklin Gothic Book;sans-serif"/>
          <w:b w:val="false"/>
          <w:i/>
          <w:color w:val="000000"/>
          <w:sz w:val="20"/>
        </w:rPr>
        <w:t>Risks of Reliance on Third-Parties and Single Source Providers.</w:t>
      </w:r>
      <w:r>
        <w:rPr>
          <w:color w:val="000000"/>
        </w:rPr>
        <w:t xml:space="preserve"> </w:t>
      </w:r>
      <w:r>
        <w:rPr>
          <w:rFonts w:ascii="Franklin Gothic Book;sans-serif" w:hAnsi="Franklin Gothic Book;sans-serif"/>
          <w:b w:val="false"/>
          <w:color w:val="000000"/>
          <w:sz w:val="20"/>
        </w:rPr>
        <w:t>We rely on third-party suppliers and manufacturers for many aspects of our manufacturing process for our products and product candidates. In some cases, due to the unique manner in which our products are manufactured, we rely on single source providers of raw materials and manufacturing supplies. These third-parties are independent entities subject to their own unique operational and financial risks that are outside of our control. These third-parties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pStyle w:val="TextBody"/>
        <w:spacing w:lineRule="auto" w:line="268" w:before="120" w:after="283"/>
        <w:ind w:left="0" w:right="0" w:hanging="360"/>
        <w:rPr/>
      </w:pPr>
      <w:r>
        <w:rPr>
          <w:color w:val="000000"/>
        </w:rPr>
        <w:t>•</w:t>
      </w:r>
      <w:r>
        <w:rPr>
          <w:rFonts w:ascii="Franklin Gothic Book;sans-serif" w:hAnsi="Franklin Gothic Book;sans-serif"/>
          <w:b w:val="false"/>
          <w:i/>
          <w:color w:val="000000"/>
          <w:sz w:val="20"/>
        </w:rPr>
        <w:t xml:space="preserve">Global Bulk Supply Risks. </w:t>
      </w:r>
      <w:r>
        <w:rPr>
          <w:rFonts w:ascii="Franklin Gothic Book;sans-serif" w:hAnsi="Franklin Gothic Book;sans-serif"/>
          <w:b w:val="false"/>
          <w:color w:val="000000"/>
          <w:sz w:val="20"/>
        </w:rPr>
        <w:t xml:space="preserve">We rely on our manufacturing facilities for the production of drug substance for our large molecule products and product candidates. Our global bulk supply of these products and product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0" name="Frame7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candidates depends on the uninterrupted and efficient operation of these facilities, which could be adversely affected by equipment failures, labor or raw material shortages, public health epidemics, natural disasters, power failures, cyber-attacks and many other factors.</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Risks Relating to Compliance with current GMP (cGMP).</w:t>
      </w:r>
      <w:r>
        <w:rPr>
          <w:color w:val="000000"/>
        </w:rPr>
        <w:t xml:space="preserve"> </w:t>
      </w:r>
      <w:r>
        <w:rPr>
          <w:rFonts w:ascii="Franklin Gothic Book;sans-serif" w:hAnsi="Franklin Gothic Book;sans-serif"/>
          <w:b w:val="false"/>
          <w:color w:val="000000"/>
          <w:sz w:val="20"/>
        </w:rPr>
        <w:t>We and our third-party providers are generally required to maintain 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pStyle w:val="TextBody"/>
        <w:spacing w:lineRule="auto" w:line="288" w:before="120" w:after="283"/>
        <w:ind w:left="0" w:right="0" w:hanging="360"/>
        <w:rPr/>
      </w:pPr>
      <w:r>
        <w:rPr>
          <w:color w:val="000000"/>
        </w:rPr>
        <w:t>•</w:t>
      </w:r>
      <w:r>
        <w:rPr>
          <w:rFonts w:ascii="Franklin Gothic Book;sans-serif" w:hAnsi="Franklin Gothic Book;sans-serif"/>
          <w:b w:val="false"/>
          <w:i/>
          <w:color w:val="000000"/>
          <w:sz w:val="20"/>
        </w:rPr>
        <w:t>Risk of Product Loss.</w:t>
      </w:r>
      <w:r>
        <w:rPr>
          <w:color w:val="000000"/>
        </w:rPr>
        <w:t xml:space="preserve"> </w:t>
      </w:r>
      <w:r>
        <w:rPr>
          <w:rFonts w:ascii="Franklin Gothic Book;sans-serif" w:hAnsi="Franklin Gothic Book;sans-serif"/>
          <w:b w:val="false"/>
          <w:color w:val="000000"/>
          <w:sz w:val="20"/>
        </w:rPr>
        <w:t>The manufacturing process for our products is extremely susceptible to product loss due to contamination, 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Furthermore, factors such as the COVID-19 pandemic and other global health outbreaks, weather events, labor or raw material shortages and other supply chain disruptions could result in difficulties and delays in manufacturing our products, which could have an adverse impact on our results in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Management, personnel and other organizational changes may disrupt our operations, and we may have difficulty retaining personnel or attracting and retaining qualified replacements on a timely basis for the management and other personnel who may leave the Company.</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the underperformance or discontinuation of one or more marketed, pre-clinical or clinical programs, recruitment by competitors or changes in the overall labor market. In addition, changes in our organizational structure or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If we fail to comply with the extensive legal and regulatory requirements affecting the health care industry, we could face increased costs, penalties and a loss of business.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1" name="Frame72"/>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72</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 </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Conditions and regulations governing the health care industry are subject to change, with possible retroactive effect, including:</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changes in the FDA and foreign regulatory approval processes or perspectives that may delay or prevent the approval of new products and result in lost market opportunity;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government shutdowns or relocations may result in delays to the review and approval process, slowing the time necessary for new drug candidates to be reviewed and/or approved, which may adversely affect our business;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sales and operations are subject to the risks of doing business internationally.</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2" name="Frame73"/>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sales and operations are subject to the risks of doing business internationally, including:</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impact of public health epidemics, such as the COVID-19 pandemic, on the global economy and the delivery of healthcare treatments;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less favorable intellectual property or other applicable laws;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the inability to obtain necessary foreign regulatory approvals of products in a timely manner;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limitations and additional pressures on our ability to obtain and maintain product pricing, reimbursement or receive price increases, including those resulting from governmental or regulatory requirements;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increased cost of goods due to factors such as inflation and supply chain disruptions;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additional complexity in manufacturing internationally;</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delays in clinical trials relating to geopolitical instability related to Russia's invasion of Ukraine;</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inability to successfully complete subsequent or confirmatory clinical trials in countries where our experience is limited;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longer payment and reimbursement cycles and uncertainties regarding the collectability of accounts receivable;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fluctuations in foreign currency exchange rates that may adversely impact our revenue, net income and value of certain of our investments;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the imposition of governmental controls;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diverse data privacy and protection requirements;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increasingly complex standards for complying with foreign laws and regulations that may differ substantially from country to country and may conflict with corresponding U.S. laws and regulations;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far-reaching anti-bribery and anti-corruption legislation in the U.K., including the U.K. Bribery Act 2010, and elsewhere and escalation of investigations and prosecutions pursuant to such laws;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compliance with complex import and export control laws;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changes in tax laws;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imposition of tariffs or embargoes and other trade restrictions.</w:t>
      </w:r>
    </w:p>
    <w:p>
      <w:pPr>
        <w:pStyle w:val="TextBody"/>
        <w:spacing w:lineRule="auto" w:line="26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addition, our international operations are subject to regulation under U.S. law. For example,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We are building a large-scale biologics manufacturing facility, which will result in the incurrence of significant investment with no assurance that such investment will be recouped.</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83" name="Frame74"/>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74</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If we are unable to fully utilize our manufacturing facilities, our business may be harmed. Charges resulting from excess capacity may continue to occur and would have a negative effect on our financial condition and results of operations.</w:t>
      </w:r>
    </w:p>
    <w:p>
      <w:pPr>
        <w:pStyle w:val="TextBody"/>
        <w:spacing w:lineRule="auto" w:line="288" w:before="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Although the Solothurn facility was approved by the FDA for ADUHELM and LEQEMBI, there can be no assurance that the regulatory authorities will approve the Solothurn facility for the manufacturing of other products.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The ongoing COVID-19 pandemic and other global health outbreaks may, directly or indirectly, adversely affect our business, results of operations and financial condition.</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business has and could continue to be adversely affected, directly or indirectly, by the ongoing COVID-19 pandemic and other global health outbreaks.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continue to monitor our operations and applicable government recommendations, and we have made modifications to our normal operations because of the COVID-19 pandemic, including limiting travel and adopting flexible working arrangements. Customer-facing professionals interactions in healthcare settings have changed as a result of the COVID-19 pandemic. This limits our ability to market our products and educate physicians, which, in turn, could have an adverse effect on our ability to compete in the marketing and sales of our products.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Changes in flexible working arrangements could impact employee retention, employees' productivity and morale, strain our technology resources and introduce operational risks. Additionally, the risk of cyber-attacks or other privacy or data security incidents may be heightened as a result of our moving increasingly towards a remote working environment, which may be less secure and more susceptible to hacking attacks.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COVID-19 pandemic and other global health outbreaks could affect the health and availability of our workforce as well as those of the third-parties we rely on. Furthermore, delays and disruptions experienced by our collaborators or other third-parties due to the COVID-19 pandemic and other global health outbreaks could adversely impact the ability of such parties to fulfill their obligations, which could affect product sales or the clinical development or regulatory approvals of product candidates under joint control.</w:t>
      </w:r>
    </w:p>
    <w:p>
      <w:pPr>
        <w:pStyle w:val="TextBody"/>
        <w:spacing w:lineRule="auto" w:line="276"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ability to continue our existing clinical trials or to initiate new clinical trials has been and may continue to be adversely affected, directly or indirectly, by the COVID-19 pandemic and other global health outbreaks. Restrictions on travel and/or transport of clinical materials as well as diversion of hospital staff and resources to COVID-19 infected patients could disrupt trial operations and recruitment, possibly resulting in a slowdown in enrollment and/or deviations from or disruptions in key clinical trial activities, such as clinical trial site monitoring. These challenges may lead to difficulties in meeting protocol-specified procedures. We may need to make certain adjustments to the operation of clinical trials in an effort to minimize risks to trial data integrity during the COVID-19 pandemic and other global health outbreaks. In addition, the impact of the COVID-19 pandemic and other global health outbreaks on the operations of the FDA and other health authorities may delay potential approvals of our product candidates.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State and federal healthcare reform measures have been adopted in the past, and may be adopted in the future, any of which could limit the amounts that federal and state governments will pay for healthcare products and services, which could result in reduced demand for our products or additional pricing pressures and have a financial impact on our business that we cannot predict.</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While it is not possible at this time to estimate the entirety of the impact that the COVID-19 pandemic and other global health outbreaks may have on our business, the broad global health outbreaks on our business activities may materially and adversely affect our business, supply chain and distribution systems, results of operations and financial condition.</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The illegal distribution and sale by third-parties of counterfeit or unfit versions of our products or stolen products could have a negative impact on our reputation and business.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Third-parties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The increasing use of social media platforms and artificial intelligence based software presents new risks and challenges.</w:t>
      </w:r>
    </w:p>
    <w:p>
      <w:pPr>
        <w:pStyle w:val="TextBody"/>
        <w:spacing w:lineRule="auto" w:line="268" w:before="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84" name="Frame75"/>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75</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68" w:before="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restrictive regulatory actions or incur other harm to our business. Additionally, the use of artificial intelligence (AI) based software is increasingly being used in the biopharmaceutical industry. Use of AI based software may lead to the release of confidential proprietary information which may impact our ability to realize the benefit of our intellectual property.</w:t>
      </w:r>
    </w:p>
    <w:p>
      <w:pPr>
        <w:pStyle w:val="TextBody"/>
        <w:spacing w:lineRule="auto" w:line="288" w:before="120" w:after="283"/>
        <w:rPr>
          <w:rFonts w:ascii="Franklin Gothic Book;sans-serif" w:hAnsi="Franklin Gothic Book;sans-serif"/>
          <w:b/>
          <w:color w:val="00497F"/>
          <w:sz w:val="20"/>
        </w:rPr>
      </w:pPr>
      <w:r>
        <w:rPr>
          <w:rFonts w:ascii="Franklin Gothic Book;sans-serif" w:hAnsi="Franklin Gothic Book;sans-serif"/>
          <w:b/>
          <w:color w:val="00497F"/>
          <w:sz w:val="20"/>
        </w:rPr>
        <w:t>Risks Related to Holding Our Common Stock</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operating results are subject to significant fluctuations.</w:t>
      </w:r>
    </w:p>
    <w:p>
      <w:pPr>
        <w:pStyle w:val="TextBody"/>
        <w:spacing w:lineRule="auto" w:line="288" w:before="100" w:after="283"/>
        <w:rPr/>
      </w:pPr>
      <w:r>
        <w:rPr>
          <w:rFonts w:ascii="Franklin Gothic Book;sans-serif" w:hAnsi="Franklin Gothic Book;sans-serif"/>
          <w:b w:val="false"/>
          <w:color w:val="000000"/>
          <w:sz w:val="20"/>
        </w:rPr>
        <w:t xml:space="preserve">Our quarterly revenue, expense and net income (loss) have fluctuated in the past and are likely to fluctuate significantly in the future due to the risks described in these </w:t>
      </w:r>
      <w:r>
        <w:rPr>
          <w:rFonts w:ascii="Franklin Gothic Book;sans-serif" w:hAnsi="Franklin Gothic Book;sans-serif"/>
          <w:b w:val="false"/>
          <w:i/>
          <w:color w:val="000000"/>
          <w:sz w:val="20"/>
        </w:rPr>
        <w:t>Risk Factors</w:t>
      </w:r>
      <w:r>
        <w:rPr>
          <w:color w:val="000000"/>
        </w:rPr>
        <w:t xml:space="preserve"> </w:t>
      </w:r>
      <w:r>
        <w:rPr>
          <w:rFonts w:ascii="Franklin Gothic Book;sans-serif" w:hAnsi="Franklin Gothic Book;sans-serif"/>
          <w:b w:val="false"/>
          <w:color w:val="000000"/>
          <w:sz w:val="20"/>
        </w:rPr>
        <w:t>as well as the timing of charges and expense that we may take. We have recorded, or may be required to record, charges that include:</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the cost of restructurings or other initiatives to streamline our operations and reallocate resources;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impairments with respect to investments, fixed assets and long-lived assets, including IPR&amp;D and other intangible assets;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 xml:space="preserve">inventory write-downs for failed quality specifications, recurring charges for excess or obsolete inventory and charges for inventory write-downs relating to product suspensions, expirations or recalls;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changes in the fair value of contingent consideration or our equity investments;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bad debt expense and increased bad debt reserves;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outcomes of litigation and other legal or administrative proceedings, regulatory matters and tax matters;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payments in connection with acquisitions, divestitures and other business development activities and under license and collaboration agreements;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failure to meet certain contractual commitments;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the impact of public health epidemics, such as the COVID-19 pandemic, on employees, the global economy and the delivery of healthcare treatments.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operating results during any one period do not necessarily suggest the anticipated results of future periods.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investments in properties may not be fully realized.</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5" name="Frame76"/>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76</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investment portfolio is subject to market, interest and credit risk that may reduce its value.</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There can be no assurance that we will continue to repurchase shares or that we will repurchase shares at favorable prices.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recently enacted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We may not be able to access the capital and credit markets on terms that are favorable to us.</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Changes in credit ratings issued by nationally recognized credit rating agencies could also adversely affect our cost of financing and the market price of our securities.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 xml:space="preserve">Our indebtedness could adversely affect our business and limit our ability to plan for or respond to changes in our business. </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Our indebtedness, together with our significant contingent liabilities, including milestone and royalty payment obligations, could have important consequences to our business; for example, such obligations could: </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increase our vulnerability to general adverse economic and industry conditions;</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limit our ability to access capital markets and incur additional debt in the future;</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pStyle w:val="TextBody"/>
        <w:spacing w:lineRule="auto" w:line="288" w:before="120" w:after="283"/>
        <w:ind w:left="0" w:right="0" w:hanging="360"/>
        <w:rPr/>
      </w:pPr>
      <w:r>
        <w:rPr>
          <w:color w:val="000000"/>
        </w:rPr>
        <w:t>•</w:t>
      </w:r>
      <w:r>
        <w:rPr>
          <w:rFonts w:ascii="Franklin Gothic Book;sans-serif" w:hAnsi="Franklin Gothic Book;sans-serif"/>
          <w:b w:val="false"/>
          <w:color w:val="000000"/>
          <w:sz w:val="20"/>
        </w:rPr>
        <w:t>limit our flexibility in planning for, or reacting to, changes in our business and the industry in which we operate, thereby placing us at a disadvantage compared to our competitors that have less debt.</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Some of our collaboration agreements contain change in control provisions that may discourage a third-party from attempting to acquire us.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pStyle w:val="TextBody"/>
        <w:spacing w:lineRule="auto" w:line="288" w:before="120" w:after="283"/>
        <w:rPr>
          <w:rFonts w:ascii="Franklin Gothic Book;sans-serif" w:hAnsi="Franklin Gothic Book;sans-serif"/>
          <w:b/>
          <w:color w:val="00497F"/>
          <w:sz w:val="20"/>
        </w:rPr>
      </w:pPr>
      <w:r>
        <w:rPr>
          <w:rFonts w:ascii="Franklin Gothic Book;sans-serif" w:hAnsi="Franklin Gothic Book;sans-serif"/>
          <w:b/>
          <w:color w:val="00497F"/>
          <w:sz w:val="20"/>
        </w:rPr>
        <w:t>General Risk Factors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effective tax rate fluctuates, and we may incur obligations in tax jurisdictions in excess of accrued amounts.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As a global biopharmaceutical company, we are subject to taxation in numerous countries, states and other jurisdictions. As a result, our effective tax rate is derived from a combination of applicable tax rates, including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86" name="Frame77"/>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(including those related to the impact of the Tax Cuts and Jobs Act of 2017), adjustments to the value of our uncertain tax positions, interpretations by tax authorities or other bodies with jurisdiction, the result of tax cases, changes in accounting for income taxes and changes in tax laws and regulations either prospectively or retrospectively (including those related to the IRA). </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inability to secure or sustain acceptable arrangements with tax authorities and future changes in the tax laws, among other things, may result in tax obligations in excess of amounts accrued in our financial statements.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enactment of some or all of the recommendations set forth or that may be forthcoming in the OECD’s project on “Base Erosion and Profit Shifting” by tax authorities and economic blocs in the countries in which we operate, could unfavorably impact our effective tax rate. These initiatives focus on common international principles for the entitlement to taxation of global corporate profits and minimum global tax rates. Many countries have or are in the process of enacting legislation intended to implement the OECD GloBE Model Rules effective starting on January 1, 2024. The impact on the Company will depend on the exact nature of each country's GloBE legislation, guidance and regulations thereon and their application by tax authorities.</w:t>
      </w:r>
    </w:p>
    <w:p>
      <w:pPr>
        <w:pStyle w:val="TextBody"/>
        <w:spacing w:lineRule="auto" w:line="288" w:before="120" w:after="283"/>
        <w:rPr>
          <w:rFonts w:ascii="Franklin Gothic Book;sans-serif" w:hAnsi="Franklin Gothic Book;sans-serif"/>
          <w:b/>
          <w:i/>
          <w:color w:val="2573BA"/>
          <w:sz w:val="20"/>
        </w:rPr>
      </w:pPr>
      <w:r>
        <w:rPr>
          <w:rFonts w:ascii="Franklin Gothic Book;sans-serif" w:hAnsi="Franklin Gothic Book;sans-serif"/>
          <w:b/>
          <w:i/>
          <w:color w:val="2573BA"/>
          <w:sz w:val="20"/>
        </w:rPr>
        <w:t>Our business involves environmental risks, which include the cost of compliance and the risk of contamination or injury.</w:t>
      </w:r>
    </w:p>
    <w:p>
      <w:pPr>
        <w:pStyle w:val="TextBody"/>
        <w:spacing w:lineRule="auto" w:line="288" w:before="10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are considering new environmental disclosure rules. For example, the SEC has proposed amendments to its disclosure rules regarding climate-related disclosure requirements. These proposed regulations may impact the manner in which we operate.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87" name="Frame78"/>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280" w:after="283"/>
        <w:rPr>
          <w:rFonts w:ascii="Franklin Gothic Medium;sans-serif" w:hAnsi="Franklin Gothic Medium;sans-serif"/>
          <w:b w:val="false"/>
          <w:color w:val="000000"/>
          <w:sz w:val="28"/>
        </w:rPr>
      </w:pPr>
      <w:r>
        <w:rPr>
          <w:rFonts w:ascii="Franklin Gothic Medium;sans-serif" w:hAnsi="Franklin Gothic Medium;sans-serif"/>
          <w:b w:val="false"/>
          <w:color w:val="000000"/>
          <w:sz w:val="28"/>
        </w:rPr>
        <w:t>ITEM 2.    UNREGISTERED SALES OF EQUITY SECURITIES AND USE OF PROCEEDS</w:t>
      </w:r>
    </w:p>
    <w:p>
      <w:pPr>
        <w:pStyle w:val="TextBody"/>
        <w:spacing w:lineRule="auto" w:line="288" w:before="120" w:after="283"/>
        <w:rPr>
          <w:rFonts w:ascii="Franklin Gothic Medium;sans-serif" w:hAnsi="Franklin Gothic Medium;sans-serif"/>
          <w:b w:val="false"/>
          <w:color w:val="0070C0"/>
          <w:sz w:val="24"/>
        </w:rPr>
      </w:pPr>
      <w:r>
        <w:rPr>
          <w:rFonts w:ascii="Franklin Gothic Medium;sans-serif" w:hAnsi="Franklin Gothic Medium;sans-serif"/>
          <w:b w:val="false"/>
          <w:color w:val="0070C0"/>
          <w:sz w:val="24"/>
        </w:rPr>
        <w:t>ISSUER PURCHASES OF EQUITY SECURITIES</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summarizes our common stock repurchase activity under our 2020 Share Repurchase Program during the first quarter of 2023:</w:t>
      </w:r>
    </w:p>
    <w:tbl>
      <w:tblPr>
        <w:tblW w:w="10205" w:type="dxa"/>
        <w:jc w:val="left"/>
        <w:tblInd w:w="0" w:type="dxa"/>
        <w:tblCellMar>
          <w:top w:w="28" w:type="dxa"/>
          <w:left w:w="28" w:type="dxa"/>
          <w:bottom w:w="28" w:type="dxa"/>
          <w:right w:w="28" w:type="dxa"/>
        </w:tblCellMar>
      </w:tblPr>
      <w:tblGrid>
        <w:gridCol w:w="437"/>
        <w:gridCol w:w="325"/>
        <w:gridCol w:w="329"/>
        <w:gridCol w:w="109"/>
        <w:gridCol w:w="109"/>
        <w:gridCol w:w="109"/>
        <w:gridCol w:w="590"/>
        <w:gridCol w:w="590"/>
        <w:gridCol w:w="591"/>
        <w:gridCol w:w="109"/>
        <w:gridCol w:w="109"/>
        <w:gridCol w:w="109"/>
        <w:gridCol w:w="423"/>
        <w:gridCol w:w="814"/>
        <w:gridCol w:w="219"/>
        <w:gridCol w:w="109"/>
        <w:gridCol w:w="109"/>
        <w:gridCol w:w="109"/>
        <w:gridCol w:w="649"/>
        <w:gridCol w:w="649"/>
        <w:gridCol w:w="650"/>
        <w:gridCol w:w="109"/>
        <w:gridCol w:w="109"/>
        <w:gridCol w:w="109"/>
        <w:gridCol w:w="490"/>
        <w:gridCol w:w="1779"/>
        <w:gridCol w:w="362"/>
      </w:tblGrid>
      <w:tr>
        <w:trPr/>
        <w:tc>
          <w:tcPr>
            <w:tcW w:w="43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 Number of</w:t>
              <w:br/>
              <w:t>Shares Purchased</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Average Price</w:t>
              <w:br/>
              <w:t>Paid per Share</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Total Number of</w:t>
              <w:br/>
              <w:t>Shares Purchased</w:t>
              <w:br/>
              <w:t>as Part of Publicly</w:t>
              <w:br/>
              <w:t>Announced Programs</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Approximate Dollar Value</w:t>
              <w:br/>
              <w:t>of Shares That May Yet Be Purchased Under</w:t>
              <w:br/>
              <w:t>Our Programs</w:t>
              <w:br/>
              <w:t>($ in millions)</w:t>
            </w:r>
          </w:p>
        </w:tc>
      </w:tr>
      <w:tr>
        <w:trPr/>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January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59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65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77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6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February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5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6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77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6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March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5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shd w:fill="DBDBDB" w:val="clear"/>
            <w:tcMar>
              <w:top w:w="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26DCE"/>
              </w:rPr>
            </w:pPr>
            <w:r>
              <w:rPr>
                <w:color w:val="026DCE"/>
              </w:rPr>
              <w:t>— </w:t>
            </w:r>
          </w:p>
        </w:tc>
        <w:tc>
          <w:tcPr>
            <w:tcW w:w="65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1779"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Franklin Gothic Book;sans-serif" w:hAnsi="Franklin Gothic Book;sans-serif"/>
                <w:b w:val="false"/>
                <w:color w:val="026DCE"/>
                <w:sz w:val="16"/>
              </w:rPr>
            </w:pPr>
            <w:r>
              <w:rPr>
                <w:rFonts w:ascii="Franklin Gothic Book;sans-serif" w:hAnsi="Franklin Gothic Book;sans-serif"/>
                <w:b w:val="false"/>
                <w:color w:val="026DCE"/>
                <w:sz w:val="16"/>
              </w:rPr>
              <w:t>2,050.0 </w:t>
            </w:r>
          </w:p>
        </w:tc>
        <w:tc>
          <w:tcPr>
            <w:tcW w:w="36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Total</w:t>
            </w:r>
            <w:r>
              <w:rPr>
                <w:rFonts w:ascii="Franklin Gothic Book;sans-serif" w:hAnsi="Franklin Gothic Book;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26DCE"/>
              </w:rPr>
            </w:pPr>
            <w:r>
              <w:rPr>
                <w:color w:val="026DCE"/>
              </w:rPr>
              <w:t>— </w:t>
            </w:r>
          </w:p>
        </w:tc>
        <w:tc>
          <w:tcPr>
            <w:tcW w:w="5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Franklin Gothic Book;sans-serif" w:hAnsi="Franklin Gothic Book;sans-serif"/>
                <w:b w:val="false"/>
                <w:color w:val="026DCE"/>
                <w:sz w:val="16"/>
              </w:rPr>
            </w:pPr>
            <w:r>
              <w:rPr>
                <w:rFonts w:ascii="Franklin Gothic Book;sans-serif" w:hAnsi="Franklin Gothic Book;sans-serif"/>
                <w:b w:val="false"/>
                <w:color w:val="026DCE"/>
                <w:sz w:val="16"/>
              </w:rPr>
              <w:t>$</w:t>
            </w:r>
          </w:p>
        </w:tc>
        <w:tc>
          <w:tcPr>
            <w:tcW w:w="8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26DCE"/>
              </w:rPr>
            </w:pPr>
            <w:r>
              <w:rPr>
                <w:color w:val="026DCE"/>
              </w:rPr>
              <w:t>— </w:t>
            </w:r>
          </w:p>
        </w:tc>
        <w:tc>
          <w:tcPr>
            <w:tcW w:w="2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There were no share repurchases during the first quarter of 2023.</w:t>
      </w:r>
    </w:p>
    <w:p>
      <w:pPr>
        <w:pStyle w:val="TextBody"/>
        <w:spacing w:lineRule="auto" w:line="288" w:before="12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There were no share repurchases of our common stock during the three months ended March 31, 2023 and 2022. Approximately $2.1 billion remained available under our 2020 Share Repurchase Program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88" name="Frame79"/>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79</w:t>
                      </w:r>
                    </w:p>
                  </w:txbxContent>
                </v:textbox>
              </v:rect>
            </w:pict>
          </mc:Fallback>
        </mc:AlternateContent>
      </w:r>
    </w:p>
    <w:p>
      <w:pPr>
        <w:pStyle w:val="TextBody"/>
        <w:spacing w:before="0" w:after="0"/>
        <w:rPr/>
      </w:pPr>
      <w:r>
        <w:rPr/>
      </w:r>
    </w:p>
    <w:p>
      <w:pPr>
        <w:pStyle w:val="TextBody"/>
        <w:spacing w:lineRule="auto" w:line="288" w:before="280" w:after="283"/>
        <w:rPr>
          <w:rFonts w:ascii="Franklin Gothic Medium;sans-serif" w:hAnsi="Franklin Gothic Medium;sans-serif"/>
          <w:b/>
          <w:color w:val="000000"/>
          <w:sz w:val="28"/>
        </w:rPr>
      </w:pPr>
      <w:r>
        <w:rPr>
          <w:rFonts w:ascii="Franklin Gothic Medium;sans-serif" w:hAnsi="Franklin Gothic Medium;sans-serif"/>
          <w:b/>
          <w:color w:val="000000"/>
          <w:sz w:val="28"/>
        </w:rPr>
        <w:t>ITEM 6.    EXHIBITS</w:t>
      </w:r>
    </w:p>
    <w:p>
      <w:pPr>
        <w:pStyle w:val="TextBody"/>
        <w:spacing w:lineRule="auto" w:line="288" w:before="10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The exhibits listed below are filed or furnished as part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Franklin Gothic Medium;sans-serif" w:hAnsi="Franklin Gothic Medium;sans-serif"/>
          <w:b w:val="false"/>
          <w:color w:val="0070C0"/>
          <w:sz w:val="28"/>
        </w:rPr>
      </w:pPr>
      <w:r>
        <w:rPr>
          <w:rFonts w:ascii="Franklin Gothic Medium;sans-serif" w:hAnsi="Franklin Gothic Medium;sans-serif"/>
          <w:b w:val="false"/>
          <w:color w:val="0070C0"/>
          <w:sz w:val="28"/>
        </w:rPr>
        <w:t>EXHIBIT INDEX </w:t>
      </w:r>
    </w:p>
    <w:tbl>
      <w:tblPr>
        <w:tblW w:w="10205" w:type="dxa"/>
        <w:jc w:val="center"/>
        <w:tblInd w:w="0" w:type="dxa"/>
        <w:tblCellMar>
          <w:top w:w="28" w:type="dxa"/>
          <w:left w:w="28" w:type="dxa"/>
          <w:bottom w:w="28" w:type="dxa"/>
          <w:right w:w="28" w:type="dxa"/>
        </w:tblCellMar>
      </w:tblPr>
      <w:tblGrid>
        <w:gridCol w:w="342"/>
        <w:gridCol w:w="301"/>
        <w:gridCol w:w="303"/>
        <w:gridCol w:w="109"/>
        <w:gridCol w:w="109"/>
        <w:gridCol w:w="109"/>
        <w:gridCol w:w="2844"/>
        <w:gridCol w:w="2522"/>
        <w:gridCol w:w="3566"/>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4"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3566"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color w:val="000000"/>
                <w:sz w:val="18"/>
              </w:rPr>
            </w:pPr>
            <w:r>
              <w:rPr>
                <w:rFonts w:ascii="Franklin Gothic Book;sans-serif" w:hAnsi="Franklin Gothic Book;sans-serif"/>
                <w:b/>
                <w:color w:val="000000"/>
                <w:sz w:val="18"/>
              </w:rPr>
              <w:t>Exhibit</w:t>
            </w:r>
          </w:p>
          <w:p>
            <w:pPr>
              <w:pStyle w:val="TableContents"/>
              <w:spacing w:lineRule="auto" w:line="240" w:before="0" w:after="0"/>
              <w:jc w:val="left"/>
              <w:rPr>
                <w:rFonts w:ascii="Franklin Gothic Book;sans-serif" w:hAnsi="Franklin Gothic Book;sans-serif"/>
                <w:b/>
                <w:color w:val="000000"/>
                <w:sz w:val="18"/>
                <w:u w:val="single"/>
              </w:rPr>
            </w:pPr>
            <w:r>
              <w:rPr>
                <w:rFonts w:ascii="Franklin Gothic Book;sans-serif" w:hAnsi="Franklin Gothic Book;sans-serif"/>
                <w:b/>
                <w:color w:val="000000"/>
                <w:sz w:val="18"/>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color w:val="000000"/>
                <w:sz w:val="18"/>
                <w:u w:val="single"/>
              </w:rPr>
            </w:pPr>
            <w:r>
              <w:rPr>
                <w:rFonts w:ascii="Franklin Gothic Book;sans-serif" w:hAnsi="Franklin Gothic Book;sans-serif"/>
                <w:b/>
                <w:color w:val="000000"/>
                <w:sz w:val="18"/>
                <w:u w:val="single"/>
              </w:rPr>
              <w:t>Description of Exhibit</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Franklin Gothic Book;sans-serif" w:hAnsi="Franklin Gothic Book;sans-serif"/>
                  <w:b w:val="false"/>
                  <w:color w:val="0000FF"/>
                  <w:sz w:val="20"/>
                  <w:u w:val="single"/>
                </w:rPr>
                <w:t>Fourth Amended and Restated Bylaws of Biogen Inc. Filed as Exhibit 3.1 to our Current Report on Form 8-K on April 18, 2023.</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2-ggregoryofferle.htm">
              <w:r>
                <w:rPr>
                  <w:rStyle w:val="InternetLink"/>
                  <w:rFonts w:ascii="Franklin Gothic Book;sans-serif" w:hAnsi="Franklin Gothic Book;sans-serif"/>
                  <w:b w:val="false"/>
                  <w:color w:val="0000FF"/>
                  <w:sz w:val="20"/>
                  <w:u w:val="single"/>
                </w:rPr>
                <w:t>Letter regarding employment arrangement of Ginger Gregory dated June 9, 2017.</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3-nmurphyofferlet.htm">
              <w:r>
                <w:rPr>
                  <w:rStyle w:val="InternetLink"/>
                  <w:rFonts w:ascii="Franklin Gothic Book;sans-serif" w:hAnsi="Franklin Gothic Book;sans-serif"/>
                  <w:b w:val="false"/>
                  <w:color w:val="0000FF"/>
                  <w:sz w:val="20"/>
                  <w:u w:val="single"/>
                </w:rPr>
                <w:t>Letter regarding employment arrangement of Nicole Murphy dated January 28, 2022.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iib-2023331xex311.htm">
              <w:r>
                <w:rPr>
                  <w:rStyle w:val="InternetLink"/>
                  <w:rFonts w:ascii="Franklin Gothic Book;sans-serif" w:hAnsi="Franklin Gothic Book;sans-serif"/>
                  <w:b w:val="false"/>
                  <w:color w:val="0000FF"/>
                  <w:sz w:val="20"/>
                  <w:u w:val="single"/>
                </w:rPr>
                <w:t>Certification of the Chief Executive Officer Pursuant to Section 302 of the Sarbanes-Oxley Act of 2002.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iib-2023331xex312.htm">
              <w:r>
                <w:rPr>
                  <w:rStyle w:val="InternetLink"/>
                  <w:rFonts w:ascii="Franklin Gothic Book;sans-serif" w:hAnsi="Franklin Gothic Book;sans-serif"/>
                  <w:b w:val="false"/>
                  <w:color w:val="0000FF"/>
                  <w:sz w:val="20"/>
                  <w:u w:val="single"/>
                </w:rPr>
                <w:t>Certification of the Chief Financial Officer Pursuant to Section 302 of the Sarbanes-Oxley Act of 2002.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iib-2023331xex321.htm">
              <w:r>
                <w:rPr>
                  <w:rStyle w:val="InternetLink"/>
                  <w:rFonts w:ascii="Franklin Gothic Book;sans-serif" w:hAnsi="Franklin Gothic Book;sans-serif"/>
                  <w:b w:val="false"/>
                  <w:color w:val="0000FF"/>
                  <w:sz w:val="20"/>
                  <w:u w:val="single"/>
                </w:rPr>
                <w:t>Certification Pursuant to Section 906 of the Sarbanes-Oxley Act of 2002.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materials from Biogen Inc.’s Quarterly Report on Form 10-Q for the quarter ended March 31, 2023, formatted in iXBRL (Inline Extensible Business Reporting Language): (i) the Condensed Consolidated Statements of Income, (ii) the Condensed Consolidated Statements of Comprehensive Income, (iii) the Condensed Consolidated Balance Sheets, (iv) the Condensed Consolidated Statements of Cash Flow, (v) the Condensed Consolidated Statements of Equity and (vi) Notes to Condensed Consolidated Financial Statements.</w:t>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 cover page from this Quarterly Report on Form 10-Q for the quarter ended March 31, 2023, formatted in Inline XBRL.</w:t>
            </w:r>
          </w:p>
        </w:tc>
      </w:tr>
    </w:tbl>
    <w:p>
      <w:pPr>
        <w:pStyle w:val="TextBody"/>
        <w:spacing w:before="0" w:after="0"/>
        <w:rPr/>
      </w:pPr>
      <w:r>
        <w:rPr/>
      </w:r>
    </w:p>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    Management contract or compensatory plan or arrangement.</w:t>
      </w:r>
    </w:p>
    <w:p>
      <w:pPr>
        <w:pStyle w:val="TextBody"/>
        <w:spacing w:before="0" w:after="0"/>
        <w:rPr/>
      </w:pPr>
      <w:r>
        <w:rPr/>
      </w:r>
    </w:p>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    Filed herewith </w:t>
      </w:r>
    </w:p>
    <w:p>
      <w:pPr>
        <w:pStyle w:val="TextBody"/>
        <w:spacing w:before="0" w:after="0"/>
        <w:rPr/>
      </w:pPr>
      <w:r>
        <w:rPr/>
      </w:r>
    </w:p>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89" name="Frame80"/>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Franklin Gothic Book;sans-serif" w:hAnsi="Franklin Gothic Book;sans-serif"/>
                          <w:b w:val="false"/>
                          <w:color w:val="000000"/>
                          <w:sz w:val="20"/>
                        </w:rPr>
                      </w:pPr>
                      <w:r>
                        <w:rPr>
                          <w:rFonts w:ascii="Franklin Gothic Book;sans-serif" w:hAnsi="Franklin Gothic Book;sans-serif"/>
                          <w:b w:val="false"/>
                          <w:color w:val="000000"/>
                          <w:sz w:val="20"/>
                        </w:rPr>
                        <w:t>80</w:t>
                      </w:r>
                    </w:p>
                  </w:txbxContent>
                </v:textbox>
              </v:rect>
            </w:pict>
          </mc:Fallback>
        </mc:AlternateContent>
      </w:r>
    </w:p>
    <w:p>
      <w:pPr>
        <w:pStyle w:val="TextBody"/>
        <w:spacing w:lineRule="auto" w:line="288" w:before="0" w:after="0"/>
        <w:rPr/>
      </w:pPr>
      <w:hyperlink w:anchor="i8bcb7f8074f1462595a9f97441f9f8b3_7">
        <w:r>
          <w:rPr>
            <w:rStyle w:val="InternetLink"/>
            <w:rFonts w:ascii="Franklin Gothic Book;sans-serif" w:hAnsi="Franklin Gothic Book;sans-serif"/>
            <w:b/>
            <w:color w:val="0000FF"/>
            <w:sz w:val="16"/>
            <w:u w:val="single"/>
          </w:rPr>
          <w:t>Table of Contents</w:t>
        </w:r>
      </w:hyperlink>
    </w:p>
    <w:p>
      <w:pPr>
        <w:pStyle w:val="TextBody"/>
        <w:spacing w:lineRule="auto" w:line="288" w:before="280" w:after="283"/>
        <w:jc w:val="center"/>
        <w:rPr>
          <w:rFonts w:ascii="Franklin Gothic Book;sans-serif" w:hAnsi="Franklin Gothic Book;sans-serif"/>
          <w:b/>
          <w:color w:val="1C5A7D"/>
          <w:sz w:val="24"/>
        </w:rPr>
      </w:pPr>
      <w:r>
        <w:rPr>
          <w:rFonts w:ascii="Franklin Gothic Book;sans-serif" w:hAnsi="Franklin Gothic Book;sans-serif"/>
          <w:b/>
          <w:color w:val="1C5A7D"/>
          <w:sz w:val="24"/>
        </w:rPr>
        <w:t>SIGNATURES</w:t>
      </w:r>
    </w:p>
    <w:p>
      <w:pPr>
        <w:pStyle w:val="TextBody"/>
        <w:spacing w:lineRule="auto" w:line="288" w:before="18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the requirements of the Securities Exchange Act of 1934, the registrant has duly caused this report to be signed on its behalf by the undersigned thereunto duly authorized.</w:t>
      </w:r>
    </w:p>
    <w:tbl>
      <w:tblPr>
        <w:tblW w:w="2714" w:type="dxa"/>
        <w:jc w:val="left"/>
        <w:tblInd w:w="0" w:type="dxa"/>
        <w:tblCellMar>
          <w:top w:w="28" w:type="dxa"/>
          <w:left w:w="28" w:type="dxa"/>
          <w:bottom w:w="28" w:type="dxa"/>
          <w:right w:w="28" w:type="dxa"/>
        </w:tblCellMar>
      </w:tblPr>
      <w:tblGrid>
        <w:gridCol w:w="868"/>
        <w:gridCol w:w="763"/>
        <w:gridCol w:w="1083"/>
      </w:tblGrid>
      <w:tr>
        <w:trPr/>
        <w:tc>
          <w:tcPr>
            <w:tcW w:w="86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INC.</w:t>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    Michael R. McDonnell</w:t>
            </w:r>
          </w:p>
        </w:tc>
      </w:tr>
      <w:tr>
        <w:trPr/>
        <w:tc>
          <w:tcPr>
            <w:tcW w:w="27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Michael R. McDonnell</w:t>
            </w:r>
          </w:p>
        </w:tc>
      </w:tr>
      <w:tr>
        <w:trPr/>
        <w:tc>
          <w:tcPr>
            <w:tcW w:w="2714" w:type="dxa"/>
            <w:gridSpan w:val="3"/>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financial officer)</w:t>
            </w:r>
          </w:p>
        </w:tc>
      </w:tr>
    </w:tbl>
    <w:p>
      <w:pPr>
        <w:pStyle w:val="TextBody"/>
        <w:spacing w:lineRule="auto" w:line="288" w:before="80" w:after="283"/>
        <w:ind w:left="0" w:right="0" w:hanging="270"/>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April 25, 2023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w:t>
      </w:r>
      <w:r>
        <w:rPr>
          <w:rFonts w:ascii="Arial;sans-serif" w:hAnsi="Arial;sans-serif"/>
          <w:b/>
          <w:color w:val="000000"/>
          <w:sz w:val="22"/>
        </w:rPr>
        <w:t>xhibit 10.2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90" name="Frame81"/>
                <a:graphic xmlns:a="http://schemas.openxmlformats.org/drawingml/2006/main">
                  <a:graphicData uri="http://schemas.microsoft.com/office/word/2010/wordprocessingShape">
                    <wps:wsp>
                      <wps:cNvSpPr txBox="1"/>
                      <wps:spPr>
                        <a:xfrm>
                          <a:off x="0" y="0"/>
                          <a:ext cx="6480175" cy="147955"/>
                        </a:xfrm>
                        <a:prstGeom prst="rect"/>
                      </wps:spPr>
                      <wps:txb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xbxContent>
                </v:textbox>
              </v:rect>
            </w:pict>
          </mc:Fallback>
        </mc:AlternateContent>
      </w:r>
    </w:p>
    <w:p>
      <w:pPr>
        <w:pStyle w:val="TextBody"/>
        <w:spacing w:before="10" w:after="283"/>
        <w:rPr/>
      </w:pPr>
      <w:r>
        <w:rPr/>
      </w:r>
    </w:p>
    <w:p>
      <w:pPr>
        <w:pStyle w:val="TextBody"/>
        <w:spacing w:lineRule="auto" w:line="240" w:before="86" w:after="283"/>
        <w:rPr>
          <w:rFonts w:ascii="Arial;sans-serif" w:hAnsi="Arial;sans-serif"/>
          <w:b w:val="false"/>
          <w:color w:val="72746D"/>
          <w:sz w:val="20"/>
        </w:rPr>
      </w:pPr>
      <w:r>
        <w:rPr>
          <w:rFonts w:ascii="Arial;sans-serif" w:hAnsi="Arial;sans-serif"/>
          <w:b w:val="false"/>
          <w:color w:val="72746D"/>
          <w:sz w:val="20"/>
        </w:rPr>
        <w:t>CERTAIN INFORMATION CONTAINED IN THIS DOCUMENT, MARKED BY [***], HAS BEEN OMITTED BECAUSE IT IS BOTH NOT MATERIAL AND IS THE TYPE THAT BIOGEN INC. TREATS AS PRIVATE OR CONFIDENTIAL.</w:t>
      </w:r>
    </w:p>
    <w:p>
      <w:pPr>
        <w:pStyle w:val="TextBody"/>
        <w:spacing w:before="86" w:after="283"/>
        <w:rPr/>
      </w:pPr>
      <w:r>
        <w:rPr/>
      </w:r>
    </w:p>
    <w:p>
      <w:pPr>
        <w:pStyle w:val="TextBody"/>
        <w:spacing w:before="86" w:after="283"/>
        <w:rPr/>
      </w:pPr>
      <w:r>
        <w:rPr/>
        <w:drawing>
          <wp:inline distT="0" distB="63500" distL="0" distR="0">
            <wp:extent cx="1123950" cy="371475"/>
            <wp:effectExtent l="0" t="0" r="0" b="0"/>
            <wp:docPr id="9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0" descr=""/>
                    <pic:cNvPicPr>
                      <a:picLocks noChangeAspect="1" noChangeArrowheads="1"/>
                    </pic:cNvPicPr>
                  </pic:nvPicPr>
                  <pic:blipFill>
                    <a:blip r:embed="rId12"/>
                    <a:stretch>
                      <a:fillRect/>
                    </a:stretch>
                  </pic:blipFill>
                  <pic:spPr bwMode="auto">
                    <a:xfrm>
                      <a:off x="0" y="0"/>
                      <a:ext cx="1123950" cy="371475"/>
                    </a:xfrm>
                    <a:prstGeom prst="rect">
                      <a:avLst/>
                    </a:prstGeom>
                  </pic:spPr>
                </pic:pic>
              </a:graphicData>
            </a:graphic>
          </wp:inline>
        </w:drawing>
      </w:r>
    </w:p>
    <w:p>
      <w:pPr>
        <w:pStyle w:val="TextBody"/>
        <w:spacing w:before="1" w:after="283"/>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June 9, 2017</w:t>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Ginger Gregory</w:t>
      </w:r>
    </w:p>
    <w:p>
      <w:pPr>
        <w:pStyle w:val="TextBody"/>
        <w:spacing w:lineRule="auto" w:line="259" w:before="0" w:after="0"/>
        <w:rPr>
          <w:rFonts w:ascii="Arial;sans-serif" w:hAnsi="Arial;sans-serif"/>
          <w:b w:val="false"/>
          <w:color w:val="000000"/>
          <w:sz w:val="18"/>
        </w:rPr>
      </w:pPr>
      <w:r>
        <w:rPr>
          <w:rFonts w:ascii="Arial;sans-serif" w:hAnsi="Arial;sans-serif"/>
          <w:b w:val="false"/>
          <w:color w:val="000000"/>
          <w:sz w:val="18"/>
        </w:rPr>
        <w:t>[***]</w:t>
      </w:r>
    </w:p>
    <w:p>
      <w:pPr>
        <w:pStyle w:val="TextBody"/>
        <w:spacing w:before="0" w:after="0"/>
        <w:rPr/>
      </w:pPr>
      <w:r>
        <w:rPr/>
      </w:r>
    </w:p>
    <w:p>
      <w:pPr>
        <w:pStyle w:val="TextBody"/>
        <w:spacing w:before="2" w:after="283"/>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Dear Ginger,</w:t>
      </w:r>
    </w:p>
    <w:p>
      <w:pPr>
        <w:pStyle w:val="TextBody"/>
        <w:spacing w:before="0" w:after="0"/>
        <w:rPr/>
      </w:pPr>
      <w:r>
        <w:rPr/>
      </w:r>
    </w:p>
    <w:p>
      <w:pPr>
        <w:pStyle w:val="TextBody"/>
        <w:spacing w:lineRule="auto" w:line="333" w:before="0" w:after="0"/>
        <w:ind w:left="0" w:right="0" w:firstLine="22"/>
        <w:rPr>
          <w:rFonts w:ascii="Arial;sans-serif" w:hAnsi="Arial;sans-serif"/>
          <w:b w:val="false"/>
          <w:color w:val="000000"/>
          <w:sz w:val="18"/>
        </w:rPr>
      </w:pPr>
      <w:r>
        <w:rPr>
          <w:rFonts w:ascii="Arial;sans-serif" w:hAnsi="Arial;sans-serif"/>
          <w:b w:val="false"/>
          <w:color w:val="000000"/>
          <w:sz w:val="18"/>
        </w:rPr>
        <w:t>I am pleased to extend you this offer of employment to join Biogen with the job title of EVP, Chief Human Resources Officer. This position will report to Michel Vounatsos, Chief Executive Officer. Please note that neither this letter nor any other materials constitute a contract of employment with Biogen. Your employment at Biogen is employment at-will. This means that just as you are free to leave your employment at any time, with or without cause or notice, Biogen also has the same right to terminate your employment at any time, with or without cause or notice. The specific terms of our offer are listed below; please take the time to review the offer, sign and return to me by June 12, 2017.</w:t>
      </w:r>
    </w:p>
    <w:p>
      <w:pPr>
        <w:pStyle w:val="TextBody"/>
        <w:spacing w:before="4" w:after="283"/>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The position will be based at our Cambridge, MA facility.</w:t>
      </w:r>
    </w:p>
    <w:p>
      <w:pPr>
        <w:pStyle w:val="TextBody"/>
        <w:spacing w:before="11" w:after="283"/>
        <w:rPr/>
      </w:pPr>
      <w:r>
        <w:rPr/>
      </w:r>
    </w:p>
    <w:p>
      <w:pPr>
        <w:pStyle w:val="TextBody"/>
        <w:spacing w:lineRule="auto" w:line="324" w:before="0" w:after="0"/>
        <w:ind w:left="0" w:right="0" w:firstLine="9"/>
        <w:rPr/>
      </w:pPr>
      <w:r>
        <w:rPr>
          <w:rFonts w:ascii="Arial;sans-serif" w:hAnsi="Arial;sans-serif"/>
          <w:b/>
          <w:color w:val="000000"/>
          <w:sz w:val="18"/>
        </w:rPr>
        <w:t>Salary:</w:t>
      </w:r>
      <w:r>
        <w:rPr>
          <w:color w:val="000000"/>
        </w:rPr>
        <w:t xml:space="preserve"> </w:t>
      </w:r>
      <w:r>
        <w:rPr>
          <w:rFonts w:ascii="Arial;sans-serif" w:hAnsi="Arial;sans-serif"/>
          <w:b w:val="false"/>
          <w:color w:val="000000"/>
          <w:sz w:val="18"/>
        </w:rPr>
        <w:t>This is a full-time, exempt position and your starting bi-weekly salary will be $19,230.77, which is equivalent to an annual salary of $500,000 and which will be paid in accordance with our standard payroll policies.</w:t>
      </w:r>
    </w:p>
    <w:p>
      <w:pPr>
        <w:pStyle w:val="TextBody"/>
        <w:spacing w:before="10" w:after="283"/>
        <w:rPr/>
      </w:pPr>
      <w:r>
        <w:rPr/>
      </w:r>
    </w:p>
    <w:p>
      <w:pPr>
        <w:pStyle w:val="TextBody"/>
        <w:spacing w:lineRule="auto" w:line="321" w:before="0" w:after="0"/>
        <w:ind w:left="0" w:right="0" w:firstLine="6"/>
        <w:rPr/>
      </w:pPr>
      <w:r>
        <w:rPr>
          <w:rFonts w:ascii="Arial;sans-serif" w:hAnsi="Arial;sans-serif"/>
          <w:b/>
          <w:color w:val="000000"/>
          <w:sz w:val="18"/>
        </w:rPr>
        <w:t>Annual Bonus Plan:</w:t>
      </w:r>
      <w:r>
        <w:rPr>
          <w:color w:val="000000"/>
        </w:rPr>
        <w:t xml:space="preserve"> </w:t>
      </w:r>
      <w:r>
        <w:rPr>
          <w:rFonts w:ascii="Arial;sans-serif" w:hAnsi="Arial;sans-serif"/>
          <w:b w:val="false"/>
          <w:color w:val="000000"/>
          <w:sz w:val="18"/>
        </w:rPr>
        <w:t>You will be eligible to participate in the Biogen Annual Bonus Plan, with a target bonus opportunity of 70% of your annual base salary. Based upon your start date, your target bonus amount may be pro-rated. Eligibility details and other terms of the Plan are included in the current year's Plan document, which will be made available upon your employment with the Company.</w:t>
      </w:r>
    </w:p>
    <w:p>
      <w:pPr>
        <w:pStyle w:val="TextBody"/>
        <w:spacing w:before="5" w:after="283"/>
        <w:rPr/>
      </w:pPr>
      <w:r>
        <w:rPr/>
      </w:r>
    </w:p>
    <w:p>
      <w:pPr>
        <w:pStyle w:val="TextBody"/>
        <w:spacing w:lineRule="auto" w:line="333" w:before="0" w:after="0"/>
        <w:ind w:left="0" w:right="0" w:firstLine="1"/>
        <w:rPr/>
      </w:pPr>
      <w:r>
        <w:rPr>
          <w:rFonts w:ascii="Arial;sans-serif" w:hAnsi="Arial;sans-serif"/>
          <w:b/>
          <w:color w:val="000000"/>
          <w:sz w:val="18"/>
        </w:rPr>
        <w:t>Long-Term Incentive (LTl) Plan:</w:t>
      </w:r>
      <w:r>
        <w:rPr>
          <w:color w:val="000000"/>
        </w:rPr>
        <w:t xml:space="preserve"> </w:t>
      </w:r>
      <w:r>
        <w:rPr>
          <w:rFonts w:ascii="Arial;sans-serif" w:hAnsi="Arial;sans-serif"/>
          <w:b w:val="false"/>
          <w:color w:val="000000"/>
          <w:sz w:val="18"/>
        </w:rPr>
        <w:t>You will be granted Restricted Stock Performance Units (RSU) in connection with the commencement of your employment. The approximate grant date value of your RSU award will be $250,000. The number of RSU shares granted to you will be calculated by dividing the approximate grant date value by the closing price of Biogen stock (NASDAQ) on the date of grant, with the resulting number of shares rounded to the nearest five shares. You will also be granted Market Stock Units (MSU) in connection with the commencement of your employment. The approximate grant date value of your MSU award will be $250,000. The number of MSU shares granted to you will be calculated by dividing the approximate grant date value by the closing price of Biogen stock (NASDAQ) and the MSU accounting valuation factor effective at the time of grant, with the resulting number of shares rounded to the nearest five shares. Your RSU and MSU awards will be granted on the first trading day of the month following your start date.</w:t>
      </w:r>
    </w:p>
    <w:p>
      <w:pPr>
        <w:pStyle w:val="TextBody"/>
        <w:spacing w:before="6" w:after="283"/>
        <w:rPr/>
      </w:pPr>
      <w:r>
        <w:rPr/>
      </w:r>
    </w:p>
    <w:p>
      <w:pPr>
        <w:pStyle w:val="TextBody"/>
        <w:spacing w:lineRule="auto" w:line="338" w:before="0" w:after="0"/>
        <w:ind w:left="0" w:right="0" w:firstLine="3"/>
        <w:rPr>
          <w:rFonts w:ascii="Arial;sans-serif" w:hAnsi="Arial;sans-serif"/>
          <w:b w:val="false"/>
          <w:color w:val="000000"/>
          <w:sz w:val="18"/>
        </w:rPr>
      </w:pPr>
      <w:r>
        <w:rPr>
          <w:rFonts w:ascii="Arial;sans-serif" w:hAnsi="Arial;sans-serif"/>
          <w:b w:val="false"/>
          <w:color w:val="000000"/>
          <w:sz w:val="18"/>
        </w:rPr>
        <w:t>The actual terms of your RSU and MSU awards will be communicated to you following the grant date. Your grants will be awarded under the Biogen Inc. 2017 Omnibus Equity Plan (the "Plan")_You are considered a "designated employee," as defined in the Plan. The Plan and the Plan Prospectus will be available to you on Biogen's benefits website at https://biibhrconnect.force.com/benefits/Bioqenlogin. Please read these documents for information about your LTl grants.</w:t>
      </w:r>
    </w:p>
    <w:p>
      <w:pPr>
        <w:pStyle w:val="TextBody"/>
        <w:spacing w:lineRule="auto" w:line="314" w:before="157" w:after="283"/>
        <w:ind w:left="0" w:right="0" w:firstLine="7"/>
        <w:rPr>
          <w:rFonts w:ascii="Arial;sans-serif" w:hAnsi="Arial;sans-serif"/>
          <w:b w:val="false"/>
          <w:color w:val="000000"/>
          <w:sz w:val="18"/>
        </w:rPr>
      </w:pPr>
      <w:r>
        <w:rPr>
          <w:rFonts w:ascii="Arial;sans-serif" w:hAnsi="Arial;sans-serif"/>
          <w:b w:val="false"/>
          <w:color w:val="000000"/>
          <w:sz w:val="18"/>
        </w:rPr>
        <w:t>Each year, typically in February, you will be eligible to receive an annual LTl award which will be based on the planning range in effect at the time of grant. Actual LTl award amounts and delivery vehicles will be determined</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2"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4" w:before="157" w:after="283"/>
        <w:ind w:left="0" w:right="0" w:firstLine="7"/>
        <w:rPr>
          <w:rFonts w:ascii="Arial;sans-serif" w:hAnsi="Arial;sans-serif"/>
          <w:b w:val="false"/>
          <w:color w:val="000000"/>
          <w:sz w:val="18"/>
        </w:rPr>
      </w:pPr>
      <w:r>
        <w:rPr>
          <w:rFonts w:ascii="Arial;sans-serif" w:hAnsi="Arial;sans-serif"/>
          <w:b w:val="false"/>
          <w:color w:val="000000"/>
          <w:sz w:val="18"/>
        </w:rPr>
        <w:t>solely by the Compensation and Management Development Committee of the Board of Directors (CMDC) and, with respect to award amounts, will be based upon performance, future contribution expectations and other considerations at the discretion of the CMDC.</w:t>
      </w:r>
    </w:p>
    <w:p>
      <w:pPr>
        <w:pStyle w:val="TextBody"/>
        <w:spacing w:lineRule="auto" w:line="295" w:before="172" w:after="283"/>
        <w:ind w:left="0" w:right="0" w:firstLine="9"/>
        <w:rPr/>
      </w:pPr>
      <w:r>
        <w:rPr>
          <w:rFonts w:ascii="Arial;sans-serif" w:hAnsi="Arial;sans-serif"/>
          <w:b/>
          <w:color w:val="000000"/>
          <w:sz w:val="18"/>
        </w:rPr>
        <w:t>Employee Benefits:</w:t>
      </w:r>
      <w:r>
        <w:rPr>
          <w:color w:val="000000"/>
        </w:rPr>
        <w:t xml:space="preserve"> </w:t>
      </w:r>
      <w:r>
        <w:rPr>
          <w:rFonts w:ascii="Arial;sans-serif" w:hAnsi="Arial;sans-serif"/>
          <w:b w:val="false"/>
          <w:color w:val="000000"/>
          <w:sz w:val="18"/>
        </w:rPr>
        <w:t>Biogen offers a robust and highly competitive employee benefits program. As an employee, you will be able to choose from a menu of options through our flexible benefits program. These benefits include a 401(k} savings plan; group health care, including medical, dental, prescription drug and vision coverage; life, dependent life and disability insurance; as well as flexible spending accounts for eligible medical and dependent care expenses.</w:t>
      </w:r>
    </w:p>
    <w:p>
      <w:pPr>
        <w:pStyle w:val="TextBody"/>
        <w:spacing w:before="2" w:after="283"/>
        <w:rPr/>
      </w:pPr>
      <w:r>
        <w:rPr/>
      </w:r>
    </w:p>
    <w:p>
      <w:pPr>
        <w:pStyle w:val="TextBody"/>
        <w:spacing w:lineRule="auto" w:line="300" w:before="0" w:after="0"/>
        <w:ind w:left="0" w:right="0" w:firstLine="12"/>
        <w:rPr>
          <w:rFonts w:ascii="Arial;sans-serif" w:hAnsi="Arial;sans-serif"/>
          <w:b w:val="false"/>
          <w:color w:val="000000"/>
          <w:sz w:val="18"/>
        </w:rPr>
      </w:pPr>
      <w:r>
        <w:rPr>
          <w:rFonts w:ascii="Arial;sans-serif" w:hAnsi="Arial;sans-serif"/>
          <w:b w:val="false"/>
          <w:color w:val="000000"/>
          <w:sz w:val="18"/>
        </w:rPr>
        <w:t>You are also entitled to up to 20 vacation days (160 hours) per year. Additional benefit offerings include an Employee Stock Purchase Plan (ESPP) and work/life benefits such as a concierge service and access to subsidized back-up dependent care. Please visit Biogen's benefits website at https://biibhrconnect.force.com/benefits/BiogenLogin. (user ID =[***], password= [***]) to familiarize yourself with Biogen's complete benefit plan offerings.</w:t>
      </w:r>
    </w:p>
    <w:p>
      <w:pPr>
        <w:pStyle w:val="TextBody"/>
        <w:spacing w:before="0" w:after="0"/>
        <w:rPr/>
      </w:pPr>
      <w:r>
        <w:rPr/>
      </w:r>
    </w:p>
    <w:p>
      <w:pPr>
        <w:pStyle w:val="TextBody"/>
        <w:spacing w:lineRule="auto" w:line="240" w:before="0" w:after="0"/>
        <w:rPr>
          <w:rFonts w:ascii="Arial;sans-serif" w:hAnsi="Arial;sans-serif"/>
          <w:b/>
          <w:color w:val="000000"/>
          <w:sz w:val="18"/>
        </w:rPr>
      </w:pPr>
      <w:r>
        <w:rPr>
          <w:rFonts w:ascii="Arial;sans-serif" w:hAnsi="Arial;sans-serif"/>
          <w:b/>
          <w:color w:val="000000"/>
          <w:sz w:val="18"/>
        </w:rPr>
        <w:t>Additional Executive Benefits</w:t>
      </w:r>
    </w:p>
    <w:p>
      <w:pPr>
        <w:pStyle w:val="TextBody"/>
        <w:spacing w:before="11" w:after="283"/>
        <w:rPr/>
      </w:pPr>
      <w:r>
        <w:rPr/>
      </w:r>
    </w:p>
    <w:p>
      <w:pPr>
        <w:pStyle w:val="TextBody"/>
        <w:spacing w:lineRule="auto" w:line="297" w:before="0" w:after="0"/>
        <w:ind w:left="0" w:right="0" w:firstLine="8"/>
        <w:rPr/>
      </w:pPr>
      <w:r>
        <w:rPr>
          <w:rFonts w:ascii="Arial;sans-serif" w:hAnsi="Arial;sans-serif"/>
          <w:b/>
          <w:color w:val="000000"/>
          <w:sz w:val="18"/>
        </w:rPr>
        <w:t>Supplemental Savings Plan:</w:t>
      </w:r>
      <w:r>
        <w:rPr>
          <w:color w:val="000000"/>
        </w:rPr>
        <w:t xml:space="preserve"> </w:t>
      </w:r>
      <w:r>
        <w:rPr>
          <w:rFonts w:ascii="Arial;sans-serif" w:hAnsi="Arial;sans-serif"/>
          <w:b w:val="false"/>
          <w:color w:val="000000"/>
          <w:sz w:val="18"/>
        </w:rPr>
        <w:t>You will be entitled to participate in Biogen's Supplemental Savings Plan (SSP). This plan has two features. The first allows you to make pre-tax deferrals of up to 80% of your base salary and up to 100% of your Annual Bonus payment and certain other eligible incentive payments. Your contributions to this plan may be limited by your contributions towards other plans (e.g., 401(k), ESPP, medical, etc.). The second feature is a Company contribution of 6% of certain eligible compensation such as salary and annual bonus that is above the IRS maximum compensation limit of the 401(k) plan. You will be provided with SSP enrollment information upon your employment with the Company.</w:t>
      </w:r>
    </w:p>
    <w:p>
      <w:pPr>
        <w:pStyle w:val="TextBody"/>
        <w:spacing w:lineRule="auto" w:line="309" w:before="171" w:after="283"/>
        <w:ind w:left="0" w:right="0" w:hanging="2"/>
        <w:rPr/>
      </w:pPr>
      <w:r>
        <w:rPr>
          <w:rFonts w:ascii="Arial;sans-serif" w:hAnsi="Arial;sans-serif"/>
          <w:b/>
          <w:color w:val="000000"/>
          <w:sz w:val="18"/>
        </w:rPr>
        <w:t>Life Insurance:</w:t>
      </w:r>
      <w:r>
        <w:rPr>
          <w:color w:val="000000"/>
        </w:rPr>
        <w:t xml:space="preserve"> </w:t>
      </w:r>
      <w:r>
        <w:rPr>
          <w:rFonts w:ascii="Arial;sans-serif" w:hAnsi="Arial;sans-serif"/>
          <w:b w:val="false"/>
          <w:color w:val="000000"/>
          <w:sz w:val="18"/>
        </w:rPr>
        <w:t>You will be provided life insurance coverage equal to three limes your annual base salary, subject to meeting the medical standards stated in the group term life insurance policy for U.S. employees. Biogen pays the premium for this insurance. The IRS requires employers to impute the value of company-paid life insurance for coverage over $50,000. This imputed income will be displayed on your pay stub.</w:t>
      </w:r>
    </w:p>
    <w:p>
      <w:pPr>
        <w:pStyle w:val="TextBody"/>
        <w:spacing w:lineRule="auto" w:line="300" w:before="165" w:after="283"/>
        <w:ind w:left="0" w:right="0" w:firstLine="9"/>
        <w:rPr/>
      </w:pPr>
      <w:r>
        <w:rPr>
          <w:rFonts w:ascii="Arial;sans-serif" w:hAnsi="Arial;sans-serif"/>
          <w:b/>
          <w:color w:val="000000"/>
          <w:sz w:val="18"/>
        </w:rPr>
        <w:t>Severance:</w:t>
      </w:r>
      <w:r>
        <w:rPr>
          <w:color w:val="000000"/>
        </w:rPr>
        <w:t xml:space="preserve"> </w:t>
      </w:r>
      <w:r>
        <w:rPr>
          <w:rFonts w:ascii="Arial;sans-serif" w:hAnsi="Arial;sans-serif"/>
          <w:b w:val="false"/>
          <w:color w:val="000000"/>
          <w:sz w:val="18"/>
        </w:rPr>
        <w:t>You will be entitled to severance benefits in accordance with the Severance Plan for U.S. Executive Vice Presidents effective January 1, 2014 as such plan may be amended from time to time.</w:t>
      </w:r>
    </w:p>
    <w:p>
      <w:pPr>
        <w:pStyle w:val="TextBody"/>
        <w:spacing w:lineRule="auto" w:line="280" w:before="167" w:after="283"/>
        <w:ind w:left="0" w:right="0" w:hanging="2"/>
        <w:rPr/>
      </w:pPr>
      <w:r>
        <w:rPr>
          <w:rFonts w:ascii="Arial;sans-serif" w:hAnsi="Arial;sans-serif"/>
          <w:b/>
          <w:color w:val="000000"/>
          <w:sz w:val="18"/>
        </w:rPr>
        <w:t>Tax &amp; Financial Planning and Executive Physicals:</w:t>
      </w:r>
      <w:r>
        <w:rPr>
          <w:color w:val="000000"/>
        </w:rPr>
        <w:t xml:space="preserve"> </w:t>
      </w:r>
      <w:r>
        <w:rPr>
          <w:rFonts w:ascii="Arial;sans-serif" w:hAnsi="Arial;sans-serif"/>
          <w:b w:val="false"/>
          <w:color w:val="000000"/>
          <w:sz w:val="18"/>
        </w:rPr>
        <w:t>You are eligible for annual reimbursement of expenses for qualified services such as federal and state income tax planning and/or preparation, financial and estate planning services, and the purchase of tax and/or financial planning tools.</w:t>
      </w:r>
    </w:p>
    <w:p>
      <w:pPr>
        <w:pStyle w:val="TextBody"/>
        <w:spacing w:lineRule="auto" w:line="300" w:before="20" w:after="283"/>
        <w:rPr>
          <w:rFonts w:ascii="Arial;sans-serif" w:hAnsi="Arial;sans-serif"/>
          <w:b w:val="false"/>
          <w:color w:val="000000"/>
          <w:sz w:val="18"/>
        </w:rPr>
      </w:pPr>
      <w:r>
        <w:rPr>
          <w:rFonts w:ascii="Arial;sans-serif" w:hAnsi="Arial;sans-serif"/>
          <w:b w:val="false"/>
          <w:color w:val="000000"/>
          <w:sz w:val="18"/>
        </w:rPr>
        <w:t>Additionally, the Company will reimburse you for the expenses of an annual comprehensive physical exam when coordinated by the Executive Health Services team at Mass. General Hospital (MGH). The combined annual reimbursement you are eligible to receive is $7,500 per calendar year (January 1 - December 31), subject to the guidelines of the Tax &amp; Financial Planning and Executive Physical Reimbursement Program. The details of these benefits are available upon your employment with the Company.</w:t>
      </w:r>
    </w:p>
    <w:p>
      <w:pPr>
        <w:pStyle w:val="TextBody"/>
        <w:spacing w:lineRule="auto" w:line="300" w:before="166" w:after="283"/>
        <w:ind w:left="0" w:right="0" w:firstLine="11"/>
        <w:rPr/>
      </w:pPr>
      <w:r>
        <w:rPr>
          <w:rFonts w:ascii="Arial;sans-serif" w:hAnsi="Arial;sans-serif"/>
          <w:b/>
          <w:color w:val="000000"/>
          <w:sz w:val="18"/>
        </w:rPr>
        <w:t>Stock Trading Plan:</w:t>
      </w:r>
      <w:r>
        <w:rPr>
          <w:color w:val="000000"/>
        </w:rPr>
        <w:t xml:space="preserve"> </w:t>
      </w:r>
      <w:r>
        <w:rPr>
          <w:rFonts w:ascii="Arial;sans-serif" w:hAnsi="Arial;sans-serif"/>
          <w:b w:val="false"/>
          <w:color w:val="000000"/>
          <w:sz w:val="18"/>
        </w:rPr>
        <w:t>Upon employment with the Company, you will become subject to Biogen's Global Insider Trading Policy, a copy of which will be provided to you. The Biogen Global Insider Trading Policy sets forth guidelines designed to promote compliance with applicable federal and state securities laws that prohibit persons who are aware of material nonpublic information about the company from trading in securities of the company or providing material nonpublic information to other persons who may trade on the basis of that information Upon your employment, you will be assigned, based on your job, to a specific trading group that will determine your obligations and restrictions under the policy, and you will be required to complete training on the policy.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6" w:after="283"/>
        <w:rPr/>
      </w:pPr>
      <w:r>
        <w:rPr>
          <w:rFonts w:ascii="Arial;sans-serif" w:hAnsi="Arial;sans-serif"/>
          <w:b/>
          <w:color w:val="000000"/>
          <w:sz w:val="18"/>
        </w:rPr>
        <w:t>Share Ownership Requirement:</w:t>
      </w:r>
      <w:r>
        <w:rPr>
          <w:color w:val="000000"/>
        </w:rPr>
        <w:t xml:space="preserve"> </w:t>
      </w:r>
      <w:r>
        <w:rPr>
          <w:rFonts w:ascii="Arial;sans-serif" w:hAnsi="Arial;sans-serif"/>
          <w:b w:val="false"/>
          <w:color w:val="000000"/>
          <w:sz w:val="18"/>
        </w:rPr>
        <w:t>A key objective of our long-term incentive plans is to ensure strong alignment between the interests of our senior executives and those of our stockholders. It is expected that through our annual long-term incentive grants, you will accumulate and retain Biogen shares in an amount equivalent to 3x salary through the first 5 years of employment.</w:t>
      </w:r>
    </w:p>
    <w:p>
      <w:pPr>
        <w:pStyle w:val="TextBody"/>
        <w:spacing w:before="6" w:after="283"/>
        <w:rPr/>
      </w:pPr>
      <w:r>
        <w:rPr/>
      </w:r>
    </w:p>
    <w:p>
      <w:pPr>
        <w:pStyle w:val="TextBody"/>
        <w:spacing w:lineRule="auto" w:line="240" w:before="0" w:after="0"/>
        <w:rPr>
          <w:rFonts w:ascii="Arial;sans-serif" w:hAnsi="Arial;sans-serif"/>
          <w:b/>
          <w:color w:val="000000"/>
          <w:sz w:val="18"/>
        </w:rPr>
      </w:pPr>
      <w:r>
        <w:rPr>
          <w:rFonts w:ascii="Arial;sans-serif" w:hAnsi="Arial;sans-serif"/>
          <w:b/>
          <w:color w:val="000000"/>
          <w:sz w:val="18"/>
        </w:rPr>
        <w:t>You are required to satisfy the following contingencies prior to employment at Biogen.</w:t>
      </w:r>
    </w:p>
    <w:p>
      <w:pPr>
        <w:pStyle w:val="TextBody"/>
        <w:spacing w:before="5" w:after="283"/>
        <w:rPr/>
      </w:pPr>
      <w:r>
        <w:rPr/>
      </w:r>
    </w:p>
    <w:p>
      <w:pPr>
        <w:pStyle w:val="TextBody"/>
        <w:spacing w:lineRule="auto" w:line="295" w:before="0" w:after="0"/>
        <w:ind w:left="0" w:right="0" w:hanging="360"/>
        <w:rPr/>
      </w:pPr>
      <w:r>
        <w:rPr>
          <w:color w:val="000000"/>
        </w:rPr>
        <w:t>•</w:t>
      </w:r>
      <w:r>
        <w:rPr>
          <w:rFonts w:ascii="Arial;sans-serif" w:hAnsi="Arial;sans-serif"/>
          <w:b/>
          <w:color w:val="000000"/>
          <w:sz w:val="18"/>
        </w:rPr>
        <w:t>Pre-employment screening:</w:t>
      </w:r>
      <w:r>
        <w:rPr>
          <w:color w:val="000000"/>
        </w:rPr>
        <w:t xml:space="preserve"> </w:t>
      </w:r>
      <w:r>
        <w:rPr>
          <w:rFonts w:ascii="Arial;sans-serif" w:hAnsi="Arial;sans-serif"/>
          <w:b w:val="false"/>
          <w:color w:val="000000"/>
          <w:sz w:val="18"/>
        </w:rPr>
        <w:t>Employment at Biogen is contingent upon your successful completion and passing of both a background check and drug screen. Biogen's background check includes verification of employment history, educational and professional licenses, degrees and/or credentials, a criminal records check, a Social Security Number search and verification of any other professional qualifications that your position responsibilities at Biogen may warrant. Completion of your online Application for Employment authorizes Biogen to conduct these background checks. If you have any questions about the background check, please contact HRConnect@biogen.com.</w:t>
      </w:r>
    </w:p>
    <w:p>
      <w:pPr>
        <w:pStyle w:val="TextBody"/>
        <w:spacing w:before="11" w:after="283"/>
        <w:rPr/>
      </w:pPr>
      <w:r>
        <w:rPr/>
      </w:r>
    </w:p>
    <w:p>
      <w:pPr>
        <w:pStyle w:val="TextBody"/>
        <w:spacing w:lineRule="auto" w:line="266" w:before="0" w:after="0"/>
        <w:ind w:left="0" w:right="0" w:hanging="360"/>
        <w:jc w:val="both"/>
        <w:rPr/>
      </w:pPr>
      <w:r>
        <w:rPr>
          <w:color w:val="000000"/>
        </w:rPr>
        <w:t>•</w:t>
      </w:r>
      <w:r>
        <w:rPr>
          <w:rFonts w:ascii="Arial;sans-serif" w:hAnsi="Arial;sans-serif"/>
          <w:b/>
          <w:color w:val="000000"/>
          <w:sz w:val="18"/>
        </w:rPr>
        <w:t>Signed Employee Proprietary Information and Inventions and Non-compete Agreement ("PII Agreement"):</w:t>
      </w:r>
      <w:r>
        <w:rPr>
          <w:color w:val="000000"/>
        </w:rPr>
        <w:t xml:space="preserve"> </w:t>
      </w:r>
      <w:r>
        <w:rPr>
          <w:rFonts w:ascii="Arial;sans-serif" w:hAnsi="Arial;sans-serif"/>
          <w:b w:val="false"/>
          <w:color w:val="000000"/>
          <w:sz w:val="18"/>
        </w:rPr>
        <w:t>Prior to and as a condition of employment with Biogen you will be required to sign Biogen's PII Agreement This is required to, among other things, protect Biogen's substantial investment in creating and maintaining its confidential and proprietary information, and to maintain goodwill with our customers, vendors and other business partners. You will receive an email shortly that contains a link to this agreement for your review and electronic signature.</w:t>
      </w:r>
    </w:p>
    <w:p>
      <w:pPr>
        <w:pStyle w:val="TextBody"/>
        <w:spacing w:before="3" w:after="283"/>
        <w:rPr/>
      </w:pPr>
      <w:r>
        <w:rPr/>
      </w:r>
    </w:p>
    <w:p>
      <w:pPr>
        <w:pStyle w:val="TextBody"/>
        <w:spacing w:lineRule="auto" w:line="297" w:before="0" w:after="0"/>
        <w:ind w:left="0" w:right="0" w:hanging="360"/>
        <w:rPr/>
      </w:pPr>
      <w:r>
        <w:rPr>
          <w:color w:val="000000"/>
        </w:rPr>
        <w:t>•</w:t>
      </w:r>
      <w:r>
        <w:rPr>
          <w:rFonts w:ascii="Arial;sans-serif" w:hAnsi="Arial;sans-serif"/>
          <w:b/>
          <w:color w:val="000000"/>
          <w:sz w:val="18"/>
        </w:rPr>
        <w:t>Authorization to Work in the United States:</w:t>
      </w:r>
      <w:r>
        <w:rPr>
          <w:color w:val="000000"/>
        </w:rPr>
        <w:t xml:space="preserve"> </w:t>
      </w:r>
      <w:r>
        <w:rPr>
          <w:rFonts w:ascii="Arial;sans-serif" w:hAnsi="Arial;sans-serif"/>
          <w:b w:val="false"/>
          <w:color w:val="000000"/>
          <w:sz w:val="18"/>
        </w:rPr>
        <w:t>Please note that Biogen is an E-Verify employer. The Federal government requires you to provide proper identification verifying your eligibility to work in the United States.</w:t>
      </w:r>
    </w:p>
    <w:p>
      <w:pPr>
        <w:pStyle w:val="TextBody"/>
        <w:spacing w:before="1" w:after="283"/>
        <w:rPr/>
      </w:pPr>
      <w:r>
        <w:rPr/>
      </w:r>
    </w:p>
    <w:p>
      <w:pPr>
        <w:pStyle w:val="TextBody"/>
        <w:spacing w:lineRule="auto" w:line="240" w:before="3" w:after="283"/>
        <w:rPr/>
      </w:pPr>
      <w:r>
        <w:rPr>
          <w:rFonts w:ascii="Arial;sans-serif" w:hAnsi="Arial;sans-serif"/>
          <w:b/>
          <w:color w:val="000000"/>
          <w:sz w:val="18"/>
        </w:rPr>
        <w:t>If you will be working at one of our office locations:</w:t>
      </w:r>
      <w:r>
        <w:rPr>
          <w:color w:val="000000"/>
        </w:rPr>
        <w:t xml:space="preserve"> </w:t>
      </w:r>
      <w:r>
        <w:rPr>
          <w:rFonts w:ascii="Arial;sans-serif" w:hAnsi="Arial;sans-serif"/>
          <w:b w:val="false"/>
          <w:color w:val="000000"/>
          <w:sz w:val="18"/>
        </w:rPr>
        <w:t>Please complete Section 1 of the Employment Eligibility Verification Form I-9, electronically as specified in your emails from Guardian. On your first day of employment, please bring original and unexpired documents and a scanned copy of your documents to complete the I-9 process. A list of acceptable documents can be found on the last page of the Form I-9 packet.</w:t>
      </w:r>
    </w:p>
    <w:p>
      <w:pPr>
        <w:pStyle w:val="TextBody"/>
        <w:spacing w:before="3" w:after="283"/>
        <w:rPr/>
      </w:pPr>
      <w:r>
        <w:rPr/>
      </w:r>
    </w:p>
    <w:p>
      <w:pPr>
        <w:pStyle w:val="TextBody"/>
        <w:spacing w:lineRule="auto" w:line="300" w:before="0" w:after="0"/>
        <w:ind w:left="0" w:right="0" w:hanging="1"/>
        <w:rPr/>
      </w:pPr>
      <w:r>
        <w:rPr>
          <w:rFonts w:ascii="Arial;sans-serif" w:hAnsi="Arial;sans-serif"/>
          <w:b/>
          <w:color w:val="000000"/>
          <w:sz w:val="18"/>
        </w:rPr>
        <w:t>If you are a field employee:</w:t>
      </w:r>
      <w:r>
        <w:rPr>
          <w:color w:val="000000"/>
        </w:rPr>
        <w:t xml:space="preserve"> </w:t>
      </w:r>
      <w:r>
        <w:rPr>
          <w:rFonts w:ascii="Arial;sans-serif" w:hAnsi="Arial;sans-serif"/>
          <w:b w:val="false"/>
          <w:color w:val="000000"/>
          <w:sz w:val="18"/>
        </w:rPr>
        <w:t>You will receive a separate email from HR Operations providing you with instructions to complete your 1-9 form. Please complete per instructions within 3 days of receipt.</w:t>
      </w:r>
    </w:p>
    <w:p>
      <w:pPr>
        <w:pStyle w:val="TextBody"/>
        <w:spacing w:before="2" w:after="283"/>
        <w:rPr/>
      </w:pPr>
      <w:r>
        <w:rPr/>
      </w:r>
    </w:p>
    <w:p>
      <w:pPr>
        <w:pStyle w:val="TextBody"/>
        <w:spacing w:lineRule="auto" w:line="309" w:before="0" w:after="0"/>
        <w:ind w:left="0" w:right="0" w:firstLine="4"/>
        <w:rPr>
          <w:rFonts w:ascii="Arial;sans-serif" w:hAnsi="Arial;sans-serif"/>
          <w:b w:val="false"/>
          <w:color w:val="000000"/>
          <w:sz w:val="18"/>
        </w:rPr>
      </w:pPr>
      <w:r>
        <w:rPr>
          <w:rFonts w:ascii="Arial;sans-serif" w:hAnsi="Arial;sans-serif"/>
          <w:b w:val="false"/>
          <w:color w:val="000000"/>
          <w:sz w:val="18"/>
        </w:rPr>
        <w:t>Ginger, we are excited at the prospect of your joining Biogen. To confirm your acceptance of this offer of employment, please sign and return this letter by June 12, 2017 and keep the other copy for your records. Review and complete the enclosed New Employee Checklist with actions required in order to</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4"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begin your acceptance process. We would anticipate your first day of employment to be on or prior to July 17,</w:t>
      </w:r>
    </w:p>
    <w:p>
      <w:pPr>
        <w:pStyle w:val="TextBody"/>
        <w:spacing w:lineRule="auto" w:line="530" w:before="12" w:after="283"/>
        <w:ind w:left="0" w:right="0" w:hanging="1"/>
        <w:rPr>
          <w:rFonts w:ascii="Arial;sans-serif" w:hAnsi="Arial;sans-serif"/>
          <w:b w:val="false"/>
          <w:color w:val="000000"/>
          <w:sz w:val="18"/>
        </w:rPr>
      </w:pPr>
      <w:r>
        <w:rPr>
          <w:rFonts w:ascii="Arial;sans-serif" w:hAnsi="Arial;sans-serif"/>
          <w:b w:val="false"/>
          <w:color w:val="000000"/>
          <w:sz w:val="18"/>
        </w:rPr>
        <w:t>2017. If you have any questions, please feel free to contact me.</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Best Regards,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val="false"/>
          <w:color w:val="000000"/>
          <w:sz w:val="18"/>
          <w:u w:val="single"/>
        </w:rPr>
      </w:pPr>
      <w:r>
        <w:rPr>
          <w:rFonts w:ascii="Arial;sans-serif" w:hAnsi="Arial;sans-serif"/>
          <w:b w:val="false"/>
          <w:color w:val="000000"/>
          <w:sz w:val="18"/>
          <w:u w:val="single"/>
        </w:rPr>
        <w:t>/s/ Susan H. Alexander            </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Susan H. Alexander</w:t>
      </w:r>
    </w:p>
    <w:p>
      <w:pPr>
        <w:pStyle w:val="TextBody"/>
        <w:spacing w:before="0" w:after="0"/>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Executive Vice President, Corporate Services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By signing below, I accept this offer of employment and acknowledge the contingencies of employment</w:t>
      </w:r>
    </w:p>
    <w:p>
      <w:pPr>
        <w:pStyle w:val="TextBody"/>
        <w:spacing w:lineRule="auto" w:line="240" w:before="0" w:after="0"/>
        <w:rPr>
          <w:rFonts w:ascii="Arial;sans-serif" w:hAnsi="Arial;sans-serif"/>
          <w:b w:val="false"/>
          <w:color w:val="000000"/>
          <w:sz w:val="18"/>
        </w:rPr>
      </w:pPr>
      <w:r>
        <w:rPr>
          <w:rFonts w:ascii="Arial;sans-serif" w:hAnsi="Arial;sans-serif"/>
          <w:b w:val="false"/>
          <w:color w:val="000000"/>
          <w:sz w:val="18"/>
        </w:rPr>
        <w:t>Described above, including the at-will nature of my employment.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Arial;sans-serif" w:hAnsi="Arial;sans-serif"/>
          <w:b w:val="false"/>
          <w:color w:val="000000"/>
          <w:sz w:val="20"/>
          <w:u w:val="single"/>
        </w:rPr>
        <w:t>/s/ Ginger Gregory                </w:t>
      </w:r>
      <w:r>
        <w:rPr>
          <w:color w:val="000000"/>
        </w:rPr>
        <w:t>                </w:t>
      </w:r>
      <w:r>
        <w:rPr>
          <w:color w:val="000000"/>
          <w:u w:val="single"/>
        </w:rPr>
        <w:t>    </w:t>
      </w:r>
      <w:r>
        <w:rPr>
          <w:rFonts w:ascii="Arial;sans-serif" w:hAnsi="Arial;sans-serif"/>
          <w:b w:val="false"/>
          <w:color w:val="000000"/>
          <w:sz w:val="20"/>
          <w:u w:val="single"/>
        </w:rPr>
        <w:t>6/10/17        </w:t>
      </w:r>
    </w:p>
    <w:p>
      <w:pPr>
        <w:pStyle w:val="TextBody"/>
        <w:spacing w:before="1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5"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Exhibit 10.3</w:t>
      </w:r>
    </w:p>
    <w:p>
      <w:pPr>
        <w:pStyle w:val="TextBody"/>
        <w:spacing w:before="0" w:after="0"/>
        <w:jc w:val="right"/>
        <w:rPr/>
      </w:pPr>
      <w:r>
        <w:rPr/>
      </w:r>
    </w:p>
    <w:p>
      <w:pPr>
        <w:pStyle w:val="TextBody"/>
        <w:spacing w:before="62" w:after="283"/>
        <w:rPr/>
      </w:pPr>
      <w:r>
        <w:rPr/>
        <w:drawing>
          <wp:inline distT="0" distB="63500" distL="0" distR="0">
            <wp:extent cx="1123950" cy="371475"/>
            <wp:effectExtent l="0" t="0" r="0" b="0"/>
            <wp:docPr id="9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1" descr=""/>
                    <pic:cNvPicPr>
                      <a:picLocks noChangeAspect="1" noChangeArrowheads="1"/>
                    </pic:cNvPicPr>
                  </pic:nvPicPr>
                  <pic:blipFill>
                    <a:blip r:embed="rId13"/>
                    <a:stretch>
                      <a:fillRect/>
                    </a:stretch>
                  </pic:blipFill>
                  <pic:spPr bwMode="auto">
                    <a:xfrm>
                      <a:off x="0" y="0"/>
                      <a:ext cx="1123950" cy="371475"/>
                    </a:xfrm>
                    <a:prstGeom prst="rect">
                      <a:avLst/>
                    </a:prstGeom>
                  </pic:spPr>
                </pic:pic>
              </a:graphicData>
            </a:graphic>
          </wp:inline>
        </w:drawing>
      </w:r>
    </w:p>
    <w:p>
      <w:pPr>
        <w:pStyle w:val="TextBody"/>
        <w:spacing w:lineRule="auto" w:line="240" w:before="509" w:after="283"/>
        <w:rPr>
          <w:rFonts w:ascii="Arial;sans-serif" w:hAnsi="Arial;sans-serif"/>
          <w:b w:val="false"/>
          <w:color w:val="161616"/>
          <w:sz w:val="19"/>
        </w:rPr>
      </w:pPr>
      <w:r>
        <w:rPr>
          <w:rFonts w:ascii="Arial;sans-serif" w:hAnsi="Arial;sans-serif"/>
          <w:b w:val="false"/>
          <w:color w:val="161616"/>
          <w:sz w:val="19"/>
        </w:rPr>
        <w:t>1/28/2022</w:t>
      </w:r>
    </w:p>
    <w:p>
      <w:pPr>
        <w:pStyle w:val="TextBody"/>
        <w:spacing w:lineRule="auto" w:line="283" w:before="20" w:after="283"/>
        <w:ind w:left="0" w:right="0" w:firstLine="7"/>
        <w:rPr>
          <w:rFonts w:ascii="Arial;sans-serif" w:hAnsi="Arial;sans-serif"/>
          <w:b w:val="false"/>
          <w:color w:val="161616"/>
          <w:sz w:val="19"/>
        </w:rPr>
      </w:pPr>
      <w:r>
        <w:rPr>
          <w:rFonts w:ascii="Arial;sans-serif" w:hAnsi="Arial;sans-serif"/>
          <w:b w:val="false"/>
          <w:color w:val="161616"/>
          <w:sz w:val="19"/>
        </w:rPr>
        <w:t>Nicole Murphy Nicole.Murphy@biogen.com</w:t>
      </w:r>
    </w:p>
    <w:p>
      <w:pPr>
        <w:pStyle w:val="TextBody"/>
        <w:spacing w:before="10" w:after="283"/>
        <w:rPr/>
      </w:pPr>
      <w:r>
        <w:rPr/>
      </w:r>
    </w:p>
    <w:p>
      <w:pPr>
        <w:pStyle w:val="TextBody"/>
        <w:spacing w:lineRule="auto" w:line="240" w:before="0" w:after="0"/>
        <w:rPr>
          <w:rFonts w:ascii="Arial;sans-serif" w:hAnsi="Arial;sans-serif"/>
          <w:b w:val="false"/>
          <w:color w:val="161616"/>
          <w:sz w:val="19"/>
        </w:rPr>
      </w:pPr>
      <w:r>
        <w:rPr>
          <w:rFonts w:ascii="Arial;sans-serif" w:hAnsi="Arial;sans-serif"/>
          <w:b w:val="false"/>
          <w:color w:val="161616"/>
          <w:sz w:val="19"/>
        </w:rPr>
        <w:t>Dear Nicole,</w:t>
      </w:r>
    </w:p>
    <w:p>
      <w:pPr>
        <w:pStyle w:val="TextBody"/>
        <w:spacing w:before="9" w:after="283"/>
        <w:rPr/>
      </w:pPr>
      <w:r>
        <w:rPr/>
      </w:r>
    </w:p>
    <w:p>
      <w:pPr>
        <w:pStyle w:val="TextBody"/>
        <w:spacing w:lineRule="auto" w:line="295" w:before="0" w:after="0"/>
        <w:ind w:left="0" w:right="0" w:hanging="3"/>
        <w:rPr/>
      </w:pPr>
      <w:r>
        <w:rPr>
          <w:rFonts w:ascii="Arial;sans-serif" w:hAnsi="Arial;sans-serif"/>
          <w:b w:val="false"/>
          <w:color w:val="2A2A2A"/>
          <w:sz w:val="19"/>
        </w:rPr>
        <w:t xml:space="preserve">I am </w:t>
      </w:r>
      <w:r>
        <w:rPr>
          <w:rFonts w:ascii="Arial;sans-serif" w:hAnsi="Arial;sans-serif"/>
          <w:b w:val="false"/>
          <w:color w:val="161616"/>
          <w:sz w:val="19"/>
        </w:rPr>
        <w:t xml:space="preserve">pleased to </w:t>
      </w:r>
      <w:r>
        <w:rPr>
          <w:rFonts w:ascii="Arial;sans-serif" w:hAnsi="Arial;sans-serif"/>
          <w:b w:val="false"/>
          <w:color w:val="2A2A2A"/>
          <w:sz w:val="19"/>
        </w:rPr>
        <w:t xml:space="preserve">offer you </w:t>
      </w:r>
      <w:r>
        <w:rPr>
          <w:rFonts w:ascii="Arial;sans-serif" w:hAnsi="Arial;sans-serif"/>
          <w:b w:val="false"/>
          <w:color w:val="161616"/>
          <w:sz w:val="19"/>
        </w:rPr>
        <w:t xml:space="preserve">a promotion to Executive Vice President </w:t>
      </w:r>
      <w:r>
        <w:rPr>
          <w:rFonts w:ascii="Arial;sans-serif" w:hAnsi="Arial;sans-serif"/>
          <w:b w:val="false"/>
          <w:color w:val="2A2A2A"/>
          <w:sz w:val="19"/>
        </w:rPr>
        <w:t xml:space="preserve">(EVP), </w:t>
      </w:r>
      <w:r>
        <w:rPr>
          <w:rFonts w:ascii="Arial;sans-serif" w:hAnsi="Arial;sans-serif"/>
          <w:b w:val="false"/>
          <w:color w:val="161616"/>
          <w:sz w:val="19"/>
        </w:rPr>
        <w:t xml:space="preserve">Head of Pharmaceutical Operations </w:t>
      </w:r>
      <w:r>
        <w:rPr>
          <w:rFonts w:ascii="Arial;sans-serif" w:hAnsi="Arial;sans-serif"/>
          <w:b w:val="false"/>
          <w:color w:val="161616"/>
          <w:sz w:val="18"/>
        </w:rPr>
        <w:t xml:space="preserve">&amp; </w:t>
      </w:r>
      <w:r>
        <w:rPr>
          <w:rFonts w:ascii="Arial;sans-serif" w:hAnsi="Arial;sans-serif"/>
          <w:b w:val="false"/>
          <w:color w:val="161616"/>
          <w:sz w:val="19"/>
        </w:rPr>
        <w:t xml:space="preserve">Technology </w:t>
      </w:r>
      <w:r>
        <w:rPr>
          <w:rFonts w:ascii="Arial;sans-serif" w:hAnsi="Arial;sans-serif"/>
          <w:b w:val="false"/>
          <w:color w:val="2A2A2A"/>
          <w:sz w:val="19"/>
        </w:rPr>
        <w:t xml:space="preserve">effective </w:t>
      </w:r>
      <w:r>
        <w:rPr>
          <w:rFonts w:ascii="Arial;sans-serif" w:hAnsi="Arial;sans-serif"/>
          <w:b w:val="false"/>
          <w:color w:val="161616"/>
          <w:sz w:val="19"/>
        </w:rPr>
        <w:t xml:space="preserve">February 1, </w:t>
      </w:r>
      <w:r>
        <w:rPr>
          <w:rFonts w:ascii="Arial;sans-serif" w:hAnsi="Arial;sans-serif"/>
          <w:b w:val="false"/>
          <w:color w:val="2A2A2A"/>
          <w:sz w:val="19"/>
        </w:rPr>
        <w:t xml:space="preserve">2022. </w:t>
      </w:r>
      <w:r>
        <w:rPr>
          <w:rFonts w:ascii="Arial;sans-serif" w:hAnsi="Arial;sans-serif"/>
          <w:b w:val="false"/>
          <w:color w:val="161616"/>
          <w:sz w:val="19"/>
        </w:rPr>
        <w:t xml:space="preserve">This position will report to Biogen's </w:t>
      </w:r>
      <w:r>
        <w:rPr>
          <w:rFonts w:ascii="Arial;sans-serif" w:hAnsi="Arial;sans-serif"/>
          <w:b w:val="false"/>
          <w:color w:val="2A2A2A"/>
          <w:sz w:val="19"/>
        </w:rPr>
        <w:t xml:space="preserve">Chief </w:t>
      </w:r>
      <w:r>
        <w:rPr>
          <w:rFonts w:ascii="Arial;sans-serif" w:hAnsi="Arial;sans-serif"/>
          <w:b w:val="false"/>
          <w:color w:val="161616"/>
          <w:sz w:val="19"/>
        </w:rPr>
        <w:t xml:space="preserve">Executive </w:t>
      </w:r>
      <w:r>
        <w:rPr>
          <w:rFonts w:ascii="Arial;sans-serif" w:hAnsi="Arial;sans-serif"/>
          <w:b w:val="false"/>
          <w:color w:val="2A2A2A"/>
          <w:sz w:val="19"/>
        </w:rPr>
        <w:t xml:space="preserve">Officer, </w:t>
      </w:r>
      <w:r>
        <w:rPr>
          <w:rFonts w:ascii="Arial;sans-serif" w:hAnsi="Arial;sans-serif"/>
          <w:b w:val="false"/>
          <w:color w:val="161616"/>
          <w:sz w:val="19"/>
        </w:rPr>
        <w:t xml:space="preserve">Michel </w:t>
      </w:r>
      <w:r>
        <w:rPr>
          <w:rFonts w:ascii="Arial;sans-serif" w:hAnsi="Arial;sans-serif"/>
          <w:b w:val="false"/>
          <w:color w:val="2A2A2A"/>
          <w:sz w:val="19"/>
        </w:rPr>
        <w:t>Vounatsos.</w:t>
      </w:r>
    </w:p>
    <w:p>
      <w:pPr>
        <w:pStyle w:val="TextBody"/>
        <w:spacing w:before="10" w:after="283"/>
        <w:rPr/>
      </w:pPr>
      <w:r>
        <w:rPr/>
      </w:r>
    </w:p>
    <w:p>
      <w:pPr>
        <w:pStyle w:val="TextBody"/>
        <w:spacing w:lineRule="auto" w:line="295" w:before="0" w:after="0"/>
        <w:rPr/>
      </w:pPr>
      <w:r>
        <w:rPr>
          <w:rFonts w:ascii="Arial;sans-serif" w:hAnsi="Arial;sans-serif"/>
          <w:b w:val="false"/>
          <w:color w:val="161616"/>
          <w:sz w:val="19"/>
        </w:rPr>
        <w:t xml:space="preserve">The </w:t>
      </w:r>
      <w:r>
        <w:rPr>
          <w:rFonts w:ascii="Arial;sans-serif" w:hAnsi="Arial;sans-serif"/>
          <w:b w:val="false"/>
          <w:color w:val="2A2A2A"/>
          <w:sz w:val="19"/>
        </w:rPr>
        <w:t xml:space="preserve">effective date of </w:t>
      </w:r>
      <w:r>
        <w:rPr>
          <w:rFonts w:ascii="Arial;sans-serif" w:hAnsi="Arial;sans-serif"/>
          <w:b w:val="false"/>
          <w:color w:val="161616"/>
          <w:sz w:val="19"/>
        </w:rPr>
        <w:t xml:space="preserve">this new </w:t>
      </w:r>
      <w:r>
        <w:rPr>
          <w:rFonts w:ascii="Arial;sans-serif" w:hAnsi="Arial;sans-serif"/>
          <w:b w:val="false"/>
          <w:color w:val="2A2A2A"/>
          <w:sz w:val="19"/>
        </w:rPr>
        <w:t xml:space="preserve">position will be arranged </w:t>
      </w:r>
      <w:r>
        <w:rPr>
          <w:rFonts w:ascii="Arial;sans-serif" w:hAnsi="Arial;sans-serif"/>
          <w:b w:val="false"/>
          <w:color w:val="161616"/>
          <w:sz w:val="19"/>
        </w:rPr>
        <w:t xml:space="preserve">following </w:t>
      </w:r>
      <w:r>
        <w:rPr>
          <w:rFonts w:ascii="Arial;sans-serif" w:hAnsi="Arial;sans-serif"/>
          <w:b w:val="false"/>
          <w:color w:val="2A2A2A"/>
          <w:sz w:val="19"/>
        </w:rPr>
        <w:t xml:space="preserve">your </w:t>
      </w:r>
      <w:r>
        <w:rPr>
          <w:rFonts w:ascii="Arial;sans-serif" w:hAnsi="Arial;sans-serif"/>
          <w:b w:val="false"/>
          <w:color w:val="161616"/>
          <w:sz w:val="19"/>
        </w:rPr>
        <w:t xml:space="preserve">formal </w:t>
      </w:r>
      <w:r>
        <w:rPr>
          <w:rFonts w:ascii="Arial;sans-serif" w:hAnsi="Arial;sans-serif"/>
          <w:b w:val="false"/>
          <w:color w:val="2A2A2A"/>
          <w:sz w:val="19"/>
        </w:rPr>
        <w:t xml:space="preserve">acceptance of </w:t>
      </w:r>
      <w:r>
        <w:rPr>
          <w:rFonts w:ascii="Arial;sans-serif" w:hAnsi="Arial;sans-serif"/>
          <w:b w:val="false"/>
          <w:color w:val="161616"/>
          <w:sz w:val="19"/>
        </w:rPr>
        <w:t xml:space="preserve">this </w:t>
      </w:r>
      <w:r>
        <w:rPr>
          <w:rFonts w:ascii="Arial;sans-serif" w:hAnsi="Arial;sans-serif"/>
          <w:b w:val="false"/>
          <w:color w:val="2A2A2A"/>
          <w:sz w:val="19"/>
        </w:rPr>
        <w:t>position.</w:t>
      </w:r>
    </w:p>
    <w:p>
      <w:pPr>
        <w:pStyle w:val="TextBody"/>
        <w:spacing w:before="4" w:after="283"/>
        <w:rPr/>
      </w:pPr>
      <w:r>
        <w:rPr/>
      </w:r>
    </w:p>
    <w:p>
      <w:pPr>
        <w:pStyle w:val="TextBody"/>
        <w:spacing w:lineRule="auto" w:line="240" w:before="0" w:after="0"/>
        <w:rPr/>
      </w:pPr>
      <w:r>
        <w:rPr>
          <w:rFonts w:ascii="Arial;sans-serif" w:hAnsi="Arial;sans-serif"/>
          <w:b w:val="false"/>
          <w:color w:val="161616"/>
          <w:sz w:val="19"/>
        </w:rPr>
        <w:t xml:space="preserve">The </w:t>
      </w:r>
      <w:r>
        <w:rPr>
          <w:rFonts w:ascii="Arial;sans-serif" w:hAnsi="Arial;sans-serif"/>
          <w:b w:val="false"/>
          <w:color w:val="2A2A2A"/>
          <w:sz w:val="19"/>
        </w:rPr>
        <w:t xml:space="preserve">specific </w:t>
      </w:r>
      <w:r>
        <w:rPr>
          <w:rFonts w:ascii="Arial;sans-serif" w:hAnsi="Arial;sans-serif"/>
          <w:b w:val="false"/>
          <w:color w:val="161616"/>
          <w:sz w:val="19"/>
        </w:rPr>
        <w:t xml:space="preserve">terms </w:t>
      </w:r>
      <w:r>
        <w:rPr>
          <w:rFonts w:ascii="Arial;sans-serif" w:hAnsi="Arial;sans-serif"/>
          <w:b w:val="false"/>
          <w:color w:val="2A2A2A"/>
          <w:sz w:val="19"/>
        </w:rPr>
        <w:t xml:space="preserve">of our offer are as </w:t>
      </w:r>
      <w:r>
        <w:rPr>
          <w:rFonts w:ascii="Arial;sans-serif" w:hAnsi="Arial;sans-serif"/>
          <w:b w:val="false"/>
          <w:color w:val="161616"/>
          <w:sz w:val="19"/>
        </w:rPr>
        <w:t>follows:</w:t>
      </w:r>
    </w:p>
    <w:p>
      <w:pPr>
        <w:pStyle w:val="TextBody"/>
        <w:spacing w:before="9" w:after="283"/>
        <w:rPr/>
      </w:pPr>
      <w:r>
        <w:rPr/>
      </w:r>
    </w:p>
    <w:p>
      <w:pPr>
        <w:pStyle w:val="TextBody"/>
        <w:spacing w:lineRule="auto" w:line="288" w:before="0" w:after="0"/>
        <w:ind w:left="0" w:right="0" w:firstLine="7"/>
        <w:rPr/>
      </w:pPr>
      <w:r>
        <w:rPr>
          <w:rFonts w:ascii="Arial;sans-serif" w:hAnsi="Arial;sans-serif"/>
          <w:b/>
          <w:color w:val="161616"/>
          <w:sz w:val="19"/>
        </w:rPr>
        <w:t xml:space="preserve">Salary: </w:t>
      </w:r>
      <w:r>
        <w:rPr>
          <w:rFonts w:ascii="Arial;sans-serif" w:hAnsi="Arial;sans-serif"/>
          <w:b w:val="false"/>
          <w:color w:val="161616"/>
          <w:sz w:val="19"/>
        </w:rPr>
        <w:t xml:space="preserve">This is </w:t>
      </w:r>
      <w:r>
        <w:rPr>
          <w:rFonts w:ascii="Arial;sans-serif" w:hAnsi="Arial;sans-serif"/>
          <w:b w:val="false"/>
          <w:color w:val="2A2A2A"/>
          <w:sz w:val="19"/>
        </w:rPr>
        <w:t xml:space="preserve">a </w:t>
      </w:r>
      <w:r>
        <w:rPr>
          <w:rFonts w:ascii="Arial;sans-serif" w:hAnsi="Arial;sans-serif"/>
          <w:b w:val="false"/>
          <w:color w:val="161616"/>
          <w:sz w:val="19"/>
        </w:rPr>
        <w:t xml:space="preserve">full-time, </w:t>
      </w:r>
      <w:r>
        <w:rPr>
          <w:rFonts w:ascii="Arial;sans-serif" w:hAnsi="Arial;sans-serif"/>
          <w:b w:val="false"/>
          <w:color w:val="2A2A2A"/>
          <w:sz w:val="19"/>
        </w:rPr>
        <w:t xml:space="preserve">exempt </w:t>
      </w:r>
      <w:r>
        <w:rPr>
          <w:rFonts w:ascii="Arial;sans-serif" w:hAnsi="Arial;sans-serif"/>
          <w:b w:val="false"/>
          <w:color w:val="161616"/>
          <w:sz w:val="19"/>
        </w:rPr>
        <w:t xml:space="preserve">position </w:t>
      </w:r>
      <w:r>
        <w:rPr>
          <w:rFonts w:ascii="Arial;sans-serif" w:hAnsi="Arial;sans-serif"/>
          <w:b w:val="false"/>
          <w:color w:val="2A2A2A"/>
          <w:sz w:val="19"/>
        </w:rPr>
        <w:t xml:space="preserve">and your starting annual salary will </w:t>
      </w:r>
      <w:r>
        <w:rPr>
          <w:rFonts w:ascii="Arial;sans-serif" w:hAnsi="Arial;sans-serif"/>
          <w:b w:val="false"/>
          <w:color w:val="161616"/>
          <w:sz w:val="19"/>
        </w:rPr>
        <w:t xml:space="preserve">be </w:t>
      </w:r>
      <w:r>
        <w:rPr>
          <w:rFonts w:ascii="Arial;sans-serif" w:hAnsi="Arial;sans-serif"/>
          <w:b w:val="false"/>
          <w:color w:val="2A2A2A"/>
          <w:sz w:val="19"/>
        </w:rPr>
        <w:t xml:space="preserve">$615,000, </w:t>
      </w:r>
      <w:r>
        <w:rPr>
          <w:rFonts w:ascii="Arial;sans-serif" w:hAnsi="Arial;sans-serif"/>
          <w:b w:val="false"/>
          <w:color w:val="161616"/>
          <w:sz w:val="19"/>
        </w:rPr>
        <w:t xml:space="preserve">less </w:t>
      </w:r>
      <w:r>
        <w:rPr>
          <w:rFonts w:ascii="Arial;sans-serif" w:hAnsi="Arial;sans-serif"/>
          <w:b w:val="false"/>
          <w:color w:val="2A2A2A"/>
          <w:sz w:val="19"/>
        </w:rPr>
        <w:t xml:space="preserve">applicable </w:t>
      </w:r>
      <w:r>
        <w:rPr>
          <w:rFonts w:ascii="Arial;sans-serif" w:hAnsi="Arial;sans-serif"/>
          <w:b w:val="false"/>
          <w:color w:val="161616"/>
          <w:sz w:val="19"/>
        </w:rPr>
        <w:t xml:space="preserve">withholdings, </w:t>
      </w:r>
      <w:r>
        <w:rPr>
          <w:rFonts w:ascii="Arial;sans-serif" w:hAnsi="Arial;sans-serif"/>
          <w:b w:val="false"/>
          <w:color w:val="2A2A2A"/>
          <w:sz w:val="19"/>
        </w:rPr>
        <w:t xml:space="preserve">and which will be paid </w:t>
      </w:r>
      <w:r>
        <w:rPr>
          <w:rFonts w:ascii="Arial;sans-serif" w:hAnsi="Arial;sans-serif"/>
          <w:b w:val="false"/>
          <w:color w:val="161616"/>
          <w:sz w:val="19"/>
        </w:rPr>
        <w:t xml:space="preserve">biweekly in </w:t>
      </w:r>
      <w:r>
        <w:rPr>
          <w:rFonts w:ascii="Arial;sans-serif" w:hAnsi="Arial;sans-serif"/>
          <w:b w:val="false"/>
          <w:color w:val="2A2A2A"/>
          <w:sz w:val="19"/>
        </w:rPr>
        <w:t xml:space="preserve">accordance with our standard </w:t>
      </w:r>
      <w:r>
        <w:rPr>
          <w:rFonts w:ascii="Arial;sans-serif" w:hAnsi="Arial;sans-serif"/>
          <w:b w:val="false"/>
          <w:color w:val="161616"/>
          <w:sz w:val="19"/>
        </w:rPr>
        <w:t xml:space="preserve">payroll </w:t>
      </w:r>
      <w:r>
        <w:rPr>
          <w:rFonts w:ascii="Arial;sans-serif" w:hAnsi="Arial;sans-serif"/>
          <w:b w:val="false"/>
          <w:color w:val="2A2A2A"/>
          <w:sz w:val="19"/>
        </w:rPr>
        <w:t>processes.</w:t>
      </w:r>
    </w:p>
    <w:p>
      <w:pPr>
        <w:pStyle w:val="TextBody"/>
        <w:spacing w:before="5" w:after="283"/>
        <w:rPr/>
      </w:pPr>
      <w:r>
        <w:rPr/>
      </w:r>
    </w:p>
    <w:p>
      <w:pPr>
        <w:pStyle w:val="TextBody"/>
        <w:spacing w:lineRule="auto" w:line="295" w:before="0" w:after="0"/>
        <w:ind w:left="0" w:right="0" w:firstLine="5"/>
        <w:rPr/>
      </w:pPr>
      <w:r>
        <w:rPr>
          <w:rFonts w:ascii="Arial;sans-serif" w:hAnsi="Arial;sans-serif"/>
          <w:b/>
          <w:color w:val="161616"/>
          <w:sz w:val="19"/>
        </w:rPr>
        <w:t xml:space="preserve">Annual Bonus Plan: </w:t>
      </w:r>
      <w:r>
        <w:rPr>
          <w:rFonts w:ascii="Arial;sans-serif" w:hAnsi="Arial;sans-serif"/>
          <w:b w:val="false"/>
          <w:color w:val="161616"/>
          <w:sz w:val="19"/>
        </w:rPr>
        <w:t xml:space="preserve">You </w:t>
      </w:r>
      <w:r>
        <w:rPr>
          <w:rFonts w:ascii="Arial;sans-serif" w:hAnsi="Arial;sans-serif"/>
          <w:b w:val="false"/>
          <w:color w:val="2A2A2A"/>
          <w:sz w:val="19"/>
        </w:rPr>
        <w:t xml:space="preserve">will be eligible </w:t>
      </w:r>
      <w:r>
        <w:rPr>
          <w:rFonts w:ascii="Arial;sans-serif" w:hAnsi="Arial;sans-serif"/>
          <w:b w:val="false"/>
          <w:color w:val="161616"/>
          <w:sz w:val="19"/>
        </w:rPr>
        <w:t xml:space="preserve">to participate in the Biogen </w:t>
      </w:r>
      <w:r>
        <w:rPr>
          <w:rFonts w:ascii="Arial;sans-serif" w:hAnsi="Arial;sans-serif"/>
          <w:b w:val="false"/>
          <w:color w:val="2A2A2A"/>
          <w:sz w:val="19"/>
        </w:rPr>
        <w:t xml:space="preserve">Annual </w:t>
      </w:r>
      <w:r>
        <w:rPr>
          <w:rFonts w:ascii="Arial;sans-serif" w:hAnsi="Arial;sans-serif"/>
          <w:b w:val="false"/>
          <w:color w:val="161616"/>
          <w:sz w:val="19"/>
        </w:rPr>
        <w:t xml:space="preserve">Bonus Plan, </w:t>
      </w:r>
      <w:r>
        <w:rPr>
          <w:rFonts w:ascii="Arial;sans-serif" w:hAnsi="Arial;sans-serif"/>
          <w:b w:val="false"/>
          <w:color w:val="2A2A2A"/>
          <w:sz w:val="19"/>
        </w:rPr>
        <w:t xml:space="preserve">with a </w:t>
      </w:r>
      <w:r>
        <w:rPr>
          <w:rFonts w:ascii="Arial;sans-serif" w:hAnsi="Arial;sans-serif"/>
          <w:b w:val="false"/>
          <w:color w:val="161616"/>
          <w:sz w:val="19"/>
        </w:rPr>
        <w:t xml:space="preserve">target bonus </w:t>
      </w:r>
      <w:r>
        <w:rPr>
          <w:rFonts w:ascii="Arial;sans-serif" w:hAnsi="Arial;sans-serif"/>
          <w:b w:val="false"/>
          <w:color w:val="2A2A2A"/>
          <w:sz w:val="19"/>
        </w:rPr>
        <w:t xml:space="preserve">opportunity of </w:t>
      </w:r>
      <w:r>
        <w:rPr>
          <w:rFonts w:ascii="Arial;sans-serif" w:hAnsi="Arial;sans-serif"/>
          <w:b w:val="false"/>
          <w:color w:val="161616"/>
          <w:sz w:val="19"/>
        </w:rPr>
        <w:t xml:space="preserve">75% </w:t>
      </w:r>
      <w:r>
        <w:rPr>
          <w:rFonts w:ascii="Arial;sans-serif" w:hAnsi="Arial;sans-serif"/>
          <w:b w:val="false"/>
          <w:color w:val="2A2A2A"/>
          <w:sz w:val="19"/>
        </w:rPr>
        <w:t xml:space="preserve">of your annual base salary. </w:t>
      </w:r>
      <w:r>
        <w:rPr>
          <w:rFonts w:ascii="Arial;sans-serif" w:hAnsi="Arial;sans-serif"/>
          <w:b w:val="false"/>
          <w:color w:val="161616"/>
          <w:sz w:val="19"/>
        </w:rPr>
        <w:t xml:space="preserve">Based </w:t>
      </w:r>
      <w:r>
        <w:rPr>
          <w:rFonts w:ascii="Arial;sans-serif" w:hAnsi="Arial;sans-serif"/>
          <w:b w:val="false"/>
          <w:color w:val="2A2A2A"/>
          <w:sz w:val="19"/>
        </w:rPr>
        <w:t xml:space="preserve">upon your promotion </w:t>
      </w:r>
      <w:r>
        <w:rPr>
          <w:rFonts w:ascii="Arial;sans-serif" w:hAnsi="Arial;sans-serif"/>
          <w:b w:val="false"/>
          <w:color w:val="161616"/>
          <w:sz w:val="19"/>
        </w:rPr>
        <w:t xml:space="preserve">date, </w:t>
      </w:r>
      <w:r>
        <w:rPr>
          <w:rFonts w:ascii="Arial;sans-serif" w:hAnsi="Arial;sans-serif"/>
          <w:b w:val="false"/>
          <w:color w:val="2A2A2A"/>
          <w:sz w:val="19"/>
        </w:rPr>
        <w:t xml:space="preserve">your target bonus amount </w:t>
      </w:r>
      <w:r>
        <w:rPr>
          <w:rFonts w:ascii="Arial;sans-serif" w:hAnsi="Arial;sans-serif"/>
          <w:b w:val="false"/>
          <w:color w:val="161616"/>
          <w:sz w:val="19"/>
        </w:rPr>
        <w:t xml:space="preserve">may be </w:t>
      </w:r>
      <w:r>
        <w:rPr>
          <w:rFonts w:ascii="Arial;sans-serif" w:hAnsi="Arial;sans-serif"/>
          <w:b w:val="false"/>
          <w:color w:val="2A2A2A"/>
          <w:sz w:val="19"/>
        </w:rPr>
        <w:t xml:space="preserve">pro-rated. </w:t>
      </w:r>
      <w:r>
        <w:rPr>
          <w:rFonts w:ascii="Arial;sans-serif" w:hAnsi="Arial;sans-serif"/>
          <w:b w:val="false"/>
          <w:color w:val="161616"/>
          <w:sz w:val="19"/>
        </w:rPr>
        <w:t xml:space="preserve">Eligibility </w:t>
      </w:r>
      <w:r>
        <w:rPr>
          <w:rFonts w:ascii="Arial;sans-serif" w:hAnsi="Arial;sans-serif"/>
          <w:b w:val="false"/>
          <w:color w:val="2A2A2A"/>
          <w:sz w:val="19"/>
        </w:rPr>
        <w:t xml:space="preserve">details and other </w:t>
      </w:r>
      <w:r>
        <w:rPr>
          <w:rFonts w:ascii="Arial;sans-serif" w:hAnsi="Arial;sans-serif"/>
          <w:b w:val="false"/>
          <w:color w:val="161616"/>
          <w:sz w:val="19"/>
        </w:rPr>
        <w:t xml:space="preserve">terms </w:t>
      </w:r>
      <w:r>
        <w:rPr>
          <w:rFonts w:ascii="Arial;sans-serif" w:hAnsi="Arial;sans-serif"/>
          <w:b w:val="false"/>
          <w:color w:val="2A2A2A"/>
          <w:sz w:val="19"/>
        </w:rPr>
        <w:t xml:space="preserve">of </w:t>
      </w:r>
      <w:r>
        <w:rPr>
          <w:rFonts w:ascii="Arial;sans-serif" w:hAnsi="Arial;sans-serif"/>
          <w:b w:val="false"/>
          <w:color w:val="161616"/>
          <w:sz w:val="19"/>
        </w:rPr>
        <w:t xml:space="preserve">the Plan </w:t>
      </w:r>
      <w:r>
        <w:rPr>
          <w:rFonts w:ascii="Arial;sans-serif" w:hAnsi="Arial;sans-serif"/>
          <w:b w:val="false"/>
          <w:color w:val="2A2A2A"/>
          <w:sz w:val="19"/>
        </w:rPr>
        <w:t xml:space="preserve">are included </w:t>
      </w:r>
      <w:r>
        <w:rPr>
          <w:rFonts w:ascii="Arial;sans-serif" w:hAnsi="Arial;sans-serif"/>
          <w:b w:val="false"/>
          <w:color w:val="161616"/>
          <w:sz w:val="19"/>
        </w:rPr>
        <w:t xml:space="preserve">in the </w:t>
      </w:r>
      <w:r>
        <w:rPr>
          <w:rFonts w:ascii="Arial;sans-serif" w:hAnsi="Arial;sans-serif"/>
          <w:b w:val="false"/>
          <w:color w:val="2A2A2A"/>
          <w:sz w:val="19"/>
        </w:rPr>
        <w:t xml:space="preserve">current year's </w:t>
      </w:r>
      <w:r>
        <w:rPr>
          <w:rFonts w:ascii="Arial;sans-serif" w:hAnsi="Arial;sans-serif"/>
          <w:b w:val="false"/>
          <w:color w:val="161616"/>
          <w:sz w:val="19"/>
        </w:rPr>
        <w:t xml:space="preserve">Plan document, which </w:t>
      </w:r>
      <w:r>
        <w:rPr>
          <w:rFonts w:ascii="Arial;sans-serif" w:hAnsi="Arial;sans-serif"/>
          <w:b w:val="false"/>
          <w:color w:val="2A2A2A"/>
          <w:sz w:val="19"/>
        </w:rPr>
        <w:t xml:space="preserve">are available on </w:t>
      </w:r>
      <w:r>
        <w:rPr>
          <w:rFonts w:ascii="Arial;sans-serif" w:hAnsi="Arial;sans-serif"/>
          <w:b w:val="false"/>
          <w:color w:val="161616"/>
          <w:sz w:val="19"/>
        </w:rPr>
        <w:t>BiogenConnect.</w:t>
      </w:r>
    </w:p>
    <w:p>
      <w:pPr>
        <w:pStyle w:val="TextBody"/>
        <w:spacing w:before="10" w:after="283"/>
        <w:rPr/>
      </w:pPr>
      <w:r>
        <w:rPr/>
      </w:r>
    </w:p>
    <w:p>
      <w:pPr>
        <w:pStyle w:val="TextBody"/>
        <w:spacing w:lineRule="auto" w:line="292" w:before="0" w:after="0"/>
        <w:ind w:left="0" w:right="0" w:firstLine="3"/>
        <w:rPr/>
      </w:pPr>
      <w:r>
        <w:rPr>
          <w:rFonts w:ascii="Arial;sans-serif" w:hAnsi="Arial;sans-serif"/>
          <w:b/>
          <w:color w:val="161616"/>
          <w:sz w:val="19"/>
        </w:rPr>
        <w:t xml:space="preserve">Long-Term Incentive Plan: </w:t>
      </w:r>
      <w:r>
        <w:rPr>
          <w:rFonts w:ascii="Arial;sans-serif" w:hAnsi="Arial;sans-serif"/>
          <w:b w:val="false"/>
          <w:color w:val="2A2A2A"/>
          <w:sz w:val="19"/>
        </w:rPr>
        <w:t xml:space="preserve">We expect </w:t>
      </w:r>
      <w:r>
        <w:rPr>
          <w:rFonts w:ascii="Arial;sans-serif" w:hAnsi="Arial;sans-serif"/>
          <w:b w:val="false"/>
          <w:color w:val="161616"/>
          <w:sz w:val="19"/>
        </w:rPr>
        <w:t xml:space="preserve">that </w:t>
      </w:r>
      <w:r>
        <w:rPr>
          <w:rFonts w:ascii="Arial;sans-serif" w:hAnsi="Arial;sans-serif"/>
          <w:b w:val="false"/>
          <w:color w:val="2A2A2A"/>
          <w:sz w:val="19"/>
        </w:rPr>
        <w:t xml:space="preserve">you will </w:t>
      </w:r>
      <w:r>
        <w:rPr>
          <w:rFonts w:ascii="Arial;sans-serif" w:hAnsi="Arial;sans-serif"/>
          <w:b w:val="false"/>
          <w:color w:val="161616"/>
          <w:sz w:val="19"/>
        </w:rPr>
        <w:t xml:space="preserve">be </w:t>
      </w:r>
      <w:r>
        <w:rPr>
          <w:rFonts w:ascii="Arial;sans-serif" w:hAnsi="Arial;sans-serif"/>
          <w:b w:val="false"/>
          <w:color w:val="2A2A2A"/>
          <w:sz w:val="19"/>
        </w:rPr>
        <w:t xml:space="preserve">eligible </w:t>
      </w:r>
      <w:r>
        <w:rPr>
          <w:rFonts w:ascii="Arial;sans-serif" w:hAnsi="Arial;sans-serif"/>
          <w:b w:val="false"/>
          <w:color w:val="161616"/>
          <w:sz w:val="19"/>
        </w:rPr>
        <w:t xml:space="preserve">to </w:t>
      </w:r>
      <w:r>
        <w:rPr>
          <w:rFonts w:ascii="Arial;sans-serif" w:hAnsi="Arial;sans-serif"/>
          <w:b w:val="false"/>
          <w:color w:val="2A2A2A"/>
          <w:sz w:val="19"/>
        </w:rPr>
        <w:t xml:space="preserve">participate </w:t>
      </w:r>
      <w:r>
        <w:rPr>
          <w:rFonts w:ascii="Arial;sans-serif" w:hAnsi="Arial;sans-serif"/>
          <w:b w:val="false"/>
          <w:color w:val="161616"/>
          <w:sz w:val="19"/>
        </w:rPr>
        <w:t xml:space="preserve">in </w:t>
      </w:r>
      <w:r>
        <w:rPr>
          <w:rFonts w:ascii="Arial;sans-serif" w:hAnsi="Arial;sans-serif"/>
          <w:b w:val="false"/>
          <w:color w:val="2A2A2A"/>
          <w:sz w:val="19"/>
        </w:rPr>
        <w:t xml:space="preserve">the </w:t>
      </w:r>
      <w:r>
        <w:rPr>
          <w:rFonts w:ascii="Arial;sans-serif" w:hAnsi="Arial;sans-serif"/>
          <w:b w:val="false"/>
          <w:color w:val="161616"/>
          <w:sz w:val="19"/>
        </w:rPr>
        <w:t xml:space="preserve">Biogen </w:t>
      </w:r>
      <w:r>
        <w:rPr>
          <w:rFonts w:ascii="Arial;sans-serif" w:hAnsi="Arial;sans-serif"/>
          <w:b w:val="false"/>
          <w:color w:val="2A2A2A"/>
          <w:sz w:val="19"/>
        </w:rPr>
        <w:t xml:space="preserve">annual </w:t>
      </w:r>
      <w:r>
        <w:rPr>
          <w:rFonts w:ascii="Arial;sans-serif" w:hAnsi="Arial;sans-serif"/>
          <w:b w:val="false"/>
          <w:color w:val="161616"/>
          <w:sz w:val="19"/>
        </w:rPr>
        <w:t xml:space="preserve">Long-Term Incentive </w:t>
      </w:r>
      <w:r>
        <w:rPr>
          <w:rFonts w:ascii="Arial;sans-serif" w:hAnsi="Arial;sans-serif"/>
          <w:b w:val="false"/>
          <w:color w:val="2A2A2A"/>
          <w:sz w:val="19"/>
        </w:rPr>
        <w:t xml:space="preserve">(LTl) program. Approved </w:t>
      </w:r>
      <w:r>
        <w:rPr>
          <w:rFonts w:ascii="Arial;sans-serif" w:hAnsi="Arial;sans-serif"/>
          <w:b w:val="false"/>
          <w:color w:val="161616"/>
          <w:sz w:val="19"/>
        </w:rPr>
        <w:t xml:space="preserve">awards </w:t>
      </w:r>
      <w:r>
        <w:rPr>
          <w:rFonts w:ascii="Arial;sans-serif" w:hAnsi="Arial;sans-serif"/>
          <w:b w:val="false"/>
          <w:color w:val="2A2A2A"/>
          <w:sz w:val="19"/>
        </w:rPr>
        <w:t xml:space="preserve">would be </w:t>
      </w:r>
      <w:r>
        <w:rPr>
          <w:rFonts w:ascii="Arial;sans-serif" w:hAnsi="Arial;sans-serif"/>
          <w:b w:val="false"/>
          <w:color w:val="161616"/>
          <w:sz w:val="19"/>
        </w:rPr>
        <w:t xml:space="preserve">made under the Biogen Inc. </w:t>
      </w:r>
      <w:r>
        <w:rPr>
          <w:rFonts w:ascii="Arial;sans-serif" w:hAnsi="Arial;sans-serif"/>
          <w:b w:val="false"/>
          <w:color w:val="2A2A2A"/>
          <w:sz w:val="19"/>
        </w:rPr>
        <w:t xml:space="preserve">Omnibus </w:t>
      </w:r>
      <w:r>
        <w:rPr>
          <w:rFonts w:ascii="Arial;sans-serif" w:hAnsi="Arial;sans-serif"/>
          <w:b w:val="false"/>
          <w:color w:val="161616"/>
          <w:sz w:val="19"/>
        </w:rPr>
        <w:t xml:space="preserve">Equity Plan in </w:t>
      </w:r>
      <w:r>
        <w:rPr>
          <w:rFonts w:ascii="Arial;sans-serif" w:hAnsi="Arial;sans-serif"/>
          <w:b w:val="false"/>
          <w:color w:val="2A2A2A"/>
          <w:sz w:val="19"/>
        </w:rPr>
        <w:t xml:space="preserve">effect at </w:t>
      </w:r>
      <w:r>
        <w:rPr>
          <w:rFonts w:ascii="Arial;sans-serif" w:hAnsi="Arial;sans-serif"/>
          <w:b w:val="false"/>
          <w:color w:val="161616"/>
          <w:sz w:val="19"/>
        </w:rPr>
        <w:t xml:space="preserve">that time. The </w:t>
      </w:r>
      <w:r>
        <w:rPr>
          <w:rFonts w:ascii="Arial;sans-serif" w:hAnsi="Arial;sans-serif"/>
          <w:b w:val="false"/>
          <w:color w:val="2A2A2A"/>
          <w:sz w:val="19"/>
        </w:rPr>
        <w:t xml:space="preserve">details of </w:t>
      </w:r>
      <w:r>
        <w:rPr>
          <w:rFonts w:ascii="Arial;sans-serif" w:hAnsi="Arial;sans-serif"/>
          <w:b w:val="false"/>
          <w:color w:val="161616"/>
          <w:sz w:val="19"/>
        </w:rPr>
        <w:t xml:space="preserve">the LTl </w:t>
      </w:r>
      <w:r>
        <w:rPr>
          <w:rFonts w:ascii="Arial;sans-serif" w:hAnsi="Arial;sans-serif"/>
          <w:b w:val="false"/>
          <w:color w:val="2A2A2A"/>
          <w:sz w:val="19"/>
        </w:rPr>
        <w:t xml:space="preserve">awards will be subject </w:t>
      </w:r>
      <w:r>
        <w:rPr>
          <w:rFonts w:ascii="Arial;sans-serif" w:hAnsi="Arial;sans-serif"/>
          <w:b w:val="false"/>
          <w:color w:val="161616"/>
          <w:sz w:val="19"/>
        </w:rPr>
        <w:t xml:space="preserve">to the approval </w:t>
      </w:r>
      <w:r>
        <w:rPr>
          <w:rFonts w:ascii="Arial;sans-serif" w:hAnsi="Arial;sans-serif"/>
          <w:b w:val="false"/>
          <w:color w:val="2A2A2A"/>
          <w:sz w:val="19"/>
        </w:rPr>
        <w:t xml:space="preserve">of, and made by, </w:t>
      </w:r>
      <w:r>
        <w:rPr>
          <w:rFonts w:ascii="Arial;sans-serif" w:hAnsi="Arial;sans-serif"/>
          <w:b w:val="false"/>
          <w:color w:val="161616"/>
          <w:sz w:val="19"/>
        </w:rPr>
        <w:t xml:space="preserve">the </w:t>
      </w:r>
      <w:r>
        <w:rPr>
          <w:rFonts w:ascii="Arial;sans-serif" w:hAnsi="Arial;sans-serif"/>
          <w:b w:val="false"/>
          <w:color w:val="2A2A2A"/>
          <w:sz w:val="19"/>
        </w:rPr>
        <w:t xml:space="preserve">Compensation and </w:t>
      </w:r>
      <w:r>
        <w:rPr>
          <w:rFonts w:ascii="Arial;sans-serif" w:hAnsi="Arial;sans-serif"/>
          <w:b w:val="false"/>
          <w:color w:val="161616"/>
          <w:sz w:val="19"/>
        </w:rPr>
        <w:t xml:space="preserve">Management Development </w:t>
      </w:r>
      <w:r>
        <w:rPr>
          <w:rFonts w:ascii="Arial;sans-serif" w:hAnsi="Arial;sans-serif"/>
          <w:b w:val="false"/>
          <w:color w:val="2A2A2A"/>
          <w:sz w:val="19"/>
        </w:rPr>
        <w:t xml:space="preserve">Committee of the Board of </w:t>
      </w:r>
      <w:r>
        <w:rPr>
          <w:rFonts w:ascii="Arial;sans-serif" w:hAnsi="Arial;sans-serif"/>
          <w:b w:val="false"/>
          <w:color w:val="161616"/>
          <w:sz w:val="19"/>
        </w:rPr>
        <w:t xml:space="preserve">Directors </w:t>
      </w:r>
      <w:r>
        <w:rPr>
          <w:rFonts w:ascii="Arial;sans-serif" w:hAnsi="Arial;sans-serif"/>
          <w:b w:val="false"/>
          <w:color w:val="2A2A2A"/>
          <w:sz w:val="19"/>
        </w:rPr>
        <w:t xml:space="preserve">of </w:t>
      </w:r>
      <w:r>
        <w:rPr>
          <w:rFonts w:ascii="Arial;sans-serif" w:hAnsi="Arial;sans-serif"/>
          <w:b w:val="false"/>
          <w:color w:val="161616"/>
          <w:sz w:val="19"/>
        </w:rPr>
        <w:t>Biogen.</w:t>
      </w:r>
    </w:p>
    <w:p>
      <w:pPr>
        <w:pStyle w:val="TextBody"/>
        <w:spacing w:before="1" w:after="283"/>
        <w:rPr/>
      </w:pPr>
      <w:r>
        <w:rPr/>
      </w:r>
    </w:p>
    <w:p>
      <w:pPr>
        <w:pStyle w:val="TextBody"/>
        <w:spacing w:lineRule="auto" w:line="297" w:before="1" w:after="283"/>
        <w:ind w:left="0" w:right="0" w:firstLine="5"/>
        <w:rPr/>
      </w:pPr>
      <w:r>
        <w:rPr>
          <w:rFonts w:ascii="Arial;sans-serif" w:hAnsi="Arial;sans-serif"/>
          <w:b w:val="false"/>
          <w:color w:val="2A2A2A"/>
          <w:sz w:val="19"/>
        </w:rPr>
        <w:t xml:space="preserve">Your employment at </w:t>
      </w:r>
      <w:r>
        <w:rPr>
          <w:rFonts w:ascii="Arial;sans-serif" w:hAnsi="Arial;sans-serif"/>
          <w:b w:val="false"/>
          <w:color w:val="161616"/>
          <w:sz w:val="19"/>
        </w:rPr>
        <w:t xml:space="preserve">Biogen </w:t>
      </w:r>
      <w:r>
        <w:rPr>
          <w:rFonts w:ascii="Arial;sans-serif" w:hAnsi="Arial;sans-serif"/>
          <w:b w:val="false"/>
          <w:color w:val="2A2A2A"/>
          <w:sz w:val="19"/>
        </w:rPr>
        <w:t xml:space="preserve">continues to be employment at-will. </w:t>
      </w:r>
      <w:r>
        <w:rPr>
          <w:rFonts w:ascii="Arial;sans-serif" w:hAnsi="Arial;sans-serif"/>
          <w:b w:val="false"/>
          <w:color w:val="161616"/>
          <w:sz w:val="19"/>
        </w:rPr>
        <w:t xml:space="preserve">This </w:t>
      </w:r>
      <w:r>
        <w:rPr>
          <w:rFonts w:ascii="Arial;sans-serif" w:hAnsi="Arial;sans-serif"/>
          <w:b w:val="false"/>
          <w:color w:val="2A2A2A"/>
          <w:sz w:val="19"/>
        </w:rPr>
        <w:t xml:space="preserve">means </w:t>
      </w:r>
      <w:r>
        <w:rPr>
          <w:rFonts w:ascii="Arial;sans-serif" w:hAnsi="Arial;sans-serif"/>
          <w:b w:val="false"/>
          <w:color w:val="161616"/>
          <w:sz w:val="19"/>
        </w:rPr>
        <w:t xml:space="preserve">that just </w:t>
      </w:r>
      <w:r>
        <w:rPr>
          <w:rFonts w:ascii="Arial;sans-serif" w:hAnsi="Arial;sans-serif"/>
          <w:b w:val="false"/>
          <w:color w:val="2A2A2A"/>
          <w:sz w:val="19"/>
        </w:rPr>
        <w:t xml:space="preserve">as you are </w:t>
      </w:r>
      <w:r>
        <w:rPr>
          <w:rFonts w:ascii="Arial;sans-serif" w:hAnsi="Arial;sans-serif"/>
          <w:b w:val="false"/>
          <w:color w:val="161616"/>
          <w:sz w:val="19"/>
        </w:rPr>
        <w:t xml:space="preserve">free to leave </w:t>
      </w:r>
      <w:r>
        <w:rPr>
          <w:rFonts w:ascii="Arial;sans-serif" w:hAnsi="Arial;sans-serif"/>
          <w:b w:val="false"/>
          <w:color w:val="2A2A2A"/>
          <w:sz w:val="19"/>
        </w:rPr>
        <w:t xml:space="preserve">your employment at any </w:t>
      </w:r>
      <w:r>
        <w:rPr>
          <w:rFonts w:ascii="Arial;sans-serif" w:hAnsi="Arial;sans-serif"/>
          <w:b w:val="false"/>
          <w:color w:val="161616"/>
          <w:sz w:val="19"/>
        </w:rPr>
        <w:t xml:space="preserve">time, </w:t>
      </w:r>
      <w:r>
        <w:rPr>
          <w:rFonts w:ascii="Arial;sans-serif" w:hAnsi="Arial;sans-serif"/>
          <w:b w:val="false"/>
          <w:color w:val="2A2A2A"/>
          <w:sz w:val="19"/>
        </w:rPr>
        <w:t xml:space="preserve">with or without cause or notice, Biogen also </w:t>
      </w:r>
      <w:r>
        <w:rPr>
          <w:rFonts w:ascii="Arial;sans-serif" w:hAnsi="Arial;sans-serif"/>
          <w:b w:val="false"/>
          <w:color w:val="161616"/>
          <w:sz w:val="19"/>
        </w:rPr>
        <w:t xml:space="preserve">has </w:t>
      </w:r>
      <w:r>
        <w:rPr>
          <w:rFonts w:ascii="Arial;sans-serif" w:hAnsi="Arial;sans-serif"/>
          <w:b w:val="false"/>
          <w:color w:val="2A2A2A"/>
          <w:sz w:val="19"/>
        </w:rPr>
        <w:t xml:space="preserve">the same right </w:t>
      </w:r>
      <w:r>
        <w:rPr>
          <w:rFonts w:ascii="Arial;sans-serif" w:hAnsi="Arial;sans-serif"/>
          <w:b w:val="false"/>
          <w:color w:val="161616"/>
          <w:sz w:val="19"/>
        </w:rPr>
        <w:t xml:space="preserve">to terminate </w:t>
      </w:r>
      <w:r>
        <w:rPr>
          <w:rFonts w:ascii="Arial;sans-serif" w:hAnsi="Arial;sans-serif"/>
          <w:b w:val="false"/>
          <w:color w:val="2A2A2A"/>
          <w:sz w:val="19"/>
        </w:rPr>
        <w:t xml:space="preserve">your employment at any </w:t>
      </w:r>
      <w:r>
        <w:rPr>
          <w:rFonts w:ascii="Arial;sans-serif" w:hAnsi="Arial;sans-serif"/>
          <w:b w:val="false"/>
          <w:color w:val="161616"/>
          <w:sz w:val="19"/>
        </w:rPr>
        <w:t xml:space="preserve">time, </w:t>
      </w:r>
      <w:r>
        <w:rPr>
          <w:rFonts w:ascii="Arial;sans-serif" w:hAnsi="Arial;sans-serif"/>
          <w:b w:val="false"/>
          <w:color w:val="2A2A2A"/>
          <w:sz w:val="19"/>
        </w:rPr>
        <w:t xml:space="preserve">with or without cause or </w:t>
      </w:r>
      <w:r>
        <w:rPr>
          <w:rFonts w:ascii="Arial;sans-serif" w:hAnsi="Arial;sans-serif"/>
          <w:b w:val="false"/>
          <w:color w:val="161616"/>
          <w:sz w:val="19"/>
        </w:rPr>
        <w:t>notice.</w:t>
      </w:r>
    </w:p>
    <w:p>
      <w:pPr>
        <w:pStyle w:val="TextBody"/>
        <w:spacing w:before="11" w:after="283"/>
        <w:rPr/>
      </w:pPr>
      <w:r>
        <w:rPr/>
      </w:r>
    </w:p>
    <w:p>
      <w:pPr>
        <w:pStyle w:val="TextBody"/>
        <w:spacing w:lineRule="auto" w:line="295" w:before="0" w:after="0"/>
        <w:ind w:left="0" w:right="0" w:firstLine="4"/>
        <w:rPr/>
      </w:pPr>
      <w:r>
        <w:rPr>
          <w:rFonts w:ascii="Arial;sans-serif" w:hAnsi="Arial;sans-serif"/>
          <w:b w:val="false"/>
          <w:color w:val="161616"/>
          <w:sz w:val="19"/>
        </w:rPr>
        <w:t xml:space="preserve">In </w:t>
      </w:r>
      <w:r>
        <w:rPr>
          <w:rFonts w:ascii="Arial;sans-serif" w:hAnsi="Arial;sans-serif"/>
          <w:b w:val="false"/>
          <w:color w:val="2A2A2A"/>
          <w:sz w:val="19"/>
        </w:rPr>
        <w:t xml:space="preserve">addition </w:t>
      </w:r>
      <w:r>
        <w:rPr>
          <w:rFonts w:ascii="Arial;sans-serif" w:hAnsi="Arial;sans-serif"/>
          <w:b w:val="false"/>
          <w:color w:val="161616"/>
          <w:sz w:val="19"/>
        </w:rPr>
        <w:t xml:space="preserve">to </w:t>
      </w:r>
      <w:r>
        <w:rPr>
          <w:rFonts w:ascii="Arial;sans-serif" w:hAnsi="Arial;sans-serif"/>
          <w:b w:val="false"/>
          <w:color w:val="2A2A2A"/>
          <w:sz w:val="19"/>
        </w:rPr>
        <w:t xml:space="preserve">agreeing </w:t>
      </w:r>
      <w:r>
        <w:rPr>
          <w:rFonts w:ascii="Arial;sans-serif" w:hAnsi="Arial;sans-serif"/>
          <w:b w:val="false"/>
          <w:color w:val="161616"/>
          <w:sz w:val="19"/>
        </w:rPr>
        <w:t xml:space="preserve">to </w:t>
      </w:r>
      <w:r>
        <w:rPr>
          <w:rFonts w:ascii="Arial;sans-serif" w:hAnsi="Arial;sans-serif"/>
          <w:b w:val="false"/>
          <w:color w:val="2A2A2A"/>
          <w:sz w:val="19"/>
        </w:rPr>
        <w:t xml:space="preserve">and signing </w:t>
      </w:r>
      <w:r>
        <w:rPr>
          <w:rFonts w:ascii="Arial;sans-serif" w:hAnsi="Arial;sans-serif"/>
          <w:b w:val="false"/>
          <w:color w:val="161616"/>
          <w:sz w:val="19"/>
        </w:rPr>
        <w:t xml:space="preserve">this </w:t>
      </w:r>
      <w:r>
        <w:rPr>
          <w:rFonts w:ascii="Arial;sans-serif" w:hAnsi="Arial;sans-serif"/>
          <w:b w:val="false"/>
          <w:color w:val="2A2A2A"/>
          <w:sz w:val="19"/>
        </w:rPr>
        <w:t xml:space="preserve">appointment </w:t>
      </w:r>
      <w:r>
        <w:rPr>
          <w:rFonts w:ascii="Arial;sans-serif" w:hAnsi="Arial;sans-serif"/>
          <w:b w:val="false"/>
          <w:color w:val="161616"/>
          <w:sz w:val="19"/>
        </w:rPr>
        <w:t xml:space="preserve">letter, </w:t>
      </w:r>
      <w:r>
        <w:rPr>
          <w:rFonts w:ascii="Arial;sans-serif" w:hAnsi="Arial;sans-serif"/>
          <w:b w:val="false"/>
          <w:color w:val="2A2A2A"/>
          <w:sz w:val="19"/>
        </w:rPr>
        <w:t xml:space="preserve">please also sign </w:t>
      </w:r>
      <w:r>
        <w:rPr>
          <w:rFonts w:ascii="Arial;sans-serif" w:hAnsi="Arial;sans-serif"/>
          <w:b w:val="false"/>
          <w:color w:val="161616"/>
          <w:sz w:val="19"/>
        </w:rPr>
        <w:t xml:space="preserve">the </w:t>
      </w:r>
      <w:r>
        <w:rPr>
          <w:rFonts w:ascii="Arial;sans-serif" w:hAnsi="Arial;sans-serif"/>
          <w:b w:val="false"/>
          <w:color w:val="2A2A2A"/>
          <w:sz w:val="19"/>
        </w:rPr>
        <w:t xml:space="preserve">attached </w:t>
      </w:r>
      <w:r>
        <w:rPr>
          <w:rFonts w:ascii="Arial;sans-serif" w:hAnsi="Arial;sans-serif"/>
          <w:b w:val="false"/>
          <w:color w:val="161616"/>
          <w:sz w:val="19"/>
        </w:rPr>
        <w:t xml:space="preserve">Employee Proprietary Information </w:t>
      </w:r>
      <w:r>
        <w:rPr>
          <w:rFonts w:ascii="Arial;sans-serif" w:hAnsi="Arial;sans-serif"/>
          <w:b w:val="false"/>
          <w:color w:val="2A2A2A"/>
          <w:sz w:val="19"/>
        </w:rPr>
        <w:t xml:space="preserve">and </w:t>
      </w:r>
      <w:r>
        <w:rPr>
          <w:rFonts w:ascii="Arial;sans-serif" w:hAnsi="Arial;sans-serif"/>
          <w:b w:val="false"/>
          <w:color w:val="161616"/>
          <w:sz w:val="19"/>
        </w:rPr>
        <w:t xml:space="preserve">Inventions </w:t>
      </w:r>
      <w:r>
        <w:rPr>
          <w:rFonts w:ascii="Arial;sans-serif" w:hAnsi="Arial;sans-serif"/>
          <w:b w:val="false"/>
          <w:color w:val="2A2A2A"/>
          <w:sz w:val="19"/>
        </w:rPr>
        <w:t xml:space="preserve">and Non-Compete Agreement, as with this appointment, you will become an </w:t>
      </w:r>
      <w:r>
        <w:rPr>
          <w:rFonts w:ascii="Arial;sans-serif" w:hAnsi="Arial;sans-serif"/>
          <w:b w:val="false"/>
          <w:color w:val="161616"/>
          <w:sz w:val="19"/>
        </w:rPr>
        <w:t xml:space="preserve">Executive </w:t>
      </w:r>
      <w:r>
        <w:rPr>
          <w:rFonts w:ascii="Arial;sans-serif" w:hAnsi="Arial;sans-serif"/>
          <w:b w:val="false"/>
          <w:color w:val="2A2A2A"/>
          <w:sz w:val="19"/>
        </w:rPr>
        <w:t xml:space="preserve">Officer of </w:t>
      </w:r>
      <w:r>
        <w:rPr>
          <w:rFonts w:ascii="Arial;sans-serif" w:hAnsi="Arial;sans-serif"/>
          <w:b w:val="false"/>
          <w:color w:val="161616"/>
          <w:sz w:val="19"/>
        </w:rPr>
        <w:t xml:space="preserve">the </w:t>
      </w:r>
      <w:r>
        <w:rPr>
          <w:rFonts w:ascii="Arial;sans-serif" w:hAnsi="Arial;sans-serif"/>
          <w:b w:val="false"/>
          <w:color w:val="2A2A2A"/>
          <w:sz w:val="19"/>
        </w:rPr>
        <w:t>Company.</w:t>
      </w:r>
    </w:p>
    <w:p>
      <w:pPr>
        <w:pStyle w:val="TextBody"/>
        <w:spacing w:before="10" w:after="283"/>
        <w:rPr/>
      </w:pPr>
      <w:r>
        <w:rPr/>
      </w:r>
    </w:p>
    <w:p>
      <w:pPr>
        <w:pStyle w:val="TextBody"/>
        <w:spacing w:lineRule="auto" w:line="295" w:before="0" w:after="0"/>
        <w:ind w:left="0" w:right="0" w:firstLine="1"/>
        <w:rPr/>
      </w:pPr>
      <w:r>
        <w:rPr>
          <w:rFonts w:ascii="Arial;sans-serif" w:hAnsi="Arial;sans-serif"/>
          <w:b w:val="false"/>
          <w:color w:val="161616"/>
          <w:sz w:val="19"/>
        </w:rPr>
        <w:t xml:space="preserve">Finally, </w:t>
      </w:r>
      <w:r>
        <w:rPr>
          <w:rFonts w:ascii="Arial;sans-serif" w:hAnsi="Arial;sans-serif"/>
          <w:b w:val="false"/>
          <w:color w:val="2A2A2A"/>
          <w:sz w:val="19"/>
        </w:rPr>
        <w:t xml:space="preserve">outlined </w:t>
      </w:r>
      <w:r>
        <w:rPr>
          <w:rFonts w:ascii="Arial;sans-serif" w:hAnsi="Arial;sans-serif"/>
          <w:b w:val="false"/>
          <w:color w:val="161616"/>
          <w:sz w:val="19"/>
        </w:rPr>
        <w:t xml:space="preserve">below </w:t>
      </w:r>
      <w:r>
        <w:rPr>
          <w:rFonts w:ascii="Arial;sans-serif" w:hAnsi="Arial;sans-serif"/>
          <w:b w:val="false"/>
          <w:color w:val="2A2A2A"/>
          <w:sz w:val="19"/>
        </w:rPr>
        <w:t xml:space="preserve">are the additional benefits you are eligible for as an </w:t>
      </w:r>
      <w:r>
        <w:rPr>
          <w:rFonts w:ascii="Arial;sans-serif" w:hAnsi="Arial;sans-serif"/>
          <w:b w:val="false"/>
          <w:color w:val="161616"/>
          <w:sz w:val="19"/>
        </w:rPr>
        <w:t xml:space="preserve">EVP, </w:t>
      </w:r>
      <w:r>
        <w:rPr>
          <w:rFonts w:ascii="Arial;sans-serif" w:hAnsi="Arial;sans-serif"/>
          <w:b w:val="false"/>
          <w:color w:val="2A2A2A"/>
          <w:sz w:val="19"/>
        </w:rPr>
        <w:t>some of which you are already eligible for as a VP+ executive:</w:t>
      </w:r>
    </w:p>
    <w:p>
      <w:pPr>
        <w:pStyle w:val="TextBody"/>
        <w:spacing w:before="8" w:after="283"/>
        <w:rPr/>
      </w:pPr>
      <w:r>
        <w:rPr/>
      </w:r>
    </w:p>
    <w:p>
      <w:pPr>
        <w:pStyle w:val="TextBody"/>
        <w:spacing w:lineRule="auto" w:line="240" w:before="1" w:after="283"/>
        <w:rPr>
          <w:rFonts w:ascii="Arial;sans-serif" w:hAnsi="Arial;sans-serif"/>
          <w:b/>
          <w:color w:val="161616"/>
          <w:sz w:val="19"/>
        </w:rPr>
      </w:pPr>
      <w:r>
        <w:rPr>
          <w:rFonts w:ascii="Arial;sans-serif" w:hAnsi="Arial;sans-serif"/>
          <w:b/>
          <w:color w:val="161616"/>
          <w:sz w:val="19"/>
        </w:rPr>
        <w:t>Additional Executive Benefits</w:t>
      </w:r>
    </w:p>
    <w:p>
      <w:pPr>
        <w:pStyle w:val="TextBody"/>
        <w:spacing w:before="9" w:after="283"/>
        <w:rPr/>
      </w:pPr>
      <w:r>
        <w:rPr/>
      </w:r>
    </w:p>
    <w:p>
      <w:pPr>
        <w:pStyle w:val="TextBody"/>
        <w:spacing w:lineRule="auto" w:line="240" w:before="0" w:after="0"/>
        <w:ind w:left="0" w:right="0" w:hanging="1"/>
        <w:rPr/>
      </w:pPr>
      <w:r>
        <w:rPr>
          <w:rFonts w:ascii="Arial;sans-serif" w:hAnsi="Arial;sans-serif"/>
          <w:b/>
          <w:color w:val="161616"/>
          <w:sz w:val="19"/>
        </w:rPr>
        <w:t>Vacation</w:t>
      </w:r>
      <w:r>
        <w:rPr>
          <w:rFonts w:ascii="Arial;sans-serif" w:hAnsi="Arial;sans-serif"/>
          <w:b/>
          <w:color w:val="494949"/>
          <w:sz w:val="19"/>
        </w:rPr>
        <w:t xml:space="preserve">: </w:t>
      </w:r>
      <w:r>
        <w:rPr>
          <w:rFonts w:ascii="Arial;sans-serif" w:hAnsi="Arial;sans-serif"/>
          <w:b w:val="false"/>
          <w:color w:val="2A2A2A"/>
          <w:sz w:val="19"/>
        </w:rPr>
        <w:t xml:space="preserve">You are entitled </w:t>
      </w:r>
      <w:r>
        <w:rPr>
          <w:rFonts w:ascii="Arial;sans-serif" w:hAnsi="Arial;sans-serif"/>
          <w:b w:val="false"/>
          <w:color w:val="161616"/>
          <w:sz w:val="19"/>
        </w:rPr>
        <w:t xml:space="preserve">to </w:t>
      </w:r>
      <w:r>
        <w:rPr>
          <w:rFonts w:ascii="Arial;sans-serif" w:hAnsi="Arial;sans-serif"/>
          <w:b w:val="false"/>
          <w:color w:val="2A2A2A"/>
          <w:sz w:val="19"/>
        </w:rPr>
        <w:t xml:space="preserve">vacation days based on years of service </w:t>
      </w:r>
      <w:r>
        <w:rPr>
          <w:rFonts w:ascii="Arial;sans-serif" w:hAnsi="Arial;sans-serif"/>
          <w:b w:val="false"/>
          <w:color w:val="161616"/>
          <w:sz w:val="19"/>
        </w:rPr>
        <w:t xml:space="preserve">measured </w:t>
      </w:r>
      <w:r>
        <w:rPr>
          <w:rFonts w:ascii="Arial;sans-serif" w:hAnsi="Arial;sans-serif"/>
          <w:b w:val="false"/>
          <w:color w:val="2A2A2A"/>
          <w:sz w:val="19"/>
        </w:rPr>
        <w:t xml:space="preserve">from your hire date at </w:t>
      </w:r>
      <w:r>
        <w:rPr>
          <w:rFonts w:ascii="Arial;sans-serif" w:hAnsi="Arial;sans-serif"/>
          <w:b w:val="false"/>
          <w:color w:val="161616"/>
          <w:sz w:val="19"/>
        </w:rPr>
        <w:t xml:space="preserve">Biogen </w:t>
      </w:r>
      <w:r>
        <w:rPr>
          <w:rFonts w:ascii="Arial;sans-serif" w:hAnsi="Arial;sans-serif"/>
          <w:b w:val="false"/>
          <w:color w:val="2A2A2A"/>
          <w:sz w:val="19"/>
        </w:rPr>
        <w:t xml:space="preserve">(July </w:t>
      </w:r>
      <w:r>
        <w:rPr>
          <w:rFonts w:ascii="Arial;sans-serif" w:hAnsi="Arial;sans-serif"/>
          <w:b w:val="false"/>
          <w:color w:val="161616"/>
          <w:sz w:val="19"/>
        </w:rPr>
        <w:t>1</w:t>
      </w:r>
      <w:r>
        <w:rPr>
          <w:rFonts w:ascii="Arial;sans-serif" w:hAnsi="Arial;sans-serif"/>
          <w:b w:val="false"/>
          <w:color w:val="494949"/>
          <w:sz w:val="14"/>
        </w:rPr>
        <w:t>s</w:t>
      </w:r>
      <w:r>
        <w:rPr>
          <w:rFonts w:ascii="Arial;sans-serif" w:hAnsi="Arial;sans-serif"/>
          <w:b w:val="false"/>
          <w:color w:val="2A2A2A"/>
          <w:sz w:val="14"/>
        </w:rPr>
        <w:t xml:space="preserve">t, </w:t>
      </w:r>
      <w:r>
        <w:rPr>
          <w:rFonts w:ascii="Arial;sans-serif" w:hAnsi="Arial;sans-serif"/>
          <w:b w:val="false"/>
          <w:color w:val="2A2A2A"/>
          <w:sz w:val="19"/>
        </w:rPr>
        <w:t>2019)</w:t>
      </w:r>
    </w:p>
    <w:p>
      <w:pPr>
        <w:pStyle w:val="TextBody"/>
        <w:spacing w:before="5" w:after="283"/>
        <w:rPr/>
      </w:pPr>
      <w:r>
        <w:rPr/>
      </w:r>
    </w:p>
    <w:p>
      <w:pPr>
        <w:pStyle w:val="TextBody"/>
        <w:spacing w:lineRule="auto" w:line="297" w:before="0" w:after="0"/>
        <w:ind w:left="0" w:right="0" w:firstLine="2"/>
        <w:rPr/>
      </w:pPr>
      <w:r>
        <w:rPr>
          <w:rFonts w:ascii="Arial;sans-serif" w:hAnsi="Arial;sans-serif"/>
          <w:b/>
          <w:color w:val="161616"/>
          <w:sz w:val="19"/>
        </w:rPr>
        <w:t xml:space="preserve">Supplemental Savings Plan: </w:t>
      </w:r>
      <w:r>
        <w:rPr>
          <w:rFonts w:ascii="Arial;sans-serif" w:hAnsi="Arial;sans-serif"/>
          <w:b w:val="false"/>
          <w:color w:val="2A2A2A"/>
          <w:sz w:val="19"/>
        </w:rPr>
        <w:t xml:space="preserve">You will be entitled </w:t>
      </w:r>
      <w:r>
        <w:rPr>
          <w:rFonts w:ascii="Arial;sans-serif" w:hAnsi="Arial;sans-serif"/>
          <w:b w:val="false"/>
          <w:color w:val="161616"/>
          <w:sz w:val="19"/>
        </w:rPr>
        <w:t xml:space="preserve">to </w:t>
      </w:r>
      <w:r>
        <w:rPr>
          <w:rFonts w:ascii="Arial;sans-serif" w:hAnsi="Arial;sans-serif"/>
          <w:b w:val="false"/>
          <w:color w:val="2A2A2A"/>
          <w:sz w:val="19"/>
        </w:rPr>
        <w:t xml:space="preserve">participate in </w:t>
      </w:r>
      <w:r>
        <w:rPr>
          <w:rFonts w:ascii="Arial;sans-serif" w:hAnsi="Arial;sans-serif"/>
          <w:b w:val="false"/>
          <w:color w:val="161616"/>
          <w:sz w:val="19"/>
        </w:rPr>
        <w:t>Biogen</w:t>
      </w:r>
      <w:r>
        <w:rPr>
          <w:rFonts w:ascii="Arial;sans-serif" w:hAnsi="Arial;sans-serif"/>
          <w:b w:val="false"/>
          <w:color w:val="494949"/>
          <w:sz w:val="19"/>
        </w:rPr>
        <w:t>'</w:t>
      </w:r>
      <w:r>
        <w:rPr>
          <w:rFonts w:ascii="Arial;sans-serif" w:hAnsi="Arial;sans-serif"/>
          <w:b w:val="false"/>
          <w:color w:val="2A2A2A"/>
          <w:sz w:val="19"/>
        </w:rPr>
        <w:t xml:space="preserve">s Supplemental Savings Plan (SSP). This plan allows you </w:t>
      </w:r>
      <w:r>
        <w:rPr>
          <w:rFonts w:ascii="Arial;sans-serif" w:hAnsi="Arial;sans-serif"/>
          <w:b w:val="false"/>
          <w:color w:val="161616"/>
          <w:sz w:val="19"/>
        </w:rPr>
        <w:t xml:space="preserve">to </w:t>
      </w:r>
      <w:r>
        <w:rPr>
          <w:rFonts w:ascii="Arial;sans-serif" w:hAnsi="Arial;sans-serif"/>
          <w:b w:val="false"/>
          <w:color w:val="2A2A2A"/>
          <w:sz w:val="19"/>
        </w:rPr>
        <w:t xml:space="preserve">make pre-tax deferrals </w:t>
      </w:r>
      <w:r>
        <w:rPr>
          <w:rFonts w:ascii="Arial;sans-serif" w:hAnsi="Arial;sans-serif"/>
          <w:b w:val="false"/>
          <w:color w:val="161616"/>
          <w:sz w:val="19"/>
        </w:rPr>
        <w:t xml:space="preserve">up to </w:t>
      </w:r>
      <w:r>
        <w:rPr>
          <w:rFonts w:ascii="Arial;sans-serif" w:hAnsi="Arial;sans-serif"/>
          <w:b w:val="false"/>
          <w:color w:val="2A2A2A"/>
          <w:sz w:val="19"/>
        </w:rPr>
        <w:t xml:space="preserve">80% of your base salary and up </w:t>
      </w:r>
      <w:r>
        <w:rPr>
          <w:rFonts w:ascii="Arial;sans-serif" w:hAnsi="Arial;sans-serif"/>
          <w:b w:val="false"/>
          <w:color w:val="161616"/>
          <w:sz w:val="19"/>
        </w:rPr>
        <w:t xml:space="preserve">to </w:t>
      </w:r>
      <w:r>
        <w:rPr>
          <w:rFonts w:ascii="Arial;sans-serif" w:hAnsi="Arial;sans-serif"/>
          <w:b w:val="false"/>
          <w:color w:val="2A2A2A"/>
          <w:sz w:val="19"/>
        </w:rPr>
        <w:t xml:space="preserve">100% of your Annual Bonus payment and certain other eligible </w:t>
      </w:r>
      <w:r>
        <w:rPr>
          <w:rFonts w:ascii="Arial;sans-serif" w:hAnsi="Arial;sans-serif"/>
          <w:b w:val="false"/>
          <w:color w:val="161616"/>
          <w:sz w:val="19"/>
        </w:rPr>
        <w:t xml:space="preserve">incentive </w:t>
      </w:r>
      <w:r>
        <w:rPr>
          <w:rFonts w:ascii="Arial;sans-serif" w:hAnsi="Arial;sans-serif"/>
          <w:b w:val="false"/>
          <w:color w:val="2A2A2A"/>
          <w:sz w:val="19"/>
        </w:rPr>
        <w:t xml:space="preserve">payments. Your contributions to </w:t>
      </w:r>
      <w:r>
        <w:rPr>
          <w:rFonts w:ascii="Arial;sans-serif" w:hAnsi="Arial;sans-serif"/>
          <w:b w:val="false"/>
          <w:color w:val="161616"/>
          <w:sz w:val="19"/>
        </w:rPr>
        <w:t xml:space="preserve">this </w:t>
      </w:r>
      <w:r>
        <w:rPr>
          <w:rFonts w:ascii="Arial;sans-serif" w:hAnsi="Arial;sans-serif"/>
          <w:b w:val="false"/>
          <w:color w:val="2A2A2A"/>
          <w:sz w:val="19"/>
        </w:rPr>
        <w:t xml:space="preserve">plan may be </w:t>
      </w:r>
      <w:r>
        <w:rPr>
          <w:rFonts w:ascii="Arial;sans-serif" w:hAnsi="Arial;sans-serif"/>
          <w:b w:val="false"/>
          <w:color w:val="161616"/>
          <w:sz w:val="19"/>
        </w:rPr>
        <w:t xml:space="preserve">limited </w:t>
      </w:r>
      <w:r>
        <w:rPr>
          <w:rFonts w:ascii="Arial;sans-serif" w:hAnsi="Arial;sans-serif"/>
          <w:b w:val="false"/>
          <w:color w:val="2A2A2A"/>
          <w:sz w:val="19"/>
        </w:rPr>
        <w:t>by your contributions towards other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7"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9" w:after="283"/>
        <w:rPr/>
      </w:pPr>
      <w:r>
        <w:rPr/>
      </w:r>
    </w:p>
    <w:p>
      <w:pPr>
        <w:pStyle w:val="TextBody"/>
        <w:spacing w:lineRule="auto" w:line="295" w:before="94" w:after="283"/>
        <w:ind w:left="0" w:right="0" w:hanging="6"/>
        <w:rPr/>
      </w:pPr>
      <w:r>
        <w:rPr>
          <w:rFonts w:ascii="Arial;sans-serif" w:hAnsi="Arial;sans-serif"/>
          <w:b w:val="false"/>
          <w:color w:val="282828"/>
          <w:sz w:val="19"/>
        </w:rPr>
        <w:t xml:space="preserve">plans </w:t>
      </w:r>
      <w:r>
        <w:rPr>
          <w:rFonts w:ascii="Arial;sans-serif" w:hAnsi="Arial;sans-serif"/>
          <w:b w:val="false"/>
          <w:color w:val="131313"/>
          <w:sz w:val="19"/>
        </w:rPr>
        <w:t xml:space="preserve">(e.g., </w:t>
      </w:r>
      <w:r>
        <w:rPr>
          <w:rFonts w:ascii="Arial;sans-serif" w:hAnsi="Arial;sans-serif"/>
          <w:b w:val="false"/>
          <w:color w:val="282828"/>
          <w:sz w:val="19"/>
        </w:rPr>
        <w:t xml:space="preserve">401(k), </w:t>
      </w:r>
      <w:r>
        <w:rPr>
          <w:rFonts w:ascii="Arial;sans-serif" w:hAnsi="Arial;sans-serif"/>
          <w:b w:val="false"/>
          <w:color w:val="131313"/>
          <w:sz w:val="19"/>
        </w:rPr>
        <w:t xml:space="preserve">ESPP, </w:t>
      </w:r>
      <w:r>
        <w:rPr>
          <w:rFonts w:ascii="Arial;sans-serif" w:hAnsi="Arial;sans-serif"/>
          <w:b w:val="false"/>
          <w:color w:val="282828"/>
          <w:sz w:val="19"/>
        </w:rPr>
        <w:t xml:space="preserve">medical, etc.). </w:t>
      </w:r>
      <w:r>
        <w:rPr>
          <w:rFonts w:ascii="Arial;sans-serif" w:hAnsi="Arial;sans-serif"/>
          <w:b w:val="false"/>
          <w:color w:val="131313"/>
          <w:sz w:val="19"/>
        </w:rPr>
        <w:t xml:space="preserve">If </w:t>
      </w:r>
      <w:r>
        <w:rPr>
          <w:rFonts w:ascii="Arial;sans-serif" w:hAnsi="Arial;sans-serif"/>
          <w:b w:val="false"/>
          <w:color w:val="282828"/>
          <w:sz w:val="19"/>
        </w:rPr>
        <w:t xml:space="preserve">you were </w:t>
      </w:r>
      <w:r>
        <w:rPr>
          <w:rFonts w:ascii="Arial;sans-serif" w:hAnsi="Arial;sans-serif"/>
          <w:b w:val="false"/>
          <w:color w:val="131313"/>
          <w:sz w:val="19"/>
        </w:rPr>
        <w:t xml:space="preserve">not </w:t>
      </w:r>
      <w:r>
        <w:rPr>
          <w:rFonts w:ascii="Arial;sans-serif" w:hAnsi="Arial;sans-serif"/>
          <w:b w:val="false"/>
          <w:color w:val="282828"/>
          <w:sz w:val="19"/>
        </w:rPr>
        <w:t xml:space="preserve">previously eligible for </w:t>
      </w:r>
      <w:r>
        <w:rPr>
          <w:rFonts w:ascii="Arial;sans-serif" w:hAnsi="Arial;sans-serif"/>
          <w:b w:val="false"/>
          <w:color w:val="131313"/>
          <w:sz w:val="19"/>
        </w:rPr>
        <w:t xml:space="preserve">the </w:t>
      </w:r>
      <w:r>
        <w:rPr>
          <w:rFonts w:ascii="Arial;sans-serif" w:hAnsi="Arial;sans-serif"/>
          <w:b w:val="false"/>
          <w:color w:val="282828"/>
          <w:sz w:val="19"/>
        </w:rPr>
        <w:t xml:space="preserve">SSP, enrollment </w:t>
      </w:r>
      <w:r>
        <w:rPr>
          <w:rFonts w:ascii="Arial;sans-serif" w:hAnsi="Arial;sans-serif"/>
          <w:b w:val="false"/>
          <w:color w:val="131313"/>
          <w:sz w:val="19"/>
        </w:rPr>
        <w:t xml:space="preserve">information </w:t>
      </w:r>
      <w:r>
        <w:rPr>
          <w:rFonts w:ascii="Arial;sans-serif" w:hAnsi="Arial;sans-serif"/>
          <w:b w:val="false"/>
          <w:color w:val="282828"/>
          <w:sz w:val="19"/>
        </w:rPr>
        <w:t xml:space="preserve">will </w:t>
      </w:r>
      <w:r>
        <w:rPr>
          <w:rFonts w:ascii="Arial;sans-serif" w:hAnsi="Arial;sans-serif"/>
          <w:b w:val="false"/>
          <w:color w:val="131313"/>
          <w:sz w:val="19"/>
        </w:rPr>
        <w:t xml:space="preserve">be </w:t>
      </w:r>
      <w:r>
        <w:rPr>
          <w:rFonts w:ascii="Arial;sans-serif" w:hAnsi="Arial;sans-serif"/>
          <w:b w:val="false"/>
          <w:color w:val="282828"/>
          <w:sz w:val="19"/>
        </w:rPr>
        <w:t xml:space="preserve">sent </w:t>
      </w:r>
      <w:r>
        <w:rPr>
          <w:rFonts w:ascii="Arial;sans-serif" w:hAnsi="Arial;sans-serif"/>
          <w:b w:val="false"/>
          <w:color w:val="131313"/>
          <w:sz w:val="19"/>
        </w:rPr>
        <w:t xml:space="preserve">to </w:t>
      </w:r>
      <w:r>
        <w:rPr>
          <w:rFonts w:ascii="Arial;sans-serif" w:hAnsi="Arial;sans-serif"/>
          <w:b w:val="false"/>
          <w:color w:val="282828"/>
          <w:sz w:val="19"/>
        </w:rPr>
        <w:t>you shortly.</w:t>
      </w:r>
    </w:p>
    <w:p>
      <w:pPr>
        <w:pStyle w:val="TextBody"/>
        <w:spacing w:before="0" w:after="0"/>
        <w:rPr/>
      </w:pPr>
      <w:r>
        <w:rPr/>
      </w:r>
    </w:p>
    <w:p>
      <w:pPr>
        <w:pStyle w:val="TextBody"/>
        <w:spacing w:lineRule="auto" w:line="295" w:before="0" w:after="0"/>
        <w:ind w:left="0" w:right="0" w:hanging="3"/>
        <w:rPr/>
      </w:pPr>
      <w:r>
        <w:rPr>
          <w:rFonts w:ascii="Arial;sans-serif" w:hAnsi="Arial;sans-serif"/>
          <w:b/>
          <w:color w:val="131313"/>
          <w:sz w:val="19"/>
        </w:rPr>
        <w:t xml:space="preserve">Life </w:t>
      </w:r>
      <w:r>
        <w:rPr>
          <w:rFonts w:ascii="Arial;sans-serif" w:hAnsi="Arial;sans-serif"/>
          <w:b/>
          <w:color w:val="282828"/>
          <w:sz w:val="19"/>
        </w:rPr>
        <w:t xml:space="preserve">Insurance: </w:t>
      </w:r>
      <w:r>
        <w:rPr>
          <w:rFonts w:ascii="Arial;sans-serif" w:hAnsi="Arial;sans-serif"/>
          <w:b w:val="false"/>
          <w:color w:val="282828"/>
          <w:sz w:val="19"/>
        </w:rPr>
        <w:t xml:space="preserve">You will be provided life </w:t>
      </w:r>
      <w:r>
        <w:rPr>
          <w:rFonts w:ascii="Arial;sans-serif" w:hAnsi="Arial;sans-serif"/>
          <w:b w:val="false"/>
          <w:color w:val="131313"/>
          <w:sz w:val="19"/>
        </w:rPr>
        <w:t xml:space="preserve">insurance </w:t>
      </w:r>
      <w:r>
        <w:rPr>
          <w:rFonts w:ascii="Arial;sans-serif" w:hAnsi="Arial;sans-serif"/>
          <w:b w:val="false"/>
          <w:color w:val="282828"/>
          <w:sz w:val="19"/>
        </w:rPr>
        <w:t xml:space="preserve">coverage equal </w:t>
      </w:r>
      <w:r>
        <w:rPr>
          <w:rFonts w:ascii="Arial;sans-serif" w:hAnsi="Arial;sans-serif"/>
          <w:b w:val="false"/>
          <w:color w:val="131313"/>
          <w:sz w:val="19"/>
        </w:rPr>
        <w:t xml:space="preserve">to three times </w:t>
      </w:r>
      <w:r>
        <w:rPr>
          <w:rFonts w:ascii="Arial;sans-serif" w:hAnsi="Arial;sans-serif"/>
          <w:b w:val="false"/>
          <w:color w:val="282828"/>
          <w:sz w:val="19"/>
        </w:rPr>
        <w:t xml:space="preserve">your annual </w:t>
      </w:r>
      <w:r>
        <w:rPr>
          <w:rFonts w:ascii="Arial;sans-serif" w:hAnsi="Arial;sans-serif"/>
          <w:b w:val="false"/>
          <w:color w:val="131313"/>
          <w:sz w:val="19"/>
        </w:rPr>
        <w:t xml:space="preserve">base </w:t>
      </w:r>
      <w:r>
        <w:rPr>
          <w:rFonts w:ascii="Arial;sans-serif" w:hAnsi="Arial;sans-serif"/>
          <w:b w:val="false"/>
          <w:color w:val="282828"/>
          <w:sz w:val="19"/>
        </w:rPr>
        <w:t xml:space="preserve">salary, subject </w:t>
      </w:r>
      <w:r>
        <w:rPr>
          <w:rFonts w:ascii="Arial;sans-serif" w:hAnsi="Arial;sans-serif"/>
          <w:b w:val="false"/>
          <w:color w:val="131313"/>
          <w:sz w:val="19"/>
        </w:rPr>
        <w:t xml:space="preserve">to </w:t>
      </w:r>
      <w:r>
        <w:rPr>
          <w:rFonts w:ascii="Arial;sans-serif" w:hAnsi="Arial;sans-serif"/>
          <w:b w:val="false"/>
          <w:color w:val="282828"/>
          <w:sz w:val="19"/>
        </w:rPr>
        <w:t xml:space="preserve">meeting </w:t>
      </w:r>
      <w:r>
        <w:rPr>
          <w:rFonts w:ascii="Arial;sans-serif" w:hAnsi="Arial;sans-serif"/>
          <w:b w:val="false"/>
          <w:color w:val="131313"/>
          <w:sz w:val="19"/>
        </w:rPr>
        <w:t xml:space="preserve">the medical </w:t>
      </w:r>
      <w:r>
        <w:rPr>
          <w:rFonts w:ascii="Arial;sans-serif" w:hAnsi="Arial;sans-serif"/>
          <w:b w:val="false"/>
          <w:color w:val="282828"/>
          <w:sz w:val="19"/>
        </w:rPr>
        <w:t xml:space="preserve">standards stated </w:t>
      </w:r>
      <w:r>
        <w:rPr>
          <w:rFonts w:ascii="Arial;sans-serif" w:hAnsi="Arial;sans-serif"/>
          <w:b w:val="false"/>
          <w:color w:val="131313"/>
          <w:sz w:val="19"/>
        </w:rPr>
        <w:t xml:space="preserve">in </w:t>
      </w:r>
      <w:r>
        <w:rPr>
          <w:rFonts w:ascii="Arial;sans-serif" w:hAnsi="Arial;sans-serif"/>
          <w:b w:val="false"/>
          <w:color w:val="282828"/>
          <w:sz w:val="19"/>
        </w:rPr>
        <w:t xml:space="preserve">the group </w:t>
      </w:r>
      <w:r>
        <w:rPr>
          <w:rFonts w:ascii="Arial;sans-serif" w:hAnsi="Arial;sans-serif"/>
          <w:b w:val="false"/>
          <w:color w:val="131313"/>
          <w:sz w:val="19"/>
        </w:rPr>
        <w:t xml:space="preserve">term life </w:t>
      </w:r>
      <w:r>
        <w:rPr>
          <w:rFonts w:ascii="Arial;sans-serif" w:hAnsi="Arial;sans-serif"/>
          <w:b w:val="false"/>
          <w:color w:val="3F3F3F"/>
          <w:sz w:val="19"/>
        </w:rPr>
        <w:t>i</w:t>
      </w:r>
      <w:r>
        <w:rPr>
          <w:rFonts w:ascii="Arial;sans-serif" w:hAnsi="Arial;sans-serif"/>
          <w:b w:val="false"/>
          <w:color w:val="131313"/>
          <w:sz w:val="19"/>
        </w:rPr>
        <w:t xml:space="preserve">nsurance </w:t>
      </w:r>
      <w:r>
        <w:rPr>
          <w:rFonts w:ascii="Arial;sans-serif" w:hAnsi="Arial;sans-serif"/>
          <w:b w:val="false"/>
          <w:color w:val="282828"/>
          <w:sz w:val="19"/>
        </w:rPr>
        <w:t xml:space="preserve">policy for </w:t>
      </w:r>
      <w:r>
        <w:rPr>
          <w:rFonts w:ascii="Arial;sans-serif" w:hAnsi="Arial;sans-serif"/>
          <w:b w:val="false"/>
          <w:color w:val="131313"/>
          <w:sz w:val="19"/>
        </w:rPr>
        <w:t xml:space="preserve">U.S. </w:t>
      </w:r>
      <w:r>
        <w:rPr>
          <w:rFonts w:ascii="Arial;sans-serif" w:hAnsi="Arial;sans-serif"/>
          <w:b w:val="false"/>
          <w:color w:val="282828"/>
          <w:sz w:val="19"/>
        </w:rPr>
        <w:t xml:space="preserve">employees. </w:t>
      </w:r>
      <w:r>
        <w:rPr>
          <w:rFonts w:ascii="Arial;sans-serif" w:hAnsi="Arial;sans-serif"/>
          <w:b w:val="false"/>
          <w:color w:val="131313"/>
          <w:sz w:val="19"/>
        </w:rPr>
        <w:t xml:space="preserve">Biogen pays the </w:t>
      </w:r>
      <w:r>
        <w:rPr>
          <w:rFonts w:ascii="Arial;sans-serif" w:hAnsi="Arial;sans-serif"/>
          <w:b w:val="false"/>
          <w:color w:val="282828"/>
          <w:sz w:val="19"/>
        </w:rPr>
        <w:t xml:space="preserve">premium for </w:t>
      </w:r>
      <w:r>
        <w:rPr>
          <w:rFonts w:ascii="Arial;sans-serif" w:hAnsi="Arial;sans-serif"/>
          <w:b w:val="false"/>
          <w:color w:val="131313"/>
          <w:sz w:val="19"/>
        </w:rPr>
        <w:t xml:space="preserve">this insurance. The IRS requires </w:t>
      </w:r>
      <w:r>
        <w:rPr>
          <w:rFonts w:ascii="Arial;sans-serif" w:hAnsi="Arial;sans-serif"/>
          <w:b w:val="false"/>
          <w:color w:val="282828"/>
          <w:sz w:val="19"/>
        </w:rPr>
        <w:t xml:space="preserve">employers </w:t>
      </w:r>
      <w:r>
        <w:rPr>
          <w:rFonts w:ascii="Arial;sans-serif" w:hAnsi="Arial;sans-serif"/>
          <w:b w:val="false"/>
          <w:color w:val="131313"/>
          <w:sz w:val="19"/>
        </w:rPr>
        <w:t xml:space="preserve">to impute the </w:t>
      </w:r>
      <w:r>
        <w:rPr>
          <w:rFonts w:ascii="Arial;sans-serif" w:hAnsi="Arial;sans-serif"/>
          <w:b w:val="false"/>
          <w:color w:val="282828"/>
          <w:sz w:val="19"/>
        </w:rPr>
        <w:t xml:space="preserve">value of company-paid </w:t>
      </w:r>
      <w:r>
        <w:rPr>
          <w:rFonts w:ascii="Arial;sans-serif" w:hAnsi="Arial;sans-serif"/>
          <w:b w:val="false"/>
          <w:color w:val="131313"/>
          <w:sz w:val="19"/>
        </w:rPr>
        <w:t>l</w:t>
      </w:r>
      <w:r>
        <w:rPr>
          <w:rFonts w:ascii="Arial;sans-serif" w:hAnsi="Arial;sans-serif"/>
          <w:b w:val="false"/>
          <w:color w:val="3F3F3F"/>
          <w:sz w:val="19"/>
        </w:rPr>
        <w:t xml:space="preserve">ife </w:t>
      </w:r>
      <w:r>
        <w:rPr>
          <w:rFonts w:ascii="Arial;sans-serif" w:hAnsi="Arial;sans-serif"/>
          <w:b w:val="false"/>
          <w:color w:val="131313"/>
          <w:sz w:val="19"/>
        </w:rPr>
        <w:t xml:space="preserve">insurance for </w:t>
      </w:r>
      <w:r>
        <w:rPr>
          <w:rFonts w:ascii="Arial;sans-serif" w:hAnsi="Arial;sans-serif"/>
          <w:b w:val="false"/>
          <w:color w:val="282828"/>
          <w:sz w:val="19"/>
        </w:rPr>
        <w:t xml:space="preserve">coverage </w:t>
      </w:r>
      <w:r>
        <w:rPr>
          <w:rFonts w:ascii="Arial;sans-serif" w:hAnsi="Arial;sans-serif"/>
          <w:b w:val="false"/>
          <w:color w:val="131313"/>
          <w:sz w:val="19"/>
        </w:rPr>
        <w:t xml:space="preserve">over </w:t>
      </w:r>
      <w:r>
        <w:rPr>
          <w:rFonts w:ascii="Arial;sans-serif" w:hAnsi="Arial;sans-serif"/>
          <w:b w:val="false"/>
          <w:color w:val="282828"/>
          <w:sz w:val="19"/>
        </w:rPr>
        <w:t xml:space="preserve">$50,000. </w:t>
      </w:r>
      <w:r>
        <w:rPr>
          <w:rFonts w:ascii="Arial;sans-serif" w:hAnsi="Arial;sans-serif"/>
          <w:b w:val="false"/>
          <w:color w:val="131313"/>
          <w:sz w:val="19"/>
        </w:rPr>
        <w:t xml:space="preserve">This imputed income </w:t>
      </w:r>
      <w:r>
        <w:rPr>
          <w:rFonts w:ascii="Arial;sans-serif" w:hAnsi="Arial;sans-serif"/>
          <w:b w:val="false"/>
          <w:color w:val="282828"/>
          <w:sz w:val="19"/>
        </w:rPr>
        <w:t xml:space="preserve">will be </w:t>
      </w:r>
      <w:r>
        <w:rPr>
          <w:rFonts w:ascii="Arial;sans-serif" w:hAnsi="Arial;sans-serif"/>
          <w:b w:val="false"/>
          <w:color w:val="131313"/>
          <w:sz w:val="19"/>
        </w:rPr>
        <w:t xml:space="preserve">displayed </w:t>
      </w:r>
      <w:r>
        <w:rPr>
          <w:rFonts w:ascii="Arial;sans-serif" w:hAnsi="Arial;sans-serif"/>
          <w:b w:val="false"/>
          <w:color w:val="282828"/>
          <w:sz w:val="19"/>
        </w:rPr>
        <w:t>on your pay stub.</w:t>
      </w:r>
    </w:p>
    <w:p>
      <w:pPr>
        <w:pStyle w:val="TextBody"/>
        <w:spacing w:before="9" w:after="283"/>
        <w:rPr/>
      </w:pPr>
      <w:r>
        <w:rPr/>
      </w:r>
    </w:p>
    <w:p>
      <w:pPr>
        <w:pStyle w:val="TextBody"/>
        <w:spacing w:lineRule="auto" w:line="240" w:before="0" w:after="0"/>
        <w:rPr/>
      </w:pPr>
      <w:r>
        <w:rPr>
          <w:rFonts w:ascii="Arial;sans-serif" w:hAnsi="Arial;sans-serif"/>
          <w:b/>
          <w:color w:val="131313"/>
          <w:sz w:val="19"/>
        </w:rPr>
        <w:t xml:space="preserve">Severance: </w:t>
      </w:r>
      <w:r>
        <w:rPr>
          <w:rFonts w:ascii="Arial;sans-serif" w:hAnsi="Arial;sans-serif"/>
          <w:b w:val="false"/>
          <w:color w:val="282828"/>
          <w:sz w:val="19"/>
        </w:rPr>
        <w:t xml:space="preserve">You will </w:t>
      </w:r>
      <w:r>
        <w:rPr>
          <w:rFonts w:ascii="Arial;sans-serif" w:hAnsi="Arial;sans-serif"/>
          <w:b w:val="false"/>
          <w:color w:val="131313"/>
          <w:sz w:val="19"/>
        </w:rPr>
        <w:t xml:space="preserve">be </w:t>
      </w:r>
      <w:r>
        <w:rPr>
          <w:rFonts w:ascii="Arial;sans-serif" w:hAnsi="Arial;sans-serif"/>
          <w:b w:val="false"/>
          <w:color w:val="282828"/>
          <w:sz w:val="19"/>
        </w:rPr>
        <w:t xml:space="preserve">entitled </w:t>
      </w:r>
      <w:r>
        <w:rPr>
          <w:rFonts w:ascii="Arial;sans-serif" w:hAnsi="Arial;sans-serif"/>
          <w:b w:val="false"/>
          <w:color w:val="131313"/>
          <w:sz w:val="19"/>
        </w:rPr>
        <w:t xml:space="preserve">to </w:t>
      </w:r>
      <w:r>
        <w:rPr>
          <w:rFonts w:ascii="Arial;sans-serif" w:hAnsi="Arial;sans-serif"/>
          <w:b w:val="false"/>
          <w:color w:val="282828"/>
          <w:sz w:val="19"/>
        </w:rPr>
        <w:t xml:space="preserve">severance benefits </w:t>
      </w:r>
      <w:r>
        <w:rPr>
          <w:rFonts w:ascii="Arial;sans-serif" w:hAnsi="Arial;sans-serif"/>
          <w:b w:val="false"/>
          <w:color w:val="131313"/>
          <w:sz w:val="19"/>
        </w:rPr>
        <w:t xml:space="preserve">in </w:t>
      </w:r>
      <w:r>
        <w:rPr>
          <w:rFonts w:ascii="Arial;sans-serif" w:hAnsi="Arial;sans-serif"/>
          <w:b w:val="false"/>
          <w:color w:val="282828"/>
          <w:sz w:val="19"/>
        </w:rPr>
        <w:t xml:space="preserve">accordance with </w:t>
      </w:r>
      <w:r>
        <w:rPr>
          <w:rFonts w:ascii="Arial;sans-serif" w:hAnsi="Arial;sans-serif"/>
          <w:b w:val="false"/>
          <w:color w:val="131313"/>
          <w:sz w:val="19"/>
        </w:rPr>
        <w:t xml:space="preserve">the </w:t>
      </w:r>
      <w:r>
        <w:rPr>
          <w:rFonts w:ascii="Arial;sans-serif" w:hAnsi="Arial;sans-serif"/>
          <w:b w:val="false"/>
          <w:color w:val="282828"/>
          <w:sz w:val="19"/>
        </w:rPr>
        <w:t xml:space="preserve">Severance </w:t>
      </w:r>
      <w:r>
        <w:rPr>
          <w:rFonts w:ascii="Arial;sans-serif" w:hAnsi="Arial;sans-serif"/>
          <w:b w:val="false"/>
          <w:color w:val="131313"/>
          <w:sz w:val="19"/>
        </w:rPr>
        <w:t xml:space="preserve">Plan </w:t>
      </w:r>
      <w:r>
        <w:rPr>
          <w:rFonts w:ascii="Arial;sans-serif" w:hAnsi="Arial;sans-serif"/>
          <w:b w:val="false"/>
          <w:color w:val="282828"/>
          <w:sz w:val="19"/>
        </w:rPr>
        <w:t>for</w:t>
      </w:r>
    </w:p>
    <w:p>
      <w:pPr>
        <w:pStyle w:val="TextBody"/>
        <w:spacing w:lineRule="auto" w:line="288" w:before="13" w:after="283"/>
        <w:ind w:left="0" w:right="0" w:firstLine="2"/>
        <w:rPr/>
      </w:pPr>
      <w:r>
        <w:rPr>
          <w:rFonts w:ascii="Arial;sans-serif" w:hAnsi="Arial;sans-serif"/>
          <w:b w:val="false"/>
          <w:color w:val="131313"/>
          <w:sz w:val="19"/>
        </w:rPr>
        <w:t xml:space="preserve">U.S. Executive </w:t>
      </w:r>
      <w:r>
        <w:rPr>
          <w:rFonts w:ascii="Arial;sans-serif" w:hAnsi="Arial;sans-serif"/>
          <w:b w:val="false"/>
          <w:color w:val="282828"/>
          <w:sz w:val="19"/>
        </w:rPr>
        <w:t xml:space="preserve">Vice </w:t>
      </w:r>
      <w:r>
        <w:rPr>
          <w:rFonts w:ascii="Arial;sans-serif" w:hAnsi="Arial;sans-serif"/>
          <w:b w:val="false"/>
          <w:color w:val="131313"/>
          <w:sz w:val="19"/>
        </w:rPr>
        <w:t xml:space="preserve">Presidents in </w:t>
      </w:r>
      <w:r>
        <w:rPr>
          <w:rFonts w:ascii="Arial;sans-serif" w:hAnsi="Arial;sans-serif"/>
          <w:b w:val="false"/>
          <w:color w:val="282828"/>
          <w:sz w:val="19"/>
        </w:rPr>
        <w:t xml:space="preserve">effect at </w:t>
      </w:r>
      <w:r>
        <w:rPr>
          <w:rFonts w:ascii="Arial;sans-serif" w:hAnsi="Arial;sans-serif"/>
          <w:b w:val="false"/>
          <w:color w:val="131313"/>
          <w:sz w:val="19"/>
        </w:rPr>
        <w:t xml:space="preserve">the time </w:t>
      </w:r>
      <w:r>
        <w:rPr>
          <w:rFonts w:ascii="Arial;sans-serif" w:hAnsi="Arial;sans-serif"/>
          <w:b w:val="false"/>
          <w:color w:val="282828"/>
          <w:sz w:val="19"/>
        </w:rPr>
        <w:t xml:space="preserve">of any separation of service, and at </w:t>
      </w:r>
      <w:r>
        <w:rPr>
          <w:rFonts w:ascii="Arial;sans-serif" w:hAnsi="Arial;sans-serif"/>
          <w:b w:val="false"/>
          <w:color w:val="131313"/>
          <w:sz w:val="19"/>
        </w:rPr>
        <w:t xml:space="preserve">that time </w:t>
      </w:r>
      <w:r>
        <w:rPr>
          <w:rFonts w:ascii="Arial;sans-serif" w:hAnsi="Arial;sans-serif"/>
          <w:b w:val="false"/>
          <w:color w:val="282828"/>
          <w:sz w:val="19"/>
        </w:rPr>
        <w:t xml:space="preserve">you should refer </w:t>
      </w:r>
      <w:r>
        <w:rPr>
          <w:rFonts w:ascii="Arial;sans-serif" w:hAnsi="Arial;sans-serif"/>
          <w:b w:val="false"/>
          <w:color w:val="131313"/>
          <w:sz w:val="19"/>
        </w:rPr>
        <w:t xml:space="preserve">to the </w:t>
      </w:r>
      <w:r>
        <w:rPr>
          <w:rFonts w:ascii="Arial;sans-serif" w:hAnsi="Arial;sans-serif"/>
          <w:b w:val="false"/>
          <w:color w:val="282828"/>
          <w:sz w:val="19"/>
        </w:rPr>
        <w:t xml:space="preserve">document for details </w:t>
      </w:r>
      <w:r>
        <w:rPr>
          <w:rFonts w:ascii="Arial;sans-serif" w:hAnsi="Arial;sans-serif"/>
          <w:b w:val="false"/>
          <w:color w:val="131313"/>
          <w:sz w:val="19"/>
        </w:rPr>
        <w:t xml:space="preserve">regarding </w:t>
      </w:r>
      <w:r>
        <w:rPr>
          <w:rFonts w:ascii="Arial;sans-serif" w:hAnsi="Arial;sans-serif"/>
          <w:b w:val="false"/>
          <w:color w:val="282828"/>
          <w:sz w:val="19"/>
        </w:rPr>
        <w:t xml:space="preserve">terms, conditions, eligibility and potential </w:t>
      </w:r>
      <w:r>
        <w:rPr>
          <w:rFonts w:ascii="Arial;sans-serif" w:hAnsi="Arial;sans-serif"/>
          <w:b w:val="false"/>
          <w:color w:val="131313"/>
          <w:sz w:val="19"/>
        </w:rPr>
        <w:t>tax implications.</w:t>
      </w:r>
    </w:p>
    <w:p>
      <w:pPr>
        <w:pStyle w:val="TextBody"/>
        <w:spacing w:before="0" w:after="0"/>
        <w:rPr/>
      </w:pPr>
      <w:r>
        <w:rPr/>
      </w:r>
    </w:p>
    <w:p>
      <w:pPr>
        <w:pStyle w:val="TextBody"/>
        <w:spacing w:lineRule="auto" w:line="295" w:before="0" w:after="0"/>
        <w:ind w:left="0" w:right="0" w:firstLine="10"/>
        <w:rPr/>
      </w:pPr>
      <w:r>
        <w:rPr>
          <w:rFonts w:ascii="Arial;sans-serif" w:hAnsi="Arial;sans-serif"/>
          <w:b/>
          <w:color w:val="131313"/>
          <w:sz w:val="19"/>
        </w:rPr>
        <w:t xml:space="preserve">Tax </w:t>
      </w:r>
      <w:r>
        <w:rPr>
          <w:rFonts w:ascii="Arial;sans-serif" w:hAnsi="Arial;sans-serif"/>
          <w:b/>
          <w:color w:val="131313"/>
          <w:sz w:val="18"/>
        </w:rPr>
        <w:t xml:space="preserve">&amp; </w:t>
      </w:r>
      <w:r>
        <w:rPr>
          <w:rFonts w:ascii="Arial;sans-serif" w:hAnsi="Arial;sans-serif"/>
          <w:b/>
          <w:color w:val="131313"/>
          <w:sz w:val="19"/>
        </w:rPr>
        <w:t xml:space="preserve">Financial Planning and Executive Physicals: </w:t>
      </w:r>
      <w:r>
        <w:rPr>
          <w:rFonts w:ascii="Arial;sans-serif" w:hAnsi="Arial;sans-serif"/>
          <w:b w:val="false"/>
          <w:color w:val="282828"/>
          <w:sz w:val="19"/>
        </w:rPr>
        <w:t xml:space="preserve">You are eligible for annual </w:t>
      </w:r>
      <w:r>
        <w:rPr>
          <w:rFonts w:ascii="Arial;sans-serif" w:hAnsi="Arial;sans-serif"/>
          <w:b w:val="false"/>
          <w:color w:val="131313"/>
          <w:sz w:val="19"/>
        </w:rPr>
        <w:t>reimburseme</w:t>
      </w:r>
      <w:r>
        <w:rPr>
          <w:rFonts w:ascii="Arial;sans-serif" w:hAnsi="Arial;sans-serif"/>
          <w:b w:val="false"/>
          <w:color w:val="3F3F3F"/>
          <w:sz w:val="19"/>
        </w:rPr>
        <w:t>n</w:t>
      </w:r>
      <w:r>
        <w:rPr>
          <w:rFonts w:ascii="Arial;sans-serif" w:hAnsi="Arial;sans-serif"/>
          <w:b w:val="false"/>
          <w:color w:val="131313"/>
          <w:sz w:val="19"/>
        </w:rPr>
        <w:t xml:space="preserve">t </w:t>
      </w:r>
      <w:r>
        <w:rPr>
          <w:rFonts w:ascii="Arial;sans-serif" w:hAnsi="Arial;sans-serif"/>
          <w:b w:val="false"/>
          <w:color w:val="282828"/>
          <w:sz w:val="19"/>
        </w:rPr>
        <w:t xml:space="preserve">of expenses </w:t>
      </w:r>
      <w:r>
        <w:rPr>
          <w:rFonts w:ascii="Arial;sans-serif" w:hAnsi="Arial;sans-serif"/>
          <w:b w:val="false"/>
          <w:color w:val="131313"/>
          <w:sz w:val="19"/>
        </w:rPr>
        <w:t xml:space="preserve">for qualified </w:t>
      </w:r>
      <w:r>
        <w:rPr>
          <w:rFonts w:ascii="Arial;sans-serif" w:hAnsi="Arial;sans-serif"/>
          <w:b w:val="false"/>
          <w:color w:val="282828"/>
          <w:sz w:val="19"/>
        </w:rPr>
        <w:t xml:space="preserve">services such as </w:t>
      </w:r>
      <w:r>
        <w:rPr>
          <w:rFonts w:ascii="Arial;sans-serif" w:hAnsi="Arial;sans-serif"/>
          <w:b w:val="false"/>
          <w:color w:val="131313"/>
          <w:sz w:val="19"/>
        </w:rPr>
        <w:t xml:space="preserve">federal </w:t>
      </w:r>
      <w:r>
        <w:rPr>
          <w:rFonts w:ascii="Arial;sans-serif" w:hAnsi="Arial;sans-serif"/>
          <w:b w:val="false"/>
          <w:color w:val="282828"/>
          <w:sz w:val="19"/>
        </w:rPr>
        <w:t xml:space="preserve">and state </w:t>
      </w:r>
      <w:r>
        <w:rPr>
          <w:rFonts w:ascii="Arial;sans-serif" w:hAnsi="Arial;sans-serif"/>
          <w:b w:val="false"/>
          <w:color w:val="131313"/>
          <w:sz w:val="19"/>
        </w:rPr>
        <w:t xml:space="preserve">income </w:t>
      </w:r>
      <w:r>
        <w:rPr>
          <w:rFonts w:ascii="Arial;sans-serif" w:hAnsi="Arial;sans-serif"/>
          <w:b w:val="false"/>
          <w:color w:val="282828"/>
          <w:sz w:val="19"/>
        </w:rPr>
        <w:t xml:space="preserve">tax planning and/or preparation, financial and estate planning services, and </w:t>
      </w:r>
      <w:r>
        <w:rPr>
          <w:rFonts w:ascii="Arial;sans-serif" w:hAnsi="Arial;sans-serif"/>
          <w:b w:val="false"/>
          <w:color w:val="131313"/>
          <w:sz w:val="19"/>
        </w:rPr>
        <w:t xml:space="preserve">the </w:t>
      </w:r>
      <w:r>
        <w:rPr>
          <w:rFonts w:ascii="Arial;sans-serif" w:hAnsi="Arial;sans-serif"/>
          <w:b w:val="false"/>
          <w:color w:val="282828"/>
          <w:sz w:val="19"/>
        </w:rPr>
        <w:t xml:space="preserve">purchase of </w:t>
      </w:r>
      <w:r>
        <w:rPr>
          <w:rFonts w:ascii="Arial;sans-serif" w:hAnsi="Arial;sans-serif"/>
          <w:b w:val="false"/>
          <w:color w:val="131313"/>
          <w:sz w:val="19"/>
        </w:rPr>
        <w:t xml:space="preserve">tax </w:t>
      </w:r>
      <w:r>
        <w:rPr>
          <w:rFonts w:ascii="Arial;sans-serif" w:hAnsi="Arial;sans-serif"/>
          <w:b w:val="false"/>
          <w:color w:val="282828"/>
          <w:sz w:val="19"/>
        </w:rPr>
        <w:t xml:space="preserve">and/or financial planning tools. Additionally, the Company will reimburse you </w:t>
      </w:r>
      <w:r>
        <w:rPr>
          <w:rFonts w:ascii="Arial;sans-serif" w:hAnsi="Arial;sans-serif"/>
          <w:b w:val="false"/>
          <w:color w:val="131313"/>
          <w:sz w:val="19"/>
        </w:rPr>
        <w:t xml:space="preserve">for the </w:t>
      </w:r>
      <w:r>
        <w:rPr>
          <w:rFonts w:ascii="Arial;sans-serif" w:hAnsi="Arial;sans-serif"/>
          <w:b w:val="false"/>
          <w:color w:val="282828"/>
          <w:sz w:val="19"/>
        </w:rPr>
        <w:t xml:space="preserve">expenses of an annual comprehensive physical exam when coordinated by the </w:t>
      </w:r>
      <w:r>
        <w:rPr>
          <w:rFonts w:ascii="Arial;sans-serif" w:hAnsi="Arial;sans-serif"/>
          <w:b w:val="false"/>
          <w:color w:val="131313"/>
          <w:sz w:val="19"/>
        </w:rPr>
        <w:t xml:space="preserve">Executive Health </w:t>
      </w:r>
      <w:r>
        <w:rPr>
          <w:rFonts w:ascii="Arial;sans-serif" w:hAnsi="Arial;sans-serif"/>
          <w:b w:val="false"/>
          <w:color w:val="282828"/>
          <w:sz w:val="19"/>
        </w:rPr>
        <w:t xml:space="preserve">Services </w:t>
      </w:r>
      <w:r>
        <w:rPr>
          <w:rFonts w:ascii="Arial;sans-serif" w:hAnsi="Arial;sans-serif"/>
          <w:b w:val="false"/>
          <w:color w:val="131313"/>
          <w:sz w:val="19"/>
        </w:rPr>
        <w:t xml:space="preserve">team </w:t>
      </w:r>
      <w:r>
        <w:rPr>
          <w:rFonts w:ascii="Arial;sans-serif" w:hAnsi="Arial;sans-serif"/>
          <w:b w:val="false"/>
          <w:color w:val="282828"/>
          <w:sz w:val="19"/>
        </w:rPr>
        <w:t xml:space="preserve">at Mass. General </w:t>
      </w:r>
      <w:r>
        <w:rPr>
          <w:rFonts w:ascii="Arial;sans-serif" w:hAnsi="Arial;sans-serif"/>
          <w:b w:val="false"/>
          <w:color w:val="131313"/>
          <w:sz w:val="19"/>
        </w:rPr>
        <w:t xml:space="preserve">Hospital </w:t>
      </w:r>
      <w:r>
        <w:rPr>
          <w:rFonts w:ascii="Arial;sans-serif" w:hAnsi="Arial;sans-serif"/>
          <w:b w:val="false"/>
          <w:color w:val="282828"/>
          <w:sz w:val="19"/>
        </w:rPr>
        <w:t xml:space="preserve">(MGH). </w:t>
      </w:r>
      <w:r>
        <w:rPr>
          <w:rFonts w:ascii="Arial;sans-serif" w:hAnsi="Arial;sans-serif"/>
          <w:b w:val="false"/>
          <w:color w:val="131313"/>
          <w:sz w:val="19"/>
        </w:rPr>
        <w:t xml:space="preserve">The </w:t>
      </w:r>
      <w:r>
        <w:rPr>
          <w:rFonts w:ascii="Arial;sans-serif" w:hAnsi="Arial;sans-serif"/>
          <w:b w:val="false"/>
          <w:color w:val="282828"/>
          <w:sz w:val="19"/>
        </w:rPr>
        <w:t xml:space="preserve">combined annual reimbursement you are eligible to </w:t>
      </w:r>
      <w:r>
        <w:rPr>
          <w:rFonts w:ascii="Arial;sans-serif" w:hAnsi="Arial;sans-serif"/>
          <w:b w:val="false"/>
          <w:color w:val="131313"/>
          <w:sz w:val="19"/>
        </w:rPr>
        <w:t>receive is</w:t>
      </w:r>
    </w:p>
    <w:p>
      <w:pPr>
        <w:pStyle w:val="TextBody"/>
        <w:spacing w:lineRule="auto" w:line="295" w:before="0" w:after="0"/>
        <w:ind w:left="0" w:right="0" w:firstLine="1"/>
        <w:jc w:val="both"/>
        <w:rPr/>
      </w:pPr>
      <w:r>
        <w:rPr>
          <w:rFonts w:ascii="Arial;sans-serif" w:hAnsi="Arial;sans-serif"/>
          <w:b w:val="false"/>
          <w:color w:val="282828"/>
          <w:sz w:val="19"/>
        </w:rPr>
        <w:t xml:space="preserve">$7,500 </w:t>
      </w:r>
      <w:r>
        <w:rPr>
          <w:rFonts w:ascii="Arial;sans-serif" w:hAnsi="Arial;sans-serif"/>
          <w:b w:val="false"/>
          <w:color w:val="131313"/>
          <w:sz w:val="19"/>
        </w:rPr>
        <w:t xml:space="preserve">per </w:t>
      </w:r>
      <w:r>
        <w:rPr>
          <w:rFonts w:ascii="Arial;sans-serif" w:hAnsi="Arial;sans-serif"/>
          <w:b w:val="false"/>
          <w:color w:val="282828"/>
          <w:sz w:val="19"/>
        </w:rPr>
        <w:t xml:space="preserve">calendar year (January </w:t>
      </w:r>
      <w:r>
        <w:rPr>
          <w:rFonts w:ascii="Arial;sans-serif" w:hAnsi="Arial;sans-serif"/>
          <w:b w:val="false"/>
          <w:color w:val="131313"/>
          <w:sz w:val="19"/>
        </w:rPr>
        <w:t xml:space="preserve">1 </w:t>
      </w:r>
      <w:r>
        <w:rPr>
          <w:rFonts w:ascii="Arial;sans-serif" w:hAnsi="Arial;sans-serif"/>
          <w:b w:val="false"/>
          <w:color w:val="282828"/>
          <w:sz w:val="19"/>
        </w:rPr>
        <w:t xml:space="preserve">- </w:t>
      </w:r>
      <w:r>
        <w:rPr>
          <w:rFonts w:ascii="Arial;sans-serif" w:hAnsi="Arial;sans-serif"/>
          <w:b w:val="false"/>
          <w:color w:val="131313"/>
          <w:sz w:val="19"/>
        </w:rPr>
        <w:t xml:space="preserve">December </w:t>
      </w:r>
      <w:r>
        <w:rPr>
          <w:rFonts w:ascii="Arial;sans-serif" w:hAnsi="Arial;sans-serif"/>
          <w:b w:val="false"/>
          <w:color w:val="282828"/>
          <w:sz w:val="19"/>
        </w:rPr>
        <w:t xml:space="preserve">31), subject </w:t>
      </w:r>
      <w:r>
        <w:rPr>
          <w:rFonts w:ascii="Arial;sans-serif" w:hAnsi="Arial;sans-serif"/>
          <w:b w:val="false"/>
          <w:color w:val="131313"/>
          <w:sz w:val="19"/>
        </w:rPr>
        <w:t>t</w:t>
      </w:r>
      <w:r>
        <w:rPr>
          <w:rFonts w:ascii="Arial;sans-serif" w:hAnsi="Arial;sans-serif"/>
          <w:b w:val="false"/>
          <w:color w:val="3F3F3F"/>
          <w:sz w:val="19"/>
        </w:rPr>
        <w:t xml:space="preserve">o </w:t>
      </w:r>
      <w:r>
        <w:rPr>
          <w:rFonts w:ascii="Arial;sans-serif" w:hAnsi="Arial;sans-serif"/>
          <w:b w:val="false"/>
          <w:color w:val="131313"/>
          <w:sz w:val="19"/>
        </w:rPr>
        <w:t xml:space="preserve">the </w:t>
      </w:r>
      <w:r>
        <w:rPr>
          <w:rFonts w:ascii="Arial;sans-serif" w:hAnsi="Arial;sans-serif"/>
          <w:b w:val="false"/>
          <w:color w:val="282828"/>
          <w:sz w:val="19"/>
        </w:rPr>
        <w:t xml:space="preserve">guidelines of the Tax &amp; Financial Planning and Executive Reimbursement Program. </w:t>
      </w:r>
      <w:r>
        <w:rPr>
          <w:rFonts w:ascii="Arial;sans-serif" w:hAnsi="Arial;sans-serif"/>
          <w:b w:val="false"/>
          <w:color w:val="131313"/>
          <w:sz w:val="19"/>
        </w:rPr>
        <w:t xml:space="preserve">The </w:t>
      </w:r>
      <w:r>
        <w:rPr>
          <w:rFonts w:ascii="Arial;sans-serif" w:hAnsi="Arial;sans-serif"/>
          <w:b w:val="false"/>
          <w:color w:val="282828"/>
          <w:sz w:val="19"/>
        </w:rPr>
        <w:t xml:space="preserve">details of </w:t>
      </w:r>
      <w:r>
        <w:rPr>
          <w:rFonts w:ascii="Arial;sans-serif" w:hAnsi="Arial;sans-serif"/>
          <w:b w:val="false"/>
          <w:color w:val="131313"/>
          <w:sz w:val="19"/>
        </w:rPr>
        <w:t xml:space="preserve">these </w:t>
      </w:r>
      <w:r>
        <w:rPr>
          <w:rFonts w:ascii="Arial;sans-serif" w:hAnsi="Arial;sans-serif"/>
          <w:b w:val="false"/>
          <w:color w:val="282828"/>
          <w:sz w:val="19"/>
        </w:rPr>
        <w:t xml:space="preserve">benefits are available </w:t>
      </w:r>
      <w:r>
        <w:rPr>
          <w:rFonts w:ascii="Arial;sans-serif" w:hAnsi="Arial;sans-serif"/>
          <w:b w:val="false"/>
          <w:color w:val="131313"/>
          <w:sz w:val="19"/>
        </w:rPr>
        <w:t xml:space="preserve">upon </w:t>
      </w:r>
      <w:r>
        <w:rPr>
          <w:rFonts w:ascii="Arial;sans-serif" w:hAnsi="Arial;sans-serif"/>
          <w:b w:val="false"/>
          <w:color w:val="282828"/>
          <w:sz w:val="19"/>
        </w:rPr>
        <w:t xml:space="preserve">your employment with </w:t>
      </w:r>
      <w:r>
        <w:rPr>
          <w:rFonts w:ascii="Arial;sans-serif" w:hAnsi="Arial;sans-serif"/>
          <w:b w:val="false"/>
          <w:color w:val="131313"/>
          <w:sz w:val="19"/>
        </w:rPr>
        <w:t xml:space="preserve">the </w:t>
      </w:r>
      <w:r>
        <w:rPr>
          <w:rFonts w:ascii="Arial;sans-serif" w:hAnsi="Arial;sans-serif"/>
          <w:b w:val="false"/>
          <w:color w:val="282828"/>
          <w:sz w:val="19"/>
        </w:rPr>
        <w:t>Company.</w:t>
      </w:r>
    </w:p>
    <w:p>
      <w:pPr>
        <w:pStyle w:val="TextBody"/>
        <w:spacing w:before="7" w:after="283"/>
        <w:rPr/>
      </w:pPr>
      <w:r>
        <w:rPr/>
      </w:r>
    </w:p>
    <w:p>
      <w:pPr>
        <w:pStyle w:val="TextBody"/>
        <w:spacing w:lineRule="auto" w:line="283" w:before="0" w:after="0"/>
        <w:ind w:left="0" w:right="0" w:hanging="3"/>
        <w:rPr/>
      </w:pPr>
      <w:r>
        <w:rPr>
          <w:rFonts w:ascii="Arial;sans-serif" w:hAnsi="Arial;sans-serif"/>
          <w:b w:val="false"/>
          <w:color w:val="131313"/>
          <w:sz w:val="19"/>
        </w:rPr>
        <w:t xml:space="preserve">Nicole, I </w:t>
      </w:r>
      <w:r>
        <w:rPr>
          <w:rFonts w:ascii="Arial;sans-serif" w:hAnsi="Arial;sans-serif"/>
          <w:b w:val="false"/>
          <w:color w:val="282828"/>
          <w:sz w:val="19"/>
        </w:rPr>
        <w:t xml:space="preserve">am confident you will continue </w:t>
      </w:r>
      <w:r>
        <w:rPr>
          <w:rFonts w:ascii="Arial;sans-serif" w:hAnsi="Arial;sans-serif"/>
          <w:b w:val="false"/>
          <w:color w:val="131313"/>
          <w:sz w:val="19"/>
        </w:rPr>
        <w:t xml:space="preserve">to </w:t>
      </w:r>
      <w:r>
        <w:rPr>
          <w:rFonts w:ascii="Arial;sans-serif" w:hAnsi="Arial;sans-serif"/>
          <w:b w:val="false"/>
          <w:color w:val="282828"/>
          <w:sz w:val="19"/>
        </w:rPr>
        <w:t xml:space="preserve">contribute </w:t>
      </w:r>
      <w:r>
        <w:rPr>
          <w:rFonts w:ascii="Arial;sans-serif" w:hAnsi="Arial;sans-serif"/>
          <w:b w:val="false"/>
          <w:color w:val="131313"/>
          <w:sz w:val="19"/>
        </w:rPr>
        <w:t xml:space="preserve">to Biogen's </w:t>
      </w:r>
      <w:r>
        <w:rPr>
          <w:rFonts w:ascii="Arial;sans-serif" w:hAnsi="Arial;sans-serif"/>
          <w:b w:val="false"/>
          <w:color w:val="282828"/>
          <w:sz w:val="19"/>
        </w:rPr>
        <w:t xml:space="preserve">success and wish you </w:t>
      </w:r>
      <w:r>
        <w:rPr>
          <w:rFonts w:ascii="Arial;sans-serif" w:hAnsi="Arial;sans-serif"/>
          <w:b w:val="false"/>
          <w:color w:val="131313"/>
          <w:sz w:val="19"/>
        </w:rPr>
        <w:t xml:space="preserve">the </w:t>
      </w:r>
      <w:r>
        <w:rPr>
          <w:rFonts w:ascii="Arial;sans-serif" w:hAnsi="Arial;sans-serif"/>
          <w:b w:val="false"/>
          <w:color w:val="282828"/>
          <w:sz w:val="19"/>
        </w:rPr>
        <w:t xml:space="preserve">best of </w:t>
      </w:r>
      <w:r>
        <w:rPr>
          <w:rFonts w:ascii="Arial;sans-serif" w:hAnsi="Arial;sans-serif"/>
          <w:b w:val="false"/>
          <w:color w:val="131313"/>
          <w:sz w:val="19"/>
        </w:rPr>
        <w:t xml:space="preserve">luck </w:t>
      </w:r>
      <w:r>
        <w:rPr>
          <w:rFonts w:ascii="Arial;sans-serif" w:hAnsi="Arial;sans-serif"/>
          <w:b w:val="false"/>
          <w:color w:val="282828"/>
          <w:sz w:val="19"/>
        </w:rPr>
        <w:t xml:space="preserve">in your </w:t>
      </w:r>
      <w:r>
        <w:rPr>
          <w:rFonts w:ascii="Arial;sans-serif" w:hAnsi="Arial;sans-serif"/>
          <w:b w:val="false"/>
          <w:color w:val="131313"/>
          <w:sz w:val="19"/>
        </w:rPr>
        <w:t xml:space="preserve">new </w:t>
      </w:r>
      <w:r>
        <w:rPr>
          <w:rFonts w:ascii="Arial;sans-serif" w:hAnsi="Arial;sans-serif"/>
          <w:b w:val="false"/>
          <w:color w:val="282828"/>
          <w:sz w:val="19"/>
        </w:rPr>
        <w:t xml:space="preserve">position. </w:t>
      </w:r>
      <w:r>
        <w:rPr>
          <w:rFonts w:ascii="Arial;sans-serif" w:hAnsi="Arial;sans-serif"/>
          <w:b w:val="false"/>
          <w:color w:val="131313"/>
          <w:sz w:val="19"/>
        </w:rPr>
        <w:t xml:space="preserve">If </w:t>
      </w:r>
      <w:r>
        <w:rPr>
          <w:rFonts w:ascii="Arial;sans-serif" w:hAnsi="Arial;sans-serif"/>
          <w:b w:val="false"/>
          <w:color w:val="282828"/>
          <w:sz w:val="19"/>
        </w:rPr>
        <w:t xml:space="preserve">you have any questions, </w:t>
      </w:r>
      <w:r>
        <w:rPr>
          <w:rFonts w:ascii="Arial;sans-serif" w:hAnsi="Arial;sans-serif"/>
          <w:b w:val="false"/>
          <w:color w:val="131313"/>
          <w:sz w:val="19"/>
        </w:rPr>
        <w:t xml:space="preserve">please feel free to </w:t>
      </w:r>
      <w:r>
        <w:rPr>
          <w:rFonts w:ascii="Arial;sans-serif" w:hAnsi="Arial;sans-serif"/>
          <w:b w:val="false"/>
          <w:color w:val="282828"/>
          <w:sz w:val="19"/>
        </w:rPr>
        <w:t>contact me.</w:t>
      </w:r>
    </w:p>
    <w:p>
      <w:pPr>
        <w:pStyle w:val="TextBody"/>
        <w:spacing w:before="10" w:after="283"/>
        <w:rPr/>
      </w:pPr>
      <w:r>
        <w:rPr/>
      </w:r>
    </w:p>
    <w:p>
      <w:pPr>
        <w:pStyle w:val="TextBody"/>
        <w:spacing w:lineRule="auto" w:line="588" w:before="0" w:after="0"/>
        <w:ind w:left="0" w:right="0" w:firstLine="1"/>
        <w:rPr>
          <w:rFonts w:ascii="Arial;sans-serif" w:hAnsi="Arial;sans-serif"/>
          <w:b w:val="false"/>
          <w:color w:val="282828"/>
          <w:sz w:val="19"/>
        </w:rPr>
      </w:pPr>
      <w:r>
        <w:rPr>
          <w:rFonts w:ascii="Arial;sans-serif" w:hAnsi="Arial;sans-serif"/>
          <w:b w:val="false"/>
          <w:color w:val="282828"/>
          <w:sz w:val="19"/>
        </w:rPr>
        <w:t>Sincerely, Ginger Gregory</w:t>
      </w:r>
    </w:p>
    <w:p>
      <w:pPr>
        <w:pStyle w:val="TextBody"/>
        <w:spacing w:before="4" w:after="283"/>
        <w:rPr/>
      </w:pPr>
      <w:r>
        <w:rPr/>
        <w:drawing>
          <wp:inline distT="0" distB="63500" distL="0" distR="0">
            <wp:extent cx="5476875" cy="14605"/>
            <wp:effectExtent l="0" t="0" r="0" b="0"/>
            <wp:docPr id="9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2" descr=""/>
                    <pic:cNvPicPr>
                      <a:picLocks noChangeAspect="1" noChangeArrowheads="1"/>
                    </pic:cNvPicPr>
                  </pic:nvPicPr>
                  <pic:blipFill>
                    <a:blip r:embed="rId14"/>
                    <a:stretch>
                      <a:fillRect/>
                    </a:stretch>
                  </pic:blipFill>
                  <pic:spPr bwMode="auto">
                    <a:xfrm>
                      <a:off x="0" y="0"/>
                      <a:ext cx="5476875" cy="14605"/>
                    </a:xfrm>
                    <a:prstGeom prst="rect">
                      <a:avLst/>
                    </a:prstGeom>
                  </pic:spPr>
                </pic:pic>
              </a:graphicData>
            </a:graphic>
          </wp:inline>
        </w:drawing>
      </w:r>
    </w:p>
    <w:p>
      <w:pPr>
        <w:pStyle w:val="TextBody"/>
        <w:spacing w:before="4"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94" w:after="283"/>
        <w:rPr>
          <w:rFonts w:ascii="Arial;sans-serif" w:hAnsi="Arial;sans-serif"/>
          <w:b/>
          <w:color w:val="131313"/>
          <w:sz w:val="19"/>
        </w:rPr>
      </w:pPr>
      <w:r>
        <w:rPr>
          <w:rFonts w:ascii="Arial;sans-serif" w:hAnsi="Arial;sans-serif"/>
          <w:b/>
          <w:color w:val="131313"/>
          <w:sz w:val="19"/>
        </w:rPr>
        <w:t>ACCEPTED:</w:t>
      </w:r>
    </w:p>
    <w:p>
      <w:pPr>
        <w:pStyle w:val="TextBody"/>
        <w:spacing w:before="0" w:after="0"/>
        <w:rPr/>
      </w:pPr>
      <w:r>
        <w:rPr/>
      </w:r>
    </w:p>
    <w:p>
      <w:pPr>
        <w:pStyle w:val="TextBody"/>
        <w:spacing w:before="7" w:after="283"/>
        <w:rPr/>
      </w:pPr>
      <w:r>
        <w:rPr/>
      </w:r>
    </w:p>
    <w:p>
      <w:pPr>
        <w:pStyle w:val="TextBody"/>
        <w:spacing w:lineRule="auto" w:line="240" w:before="1" w:after="283"/>
        <w:rPr>
          <w:rFonts w:ascii="Arial;sans-serif" w:hAnsi="Arial;sans-serif"/>
          <w:b w:val="false"/>
          <w:color w:val="131313"/>
          <w:sz w:val="22"/>
        </w:rPr>
      </w:pPr>
      <w:r>
        <w:rPr>
          <w:rFonts w:ascii="Arial;sans-serif" w:hAnsi="Arial;sans-serif"/>
          <w:b w:val="false"/>
          <w:color w:val="131313"/>
          <w:sz w:val="22"/>
        </w:rPr>
        <w:t>Signature</w:t>
      </w:r>
    </w:p>
    <w:p>
      <w:pPr>
        <w:pStyle w:val="TextBody"/>
        <w:spacing w:before="1" w:after="283"/>
        <w:rPr/>
      </w:pPr>
      <w:r>
        <w:rPr/>
      </w:r>
    </w:p>
    <w:p>
      <w:pPr>
        <w:pStyle w:val="TextBody"/>
        <w:spacing w:lineRule="auto" w:line="240" w:before="1" w:after="283"/>
        <w:rPr>
          <w:rFonts w:ascii="Arial;sans-serif" w:hAnsi="Arial;sans-serif"/>
          <w:b w:val="false"/>
          <w:color w:val="000000"/>
          <w:sz w:val="22"/>
          <w:u w:val="single"/>
        </w:rPr>
      </w:pPr>
      <w:r>
        <w:rPr>
          <w:rFonts w:ascii="Arial;sans-serif" w:hAnsi="Arial;sans-serif"/>
          <w:b w:val="false"/>
          <w:color w:val="000000"/>
          <w:sz w:val="22"/>
          <w:u w:val="single"/>
        </w:rPr>
        <w:t>/s/ Nicole Murphy            </w:t>
      </w:r>
    </w:p>
    <w:p>
      <w:pPr>
        <w:pStyle w:val="TextBody"/>
        <w:spacing w:before="0" w:after="0"/>
        <w:rPr/>
      </w:pPr>
      <w:r>
        <w:rPr/>
      </w:r>
    </w:p>
    <w:p>
      <w:pPr>
        <w:pStyle w:val="TextBody"/>
        <w:spacing w:before="0" w:after="0"/>
        <w:rPr/>
      </w:pPr>
      <w:r>
        <w:rPr/>
      </w:r>
    </w:p>
    <w:p>
      <w:pPr>
        <w:pStyle w:val="TextBody"/>
        <w:spacing w:before="7" w:after="283"/>
        <w:rPr/>
      </w:pPr>
      <w:r>
        <w:rPr/>
      </w:r>
    </w:p>
    <w:p>
      <w:pPr>
        <w:pStyle w:val="TextBody"/>
        <w:spacing w:before="7" w:after="283"/>
        <w:rPr/>
      </w:pPr>
      <w:r>
        <w:rPr/>
      </w:r>
    </w:p>
    <w:p>
      <w:pPr>
        <w:pStyle w:val="TextBody"/>
        <w:spacing w:lineRule="auto" w:line="240" w:before="0" w:after="0"/>
        <w:rPr>
          <w:rFonts w:ascii="Arial;sans-serif" w:hAnsi="Arial;sans-serif"/>
          <w:b/>
          <w:color w:val="131313"/>
          <w:sz w:val="21"/>
        </w:rPr>
      </w:pPr>
      <w:r>
        <w:rPr>
          <w:rFonts w:ascii="Arial;sans-serif" w:hAnsi="Arial;sans-serif"/>
          <w:b/>
          <w:color w:val="131313"/>
          <w:sz w:val="21"/>
        </w:rPr>
        <w:t>Date</w:t>
      </w:r>
    </w:p>
    <w:p>
      <w:pPr>
        <w:pStyle w:val="TextBody"/>
        <w:spacing w:before="0" w:after="0"/>
        <w:rPr/>
      </w:pPr>
      <w:r>
        <w:rPr/>
      </w:r>
    </w:p>
    <w:p>
      <w:pPr>
        <w:pStyle w:val="TextBody"/>
        <w:spacing w:lineRule="auto" w:line="240" w:before="0" w:after="0"/>
        <w:rPr>
          <w:rFonts w:ascii="Arial;sans-serif" w:hAnsi="Arial;sans-serif"/>
          <w:b w:val="false"/>
          <w:color w:val="131313"/>
          <w:sz w:val="21"/>
          <w:u w:val="single"/>
        </w:rPr>
      </w:pPr>
      <w:r>
        <w:rPr>
          <w:rFonts w:ascii="Arial;sans-serif" w:hAnsi="Arial;sans-serif"/>
          <w:b w:val="false"/>
          <w:color w:val="131313"/>
          <w:sz w:val="21"/>
          <w:u w:val="single"/>
        </w:rPr>
        <w:t>1/31/2022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0" w:after="283"/>
        <w:rPr/>
      </w:pPr>
      <w:r>
        <w:rPr/>
      </w:r>
    </w:p>
    <w:p>
      <w:pPr>
        <w:pStyle w:val="TextBody"/>
        <w:spacing w:lineRule="auto" w:line="240" w:before="95" w:after="283"/>
        <w:rPr>
          <w:rFonts w:ascii="Arial;sans-serif" w:hAnsi="Arial;sans-serif"/>
          <w:b/>
          <w:color w:val="131313"/>
          <w:sz w:val="17"/>
        </w:rPr>
      </w:pPr>
      <w:r>
        <w:rPr>
          <w:rFonts w:ascii="Arial;sans-serif" w:hAnsi="Arial;sans-serif"/>
          <w:b/>
          <w:color w:val="131313"/>
          <w:sz w:val="17"/>
        </w:rPr>
        <w:t>EMPLOYEE PROPRIETARY INFORMATION AND INVENTIONS AND NON-COMPETE AGREEMENT</w:t>
      </w:r>
    </w:p>
    <w:p>
      <w:pPr>
        <w:pStyle w:val="TextBody"/>
        <w:spacing w:before="4" w:after="283"/>
        <w:rPr/>
      </w:pPr>
      <w:r>
        <w:rPr/>
      </w:r>
    </w:p>
    <w:p>
      <w:pPr>
        <w:pStyle w:val="TextBody"/>
        <w:spacing w:lineRule="auto" w:line="297" w:before="1" w:after="283"/>
        <w:ind w:left="0" w:right="0" w:hanging="4"/>
        <w:rPr/>
      </w:pPr>
      <w:r>
        <w:rPr>
          <w:rFonts w:ascii="Arial;sans-serif" w:hAnsi="Arial;sans-serif"/>
          <w:b w:val="false"/>
          <w:color w:val="131313"/>
          <w:sz w:val="17"/>
        </w:rPr>
        <w:t>Thi</w:t>
      </w:r>
      <w:r>
        <w:rPr>
          <w:rFonts w:ascii="Arial;sans-serif" w:hAnsi="Arial;sans-serif"/>
          <w:b w:val="false"/>
          <w:color w:val="3F3F3F"/>
          <w:sz w:val="17"/>
        </w:rPr>
        <w:t xml:space="preserve">s </w:t>
      </w:r>
      <w:r>
        <w:rPr>
          <w:rFonts w:ascii="Arial;sans-serif" w:hAnsi="Arial;sans-serif"/>
          <w:b w:val="false"/>
          <w:color w:val="282828"/>
          <w:sz w:val="17"/>
        </w:rPr>
        <w:t xml:space="preserve">Employee Proprietary </w:t>
      </w:r>
      <w:r>
        <w:rPr>
          <w:rFonts w:ascii="Arial;sans-serif" w:hAnsi="Arial;sans-serif"/>
          <w:b w:val="false"/>
          <w:color w:val="131313"/>
          <w:sz w:val="17"/>
        </w:rPr>
        <w:t xml:space="preserve">Information </w:t>
      </w:r>
      <w:r>
        <w:rPr>
          <w:rFonts w:ascii="Arial;sans-serif" w:hAnsi="Arial;sans-serif"/>
          <w:b w:val="false"/>
          <w:color w:val="282828"/>
          <w:sz w:val="17"/>
        </w:rPr>
        <w:t xml:space="preserve">and Inventions and </w:t>
      </w:r>
      <w:r>
        <w:rPr>
          <w:rFonts w:ascii="Arial;sans-serif" w:hAnsi="Arial;sans-serif"/>
          <w:b w:val="false"/>
          <w:color w:val="131313"/>
          <w:sz w:val="17"/>
        </w:rPr>
        <w:t>Non-Compet</w:t>
      </w:r>
      <w:r>
        <w:rPr>
          <w:rFonts w:ascii="Arial;sans-serif" w:hAnsi="Arial;sans-serif"/>
          <w:b w:val="false"/>
          <w:color w:val="3F3F3F"/>
          <w:sz w:val="17"/>
        </w:rPr>
        <w:t xml:space="preserve">e </w:t>
      </w:r>
      <w:r>
        <w:rPr>
          <w:rFonts w:ascii="Arial;sans-serif" w:hAnsi="Arial;sans-serif"/>
          <w:b w:val="false"/>
          <w:color w:val="282828"/>
          <w:sz w:val="17"/>
        </w:rPr>
        <w:t xml:space="preserve">Agreement </w:t>
      </w:r>
      <w:r>
        <w:rPr>
          <w:rFonts w:ascii="Arial;sans-serif" w:hAnsi="Arial;sans-serif"/>
          <w:b w:val="false"/>
          <w:color w:val="3F3F3F"/>
          <w:sz w:val="17"/>
        </w:rPr>
        <w:t>(</w:t>
      </w:r>
      <w:r>
        <w:rPr>
          <w:rFonts w:ascii="Arial;sans-serif" w:hAnsi="Arial;sans-serif"/>
          <w:b w:val="false"/>
          <w:color w:val="131313"/>
          <w:sz w:val="17"/>
        </w:rPr>
        <w:t xml:space="preserve">hereinafter </w:t>
      </w:r>
      <w:r>
        <w:rPr>
          <w:rFonts w:ascii="Arial;sans-serif" w:hAnsi="Arial;sans-serif"/>
          <w:b w:val="false"/>
          <w:color w:val="3F3F3F"/>
          <w:sz w:val="17"/>
        </w:rPr>
        <w:t xml:space="preserve">the </w:t>
      </w:r>
      <w:r>
        <w:rPr>
          <w:rFonts w:ascii="Arial;sans-serif" w:hAnsi="Arial;sans-serif"/>
          <w:b w:val="false"/>
          <w:color w:val="282828"/>
          <w:sz w:val="17"/>
        </w:rPr>
        <w:t xml:space="preserve">"Agreement") shall be </w:t>
      </w:r>
      <w:r>
        <w:rPr>
          <w:rFonts w:ascii="Arial;sans-serif" w:hAnsi="Arial;sans-serif"/>
          <w:b w:val="false"/>
          <w:color w:val="3F3F3F"/>
          <w:sz w:val="17"/>
        </w:rPr>
        <w:t xml:space="preserve">effective as </w:t>
      </w:r>
      <w:r>
        <w:rPr>
          <w:rFonts w:ascii="Arial;sans-serif" w:hAnsi="Arial;sans-serif"/>
          <w:b w:val="false"/>
          <w:color w:val="282828"/>
          <w:sz w:val="17"/>
        </w:rPr>
        <w:t xml:space="preserve">of the first day of my </w:t>
      </w:r>
      <w:r>
        <w:rPr>
          <w:rFonts w:ascii="Arial;sans-serif" w:hAnsi="Arial;sans-serif"/>
          <w:b w:val="false"/>
          <w:color w:val="3F3F3F"/>
          <w:sz w:val="17"/>
        </w:rPr>
        <w:t>emp</w:t>
      </w:r>
      <w:r>
        <w:rPr>
          <w:rFonts w:ascii="Arial;sans-serif" w:hAnsi="Arial;sans-serif"/>
          <w:b w:val="false"/>
          <w:color w:val="131313"/>
          <w:sz w:val="17"/>
        </w:rPr>
        <w:t>loym</w:t>
      </w:r>
      <w:r>
        <w:rPr>
          <w:rFonts w:ascii="Arial;sans-serif" w:hAnsi="Arial;sans-serif"/>
          <w:b w:val="false"/>
          <w:color w:val="3F3F3F"/>
          <w:sz w:val="17"/>
        </w:rPr>
        <w:t>en</w:t>
      </w:r>
      <w:r>
        <w:rPr>
          <w:rFonts w:ascii="Arial;sans-serif" w:hAnsi="Arial;sans-serif"/>
          <w:b w:val="false"/>
          <w:color w:val="131313"/>
          <w:sz w:val="17"/>
        </w:rPr>
        <w:t xml:space="preserve">t </w:t>
      </w:r>
      <w:r>
        <w:rPr>
          <w:rFonts w:ascii="Arial;sans-serif" w:hAnsi="Arial;sans-serif"/>
          <w:b w:val="false"/>
          <w:color w:val="282828"/>
          <w:sz w:val="17"/>
        </w:rPr>
        <w:t xml:space="preserve">with Biogen </w:t>
      </w:r>
      <w:r>
        <w:rPr>
          <w:rFonts w:ascii="Arial;sans-serif" w:hAnsi="Arial;sans-serif"/>
          <w:b w:val="false"/>
          <w:color w:val="131313"/>
          <w:sz w:val="17"/>
        </w:rPr>
        <w:t>In</w:t>
      </w:r>
      <w:r>
        <w:rPr>
          <w:rFonts w:ascii="Arial;sans-serif" w:hAnsi="Arial;sans-serif"/>
          <w:b w:val="false"/>
          <w:color w:val="3F3F3F"/>
          <w:sz w:val="17"/>
        </w:rPr>
        <w:t xml:space="preserve">c. </w:t>
      </w:r>
      <w:r>
        <w:rPr>
          <w:rFonts w:ascii="Arial;sans-serif" w:hAnsi="Arial;sans-serif"/>
          <w:b w:val="false"/>
          <w:color w:val="282828"/>
          <w:sz w:val="17"/>
        </w:rPr>
        <w:t xml:space="preserve">(together with </w:t>
      </w:r>
      <w:r>
        <w:rPr>
          <w:rFonts w:ascii="Arial;sans-serif" w:hAnsi="Arial;sans-serif"/>
          <w:b w:val="false"/>
          <w:color w:val="131313"/>
          <w:sz w:val="17"/>
        </w:rPr>
        <w:t>it</w:t>
      </w:r>
      <w:r>
        <w:rPr>
          <w:rFonts w:ascii="Arial;sans-serif" w:hAnsi="Arial;sans-serif"/>
          <w:b w:val="false"/>
          <w:color w:val="3F3F3F"/>
          <w:sz w:val="17"/>
        </w:rPr>
        <w:t>s s</w:t>
      </w:r>
      <w:r>
        <w:rPr>
          <w:rFonts w:ascii="Arial;sans-serif" w:hAnsi="Arial;sans-serif"/>
          <w:b w:val="false"/>
          <w:color w:val="131313"/>
          <w:sz w:val="17"/>
        </w:rPr>
        <w:t>ub</w:t>
      </w:r>
      <w:r>
        <w:rPr>
          <w:rFonts w:ascii="Arial;sans-serif" w:hAnsi="Arial;sans-serif"/>
          <w:b w:val="false"/>
          <w:color w:val="3F3F3F"/>
          <w:sz w:val="17"/>
        </w:rPr>
        <w:t>s</w:t>
      </w:r>
      <w:r>
        <w:rPr>
          <w:rFonts w:ascii="Arial;sans-serif" w:hAnsi="Arial;sans-serif"/>
          <w:b w:val="false"/>
          <w:color w:val="131313"/>
          <w:sz w:val="17"/>
        </w:rPr>
        <w:t>idi</w:t>
      </w:r>
      <w:r>
        <w:rPr>
          <w:rFonts w:ascii="Arial;sans-serif" w:hAnsi="Arial;sans-serif"/>
          <w:b w:val="false"/>
          <w:color w:val="3F3F3F"/>
          <w:sz w:val="17"/>
        </w:rPr>
        <w:t>ar</w:t>
      </w:r>
      <w:r>
        <w:rPr>
          <w:rFonts w:ascii="Arial;sans-serif" w:hAnsi="Arial;sans-serif"/>
          <w:b w:val="false"/>
          <w:color w:val="131313"/>
          <w:sz w:val="17"/>
        </w:rPr>
        <w:t>i</w:t>
      </w:r>
      <w:r>
        <w:rPr>
          <w:rFonts w:ascii="Arial;sans-serif" w:hAnsi="Arial;sans-serif"/>
          <w:b w:val="false"/>
          <w:color w:val="3F3F3F"/>
          <w:sz w:val="17"/>
        </w:rPr>
        <w:t xml:space="preserve">es </w:t>
      </w:r>
      <w:r>
        <w:rPr>
          <w:rFonts w:ascii="Arial;sans-serif" w:hAnsi="Arial;sans-serif"/>
          <w:b w:val="false"/>
          <w:color w:val="282828"/>
          <w:sz w:val="17"/>
        </w:rPr>
        <w:t xml:space="preserve">and any other corporate affiliates </w:t>
      </w:r>
      <w:r>
        <w:rPr>
          <w:rFonts w:ascii="Arial;sans-serif" w:hAnsi="Arial;sans-serif"/>
          <w:b w:val="false"/>
          <w:color w:val="131313"/>
          <w:sz w:val="17"/>
        </w:rPr>
        <w:t>h</w:t>
      </w:r>
      <w:r>
        <w:rPr>
          <w:rFonts w:ascii="Arial;sans-serif" w:hAnsi="Arial;sans-serif"/>
          <w:b w:val="false"/>
          <w:color w:val="3F3F3F"/>
          <w:sz w:val="17"/>
        </w:rPr>
        <w:t>e</w:t>
      </w:r>
      <w:r>
        <w:rPr>
          <w:rFonts w:ascii="Arial;sans-serif" w:hAnsi="Arial;sans-serif"/>
          <w:b w:val="false"/>
          <w:color w:val="131313"/>
          <w:sz w:val="17"/>
        </w:rPr>
        <w:t xml:space="preserve">reinafter </w:t>
      </w:r>
      <w:r>
        <w:rPr>
          <w:rFonts w:ascii="Arial;sans-serif" w:hAnsi="Arial;sans-serif"/>
          <w:b w:val="false"/>
          <w:color w:val="3F3F3F"/>
          <w:sz w:val="17"/>
        </w:rPr>
        <w:t>co</w:t>
      </w:r>
      <w:r>
        <w:rPr>
          <w:rFonts w:ascii="Arial;sans-serif" w:hAnsi="Arial;sans-serif"/>
          <w:b w:val="false"/>
          <w:color w:val="131313"/>
          <w:sz w:val="17"/>
        </w:rPr>
        <w:t>ll</w:t>
      </w:r>
      <w:r>
        <w:rPr>
          <w:rFonts w:ascii="Arial;sans-serif" w:hAnsi="Arial;sans-serif"/>
          <w:b w:val="false"/>
          <w:color w:val="3F3F3F"/>
          <w:sz w:val="17"/>
        </w:rPr>
        <w:t>ective</w:t>
      </w:r>
      <w:r>
        <w:rPr>
          <w:rFonts w:ascii="Arial;sans-serif" w:hAnsi="Arial;sans-serif"/>
          <w:b w:val="false"/>
          <w:color w:val="131313"/>
          <w:sz w:val="17"/>
        </w:rPr>
        <w:t>ly</w:t>
      </w:r>
      <w:r>
        <w:rPr>
          <w:rFonts w:ascii="Arial;sans-serif" w:hAnsi="Arial;sans-serif"/>
          <w:b w:val="false"/>
          <w:color w:val="3F3F3F"/>
          <w:sz w:val="17"/>
        </w:rPr>
        <w:t xml:space="preserve">, </w:t>
      </w:r>
      <w:r>
        <w:rPr>
          <w:rFonts w:ascii="Arial;sans-serif" w:hAnsi="Arial;sans-serif"/>
          <w:b w:val="false"/>
          <w:color w:val="282828"/>
          <w:sz w:val="17"/>
        </w:rPr>
        <w:t xml:space="preserve">the </w:t>
      </w:r>
      <w:r>
        <w:rPr>
          <w:rFonts w:ascii="Arial;sans-serif" w:hAnsi="Arial;sans-serif"/>
          <w:b w:val="false"/>
          <w:color w:val="3F3F3F"/>
          <w:sz w:val="17"/>
        </w:rPr>
        <w:t>"Company") o</w:t>
      </w:r>
      <w:r>
        <w:rPr>
          <w:rFonts w:ascii="Arial;sans-serif" w:hAnsi="Arial;sans-serif"/>
          <w:b w:val="false"/>
          <w:color w:val="131313"/>
          <w:sz w:val="17"/>
        </w:rPr>
        <w:t>r</w:t>
      </w:r>
      <w:r>
        <w:rPr>
          <w:rFonts w:ascii="Arial;sans-serif" w:hAnsi="Arial;sans-serif"/>
          <w:b w:val="false"/>
          <w:color w:val="3F3F3F"/>
          <w:sz w:val="17"/>
        </w:rPr>
        <w:t xml:space="preserve">, </w:t>
      </w:r>
      <w:r>
        <w:rPr>
          <w:rFonts w:ascii="Arial;sans-serif" w:hAnsi="Arial;sans-serif"/>
          <w:b w:val="false"/>
          <w:color w:val="131313"/>
          <w:sz w:val="17"/>
        </w:rPr>
        <w:t xml:space="preserve">if I </w:t>
      </w:r>
      <w:r>
        <w:rPr>
          <w:rFonts w:ascii="Arial;sans-serif" w:hAnsi="Arial;sans-serif"/>
          <w:b w:val="false"/>
          <w:color w:val="282828"/>
          <w:sz w:val="17"/>
        </w:rPr>
        <w:t xml:space="preserve">already am employed by the </w:t>
      </w:r>
      <w:r>
        <w:rPr>
          <w:rFonts w:ascii="Arial;sans-serif" w:hAnsi="Arial;sans-serif"/>
          <w:b w:val="false"/>
          <w:color w:val="3F3F3F"/>
          <w:sz w:val="17"/>
        </w:rPr>
        <w:t xml:space="preserve">Company, on </w:t>
      </w:r>
      <w:r>
        <w:rPr>
          <w:rFonts w:ascii="Arial;sans-serif" w:hAnsi="Arial;sans-serif"/>
          <w:b w:val="false"/>
          <w:color w:val="282828"/>
          <w:sz w:val="17"/>
        </w:rPr>
        <w:t xml:space="preserve">the date that </w:t>
      </w:r>
      <w:r>
        <w:rPr>
          <w:rFonts w:ascii="Arial;sans-serif" w:hAnsi="Arial;sans-serif"/>
          <w:b w:val="false"/>
          <w:color w:val="131313"/>
          <w:sz w:val="17"/>
        </w:rPr>
        <w:t xml:space="preserve">I </w:t>
      </w:r>
      <w:r>
        <w:rPr>
          <w:rFonts w:ascii="Arial;sans-serif" w:hAnsi="Arial;sans-serif"/>
          <w:b w:val="false"/>
          <w:color w:val="3F3F3F"/>
          <w:sz w:val="17"/>
        </w:rPr>
        <w:t>s</w:t>
      </w:r>
      <w:r>
        <w:rPr>
          <w:rFonts w:ascii="Arial;sans-serif" w:hAnsi="Arial;sans-serif"/>
          <w:b w:val="false"/>
          <w:color w:val="131313"/>
          <w:sz w:val="17"/>
        </w:rPr>
        <w:t xml:space="preserve">ign </w:t>
      </w:r>
      <w:r>
        <w:rPr>
          <w:rFonts w:ascii="Arial;sans-serif" w:hAnsi="Arial;sans-serif"/>
          <w:b w:val="false"/>
          <w:color w:val="282828"/>
          <w:sz w:val="17"/>
        </w:rPr>
        <w:t xml:space="preserve">this Agreement. </w:t>
      </w:r>
      <w:r>
        <w:rPr>
          <w:rFonts w:ascii="Arial;sans-serif" w:hAnsi="Arial;sans-serif"/>
          <w:b w:val="false"/>
          <w:color w:val="131313"/>
          <w:sz w:val="17"/>
        </w:rPr>
        <w:t xml:space="preserve">In </w:t>
      </w:r>
      <w:r>
        <w:rPr>
          <w:rFonts w:ascii="Arial;sans-serif" w:hAnsi="Arial;sans-serif"/>
          <w:b w:val="false"/>
          <w:color w:val="3F3F3F"/>
          <w:sz w:val="17"/>
        </w:rPr>
        <w:t>cons</w:t>
      </w:r>
      <w:r>
        <w:rPr>
          <w:rFonts w:ascii="Arial;sans-serif" w:hAnsi="Arial;sans-serif"/>
          <w:b w:val="false"/>
          <w:color w:val="131313"/>
          <w:sz w:val="17"/>
        </w:rPr>
        <w:t>iderat</w:t>
      </w:r>
      <w:r>
        <w:rPr>
          <w:rFonts w:ascii="Arial;sans-serif" w:hAnsi="Arial;sans-serif"/>
          <w:b w:val="false"/>
          <w:color w:val="3F3F3F"/>
          <w:sz w:val="17"/>
        </w:rPr>
        <w:t xml:space="preserve">ion of </w:t>
      </w:r>
      <w:r>
        <w:rPr>
          <w:rFonts w:ascii="Arial;sans-serif" w:hAnsi="Arial;sans-serif"/>
          <w:b w:val="false"/>
          <w:color w:val="282828"/>
          <w:sz w:val="17"/>
        </w:rPr>
        <w:t xml:space="preserve">my </w:t>
      </w:r>
      <w:r>
        <w:rPr>
          <w:rFonts w:ascii="Arial;sans-serif" w:hAnsi="Arial;sans-serif"/>
          <w:b w:val="false"/>
          <w:color w:val="3F3F3F"/>
          <w:sz w:val="17"/>
        </w:rPr>
        <w:t>emp</w:t>
      </w:r>
      <w:r>
        <w:rPr>
          <w:rFonts w:ascii="Arial;sans-serif" w:hAnsi="Arial;sans-serif"/>
          <w:b w:val="false"/>
          <w:color w:val="131313"/>
          <w:sz w:val="17"/>
        </w:rPr>
        <w:t>loym</w:t>
      </w:r>
      <w:r>
        <w:rPr>
          <w:rFonts w:ascii="Arial;sans-serif" w:hAnsi="Arial;sans-serif"/>
          <w:b w:val="false"/>
          <w:color w:val="3F3F3F"/>
          <w:sz w:val="17"/>
        </w:rPr>
        <w:t>en</w:t>
      </w:r>
      <w:r>
        <w:rPr>
          <w:rFonts w:ascii="Arial;sans-serif" w:hAnsi="Arial;sans-serif"/>
          <w:b w:val="false"/>
          <w:color w:val="131313"/>
          <w:sz w:val="17"/>
        </w:rPr>
        <w:t xml:space="preserve">t </w:t>
      </w:r>
      <w:r>
        <w:rPr>
          <w:rFonts w:ascii="Arial;sans-serif" w:hAnsi="Arial;sans-serif"/>
          <w:b w:val="false"/>
          <w:color w:val="282828"/>
          <w:sz w:val="17"/>
        </w:rPr>
        <w:t xml:space="preserve">or continued employment, the </w:t>
      </w:r>
      <w:r>
        <w:rPr>
          <w:rFonts w:ascii="Arial;sans-serif" w:hAnsi="Arial;sans-serif"/>
          <w:b w:val="false"/>
          <w:color w:val="3F3F3F"/>
          <w:sz w:val="17"/>
        </w:rPr>
        <w:t xml:space="preserve">compensation </w:t>
      </w:r>
      <w:r>
        <w:rPr>
          <w:rFonts w:ascii="Arial;sans-serif" w:hAnsi="Arial;sans-serif"/>
          <w:b w:val="false"/>
          <w:color w:val="282828"/>
          <w:sz w:val="17"/>
        </w:rPr>
        <w:t xml:space="preserve">to be received by me from the Company from time to time, </w:t>
      </w:r>
      <w:r>
        <w:rPr>
          <w:rFonts w:ascii="Arial;sans-serif" w:hAnsi="Arial;sans-serif"/>
          <w:b w:val="false"/>
          <w:color w:val="3F3F3F"/>
          <w:sz w:val="17"/>
        </w:rPr>
        <w:t>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8" w:after="283"/>
        <w:rPr/>
      </w:pPr>
      <w:r>
        <w:rPr/>
      </w:r>
    </w:p>
    <w:p>
      <w:pPr>
        <w:pStyle w:val="TextBody"/>
        <w:spacing w:lineRule="auto" w:line="285" w:before="95" w:after="283"/>
        <w:ind w:left="0" w:right="0" w:hanging="2"/>
        <w:rPr/>
      </w:pPr>
      <w:r>
        <w:rPr>
          <w:rFonts w:ascii="Arial;sans-serif" w:hAnsi="Arial;sans-serif"/>
          <w:b w:val="false"/>
          <w:color w:val="181818"/>
          <w:sz w:val="17"/>
        </w:rPr>
        <w:t xml:space="preserve">my participation </w:t>
      </w:r>
      <w:r>
        <w:rPr>
          <w:rFonts w:ascii="Arial;sans-serif" w:hAnsi="Arial;sans-serif"/>
          <w:b w:val="false"/>
          <w:color w:val="2F2F2F"/>
          <w:sz w:val="17"/>
        </w:rPr>
        <w:t xml:space="preserve">in </w:t>
      </w:r>
      <w:r>
        <w:rPr>
          <w:rFonts w:ascii="Arial;sans-serif" w:hAnsi="Arial;sans-serif"/>
          <w:b w:val="false"/>
          <w:color w:val="181818"/>
          <w:sz w:val="17"/>
        </w:rPr>
        <w:t xml:space="preserve">the </w:t>
      </w:r>
      <w:r>
        <w:rPr>
          <w:rFonts w:ascii="Arial;sans-serif" w:hAnsi="Arial;sans-serif"/>
          <w:b w:val="false"/>
          <w:color w:val="2F2F2F"/>
          <w:sz w:val="17"/>
        </w:rPr>
        <w:t xml:space="preserve">Company's annual bonus or </w:t>
      </w:r>
      <w:r>
        <w:rPr>
          <w:rFonts w:ascii="Arial;sans-serif" w:hAnsi="Arial;sans-serif"/>
          <w:b w:val="false"/>
          <w:color w:val="181818"/>
          <w:sz w:val="17"/>
        </w:rPr>
        <w:t xml:space="preserve">incentive </w:t>
      </w:r>
      <w:r>
        <w:rPr>
          <w:rFonts w:ascii="Arial;sans-serif" w:hAnsi="Arial;sans-serif"/>
          <w:b w:val="false"/>
          <w:color w:val="2F2F2F"/>
          <w:sz w:val="17"/>
        </w:rPr>
        <w:t xml:space="preserve">compensation plan {depending on my </w:t>
      </w:r>
      <w:r>
        <w:rPr>
          <w:rFonts w:ascii="Arial;sans-serif" w:hAnsi="Arial;sans-serif"/>
          <w:b w:val="false"/>
          <w:color w:val="181818"/>
          <w:sz w:val="17"/>
        </w:rPr>
        <w:t xml:space="preserve">role </w:t>
      </w:r>
      <w:r>
        <w:rPr>
          <w:rFonts w:ascii="Arial;sans-serif" w:hAnsi="Arial;sans-serif"/>
          <w:b w:val="false"/>
          <w:color w:val="2F2F2F"/>
          <w:sz w:val="17"/>
        </w:rPr>
        <w:t xml:space="preserve">and the applicable eligibility criteria), </w:t>
      </w:r>
      <w:r>
        <w:rPr>
          <w:rFonts w:ascii="Arial;sans-serif" w:hAnsi="Arial;sans-serif"/>
          <w:b w:val="false"/>
          <w:color w:val="181818"/>
          <w:sz w:val="17"/>
        </w:rPr>
        <w:t xml:space="preserve">I </w:t>
      </w:r>
      <w:r>
        <w:rPr>
          <w:rFonts w:ascii="Arial;sans-serif" w:hAnsi="Arial;sans-serif"/>
          <w:b w:val="false"/>
          <w:color w:val="2F2F2F"/>
          <w:sz w:val="17"/>
        </w:rPr>
        <w:t xml:space="preserve">hereby specifically acknowledge, </w:t>
      </w:r>
      <w:r>
        <w:rPr>
          <w:rFonts w:ascii="Arial;sans-serif" w:hAnsi="Arial;sans-serif"/>
          <w:b w:val="false"/>
          <w:color w:val="181818"/>
          <w:sz w:val="17"/>
        </w:rPr>
        <w:t xml:space="preserve">understand, </w:t>
      </w:r>
      <w:r>
        <w:rPr>
          <w:rFonts w:ascii="Arial;sans-serif" w:hAnsi="Arial;sans-serif"/>
          <w:b w:val="false"/>
          <w:color w:val="2F2F2F"/>
          <w:sz w:val="17"/>
        </w:rPr>
        <w:t xml:space="preserve">and agree </w:t>
      </w:r>
      <w:r>
        <w:rPr>
          <w:rFonts w:ascii="Arial;sans-serif" w:hAnsi="Arial;sans-serif"/>
          <w:b w:val="false"/>
          <w:color w:val="181818"/>
          <w:sz w:val="17"/>
        </w:rPr>
        <w:t>that:</w:t>
      </w:r>
    </w:p>
    <w:p>
      <w:pPr>
        <w:pStyle w:val="TextBody"/>
        <w:spacing w:before="8" w:after="283"/>
        <w:rPr/>
      </w:pPr>
      <w:r>
        <w:rPr/>
      </w:r>
    </w:p>
    <w:p>
      <w:pPr>
        <w:pStyle w:val="TextBody"/>
        <w:spacing w:lineRule="auto" w:line="240" w:before="95" w:after="283"/>
        <w:rPr/>
      </w:pPr>
      <w:r>
        <w:rPr>
          <w:rFonts w:ascii="Arial;sans-serif" w:hAnsi="Arial;sans-serif"/>
          <w:b w:val="false"/>
          <w:color w:val="181818"/>
          <w:sz w:val="17"/>
          <w:u w:val="single"/>
        </w:rPr>
        <w:t xml:space="preserve">Nature </w:t>
      </w:r>
      <w:r>
        <w:rPr>
          <w:rFonts w:ascii="Arial;sans-serif" w:hAnsi="Arial;sans-serif"/>
          <w:b w:val="false"/>
          <w:color w:val="2F2F2F"/>
          <w:sz w:val="17"/>
          <w:u w:val="single"/>
        </w:rPr>
        <w:t xml:space="preserve">of </w:t>
      </w:r>
      <w:r>
        <w:rPr>
          <w:rFonts w:ascii="Arial;sans-serif" w:hAnsi="Arial;sans-serif"/>
          <w:b w:val="false"/>
          <w:color w:val="181818"/>
          <w:sz w:val="17"/>
          <w:u w:val="single"/>
        </w:rPr>
        <w:t xml:space="preserve">Employment </w:t>
      </w:r>
      <w:r>
        <w:rPr>
          <w:rFonts w:ascii="Arial;sans-serif" w:hAnsi="Arial;sans-serif"/>
          <w:b w:val="false"/>
          <w:color w:val="2F2F2F"/>
          <w:sz w:val="17"/>
          <w:u w:val="single"/>
        </w:rPr>
        <w:t>Relationship</w:t>
      </w:r>
    </w:p>
    <w:p>
      <w:pPr>
        <w:pStyle w:val="TextBody"/>
        <w:spacing w:before="9" w:after="283"/>
        <w:rPr/>
      </w:pPr>
      <w:r>
        <w:rPr/>
      </w:r>
    </w:p>
    <w:p>
      <w:pPr>
        <w:pStyle w:val="TextBody"/>
        <w:spacing w:lineRule="auto" w:line="295" w:before="0" w:after="0"/>
        <w:ind w:left="0" w:right="0" w:hanging="359"/>
        <w:rPr/>
      </w:pPr>
      <w:r>
        <w:rPr>
          <w:rFonts w:ascii="Arial;sans-serif" w:hAnsi="Arial;sans-serif"/>
          <w:b w:val="false"/>
          <w:color w:val="181818"/>
          <w:sz w:val="17"/>
        </w:rPr>
        <w:t xml:space="preserve">1.My </w:t>
      </w:r>
      <w:r>
        <w:rPr>
          <w:rFonts w:ascii="Arial;sans-serif" w:hAnsi="Arial;sans-serif"/>
          <w:b w:val="false"/>
          <w:color w:val="2F2F2F"/>
          <w:sz w:val="17"/>
        </w:rPr>
        <w:t xml:space="preserve">employment with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has </w:t>
      </w:r>
      <w:r>
        <w:rPr>
          <w:rFonts w:ascii="Arial;sans-serif" w:hAnsi="Arial;sans-serif"/>
          <w:b w:val="false"/>
          <w:color w:val="2F2F2F"/>
          <w:sz w:val="17"/>
        </w:rPr>
        <w:t xml:space="preserve">been entered </w:t>
      </w:r>
      <w:r>
        <w:rPr>
          <w:rFonts w:ascii="Arial;sans-serif" w:hAnsi="Arial;sans-serif"/>
          <w:b w:val="false"/>
          <w:color w:val="181818"/>
          <w:sz w:val="17"/>
        </w:rPr>
        <w:t xml:space="preserve">into </w:t>
      </w:r>
      <w:r>
        <w:rPr>
          <w:rFonts w:ascii="Arial;sans-serif" w:hAnsi="Arial;sans-serif"/>
          <w:b w:val="false"/>
          <w:color w:val="2F2F2F"/>
          <w:sz w:val="17"/>
        </w:rPr>
        <w:t xml:space="preserve">voluntarily and </w:t>
      </w:r>
      <w:r>
        <w:rPr>
          <w:rFonts w:ascii="Arial;sans-serif" w:hAnsi="Arial;sans-serif"/>
          <w:b w:val="false"/>
          <w:color w:val="181818"/>
          <w:sz w:val="17"/>
        </w:rPr>
        <w:t xml:space="preserve">I may </w:t>
      </w:r>
      <w:r>
        <w:rPr>
          <w:rFonts w:ascii="Arial;sans-serif" w:hAnsi="Arial;sans-serif"/>
          <w:b w:val="false"/>
          <w:color w:val="2F2F2F"/>
          <w:sz w:val="17"/>
        </w:rPr>
        <w:t xml:space="preserve">resign at any </w:t>
      </w:r>
      <w:r>
        <w:rPr>
          <w:rFonts w:ascii="Arial;sans-serif" w:hAnsi="Arial;sans-serif"/>
          <w:b w:val="false"/>
          <w:color w:val="181818"/>
          <w:sz w:val="17"/>
        </w:rPr>
        <w:t xml:space="preserve">time. </w:t>
      </w:r>
      <w:r>
        <w:rPr>
          <w:rFonts w:ascii="Arial;sans-serif" w:hAnsi="Arial;sans-serif"/>
          <w:b w:val="false"/>
          <w:color w:val="2F2F2F"/>
          <w:sz w:val="17"/>
        </w:rPr>
        <w:t xml:space="preserve">Similarly,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may terminate my </w:t>
      </w:r>
      <w:r>
        <w:rPr>
          <w:rFonts w:ascii="Arial;sans-serif" w:hAnsi="Arial;sans-serif"/>
          <w:b w:val="false"/>
          <w:color w:val="2F2F2F"/>
          <w:sz w:val="17"/>
        </w:rPr>
        <w:t xml:space="preserve">employment at any </w:t>
      </w:r>
      <w:r>
        <w:rPr>
          <w:rFonts w:ascii="Arial;sans-serif" w:hAnsi="Arial;sans-serif"/>
          <w:b w:val="false"/>
          <w:color w:val="181818"/>
          <w:sz w:val="17"/>
        </w:rPr>
        <w:t xml:space="preserve">time without </w:t>
      </w:r>
      <w:r>
        <w:rPr>
          <w:rFonts w:ascii="Arial;sans-serif" w:hAnsi="Arial;sans-serif"/>
          <w:b w:val="false"/>
          <w:color w:val="2F2F2F"/>
          <w:sz w:val="17"/>
        </w:rPr>
        <w:t xml:space="preserve">cause or </w:t>
      </w:r>
      <w:r>
        <w:rPr>
          <w:rFonts w:ascii="Arial;sans-serif" w:hAnsi="Arial;sans-serif"/>
          <w:b w:val="false"/>
          <w:color w:val="181818"/>
          <w:sz w:val="17"/>
        </w:rPr>
        <w:t xml:space="preserve">notice, and </w:t>
      </w:r>
      <w:r>
        <w:rPr>
          <w:rFonts w:ascii="Arial;sans-serif" w:hAnsi="Arial;sans-serif"/>
          <w:b w:val="false"/>
          <w:color w:val="2F2F2F"/>
          <w:sz w:val="17"/>
        </w:rPr>
        <w:t xml:space="preserve">for any </w:t>
      </w:r>
      <w:r>
        <w:rPr>
          <w:rFonts w:ascii="Arial;sans-serif" w:hAnsi="Arial;sans-serif"/>
          <w:b w:val="false"/>
          <w:color w:val="181818"/>
          <w:sz w:val="17"/>
        </w:rPr>
        <w:t xml:space="preserve">reason, </w:t>
      </w:r>
      <w:r>
        <w:rPr>
          <w:rFonts w:ascii="Arial;sans-serif" w:hAnsi="Arial;sans-serif"/>
          <w:b w:val="false"/>
          <w:color w:val="2F2F2F"/>
          <w:sz w:val="17"/>
        </w:rPr>
        <w:t xml:space="preserve">without </w:t>
      </w:r>
      <w:r>
        <w:rPr>
          <w:rFonts w:ascii="Arial;sans-serif" w:hAnsi="Arial;sans-serif"/>
          <w:b w:val="false"/>
          <w:color w:val="181818"/>
          <w:sz w:val="17"/>
        </w:rPr>
        <w:t xml:space="preserve">resort to </w:t>
      </w:r>
      <w:r>
        <w:rPr>
          <w:rFonts w:ascii="Arial;sans-serif" w:hAnsi="Arial;sans-serif"/>
          <w:b w:val="false"/>
          <w:color w:val="2F2F2F"/>
          <w:sz w:val="17"/>
        </w:rPr>
        <w:t xml:space="preserve">any policies, practices or procedures. No </w:t>
      </w:r>
      <w:r>
        <w:rPr>
          <w:rFonts w:ascii="Arial;sans-serif" w:hAnsi="Arial;sans-serif"/>
          <w:b w:val="false"/>
          <w:color w:val="181818"/>
          <w:sz w:val="17"/>
        </w:rPr>
        <w:t xml:space="preserve">implied </w:t>
      </w:r>
      <w:r>
        <w:rPr>
          <w:rFonts w:ascii="Arial;sans-serif" w:hAnsi="Arial;sans-serif"/>
          <w:b w:val="false"/>
          <w:color w:val="2F2F2F"/>
          <w:sz w:val="17"/>
        </w:rPr>
        <w:t xml:space="preserve">oral or written agreements contrary </w:t>
      </w:r>
      <w:r>
        <w:rPr>
          <w:rFonts w:ascii="Arial;sans-serif" w:hAnsi="Arial;sans-serif"/>
          <w:b w:val="false"/>
          <w:color w:val="181818"/>
          <w:sz w:val="17"/>
        </w:rPr>
        <w:t xml:space="preserve">to the </w:t>
      </w:r>
      <w:r>
        <w:rPr>
          <w:rFonts w:ascii="Arial;sans-serif" w:hAnsi="Arial;sans-serif"/>
          <w:b w:val="false"/>
          <w:color w:val="2F2F2F"/>
          <w:sz w:val="17"/>
        </w:rPr>
        <w:t xml:space="preserve">express </w:t>
      </w:r>
      <w:r>
        <w:rPr>
          <w:rFonts w:ascii="Arial;sans-serif" w:hAnsi="Arial;sans-serif"/>
          <w:b w:val="false"/>
          <w:color w:val="181818"/>
          <w:sz w:val="17"/>
        </w:rPr>
        <w:t xml:space="preserve">language </w:t>
      </w:r>
      <w:r>
        <w:rPr>
          <w:rFonts w:ascii="Arial;sans-serif" w:hAnsi="Arial;sans-serif"/>
          <w:b w:val="false"/>
          <w:color w:val="2F2F2F"/>
          <w:sz w:val="17"/>
        </w:rPr>
        <w:t xml:space="preserve">of </w:t>
      </w:r>
      <w:r>
        <w:rPr>
          <w:rFonts w:ascii="Arial;sans-serif" w:hAnsi="Arial;sans-serif"/>
          <w:b w:val="false"/>
          <w:color w:val="181818"/>
          <w:sz w:val="17"/>
        </w:rPr>
        <w:t xml:space="preserve">this </w:t>
      </w:r>
      <w:r>
        <w:rPr>
          <w:rFonts w:ascii="Arial;sans-serif" w:hAnsi="Arial;sans-serif"/>
          <w:b w:val="false"/>
          <w:color w:val="2F2F2F"/>
          <w:sz w:val="17"/>
        </w:rPr>
        <w:t xml:space="preserve">Agreement are valid </w:t>
      </w:r>
      <w:r>
        <w:rPr>
          <w:rFonts w:ascii="Arial;sans-serif" w:hAnsi="Arial;sans-serif"/>
          <w:b w:val="false"/>
          <w:color w:val="181818"/>
          <w:sz w:val="17"/>
        </w:rPr>
        <w:t xml:space="preserve">unless </w:t>
      </w:r>
      <w:r>
        <w:rPr>
          <w:rFonts w:ascii="Arial;sans-serif" w:hAnsi="Arial;sans-serif"/>
          <w:b w:val="false"/>
          <w:color w:val="2F2F2F"/>
          <w:sz w:val="17"/>
        </w:rPr>
        <w:t xml:space="preserve">they are </w:t>
      </w:r>
      <w:r>
        <w:rPr>
          <w:rFonts w:ascii="Arial;sans-serif" w:hAnsi="Arial;sans-serif"/>
          <w:b w:val="false"/>
          <w:color w:val="181818"/>
          <w:sz w:val="17"/>
        </w:rPr>
        <w:t xml:space="preserve">in </w:t>
      </w:r>
      <w:r>
        <w:rPr>
          <w:rFonts w:ascii="Arial;sans-serif" w:hAnsi="Arial;sans-serif"/>
          <w:b w:val="false"/>
          <w:color w:val="2F2F2F"/>
          <w:sz w:val="17"/>
        </w:rPr>
        <w:t xml:space="preserve">writing and signed by </w:t>
      </w:r>
      <w:r>
        <w:rPr>
          <w:rFonts w:ascii="Arial;sans-serif" w:hAnsi="Arial;sans-serif"/>
          <w:b w:val="false"/>
          <w:color w:val="181818"/>
          <w:sz w:val="17"/>
        </w:rPr>
        <w:t xml:space="preserve">the </w:t>
      </w:r>
      <w:r>
        <w:rPr>
          <w:rFonts w:ascii="Arial;sans-serif" w:hAnsi="Arial;sans-serif"/>
          <w:b w:val="false"/>
          <w:color w:val="2F2F2F"/>
          <w:sz w:val="17"/>
        </w:rPr>
        <w:t xml:space="preserve">Board of </w:t>
      </w:r>
      <w:r>
        <w:rPr>
          <w:rFonts w:ascii="Arial;sans-serif" w:hAnsi="Arial;sans-serif"/>
          <w:b w:val="false"/>
          <w:color w:val="181818"/>
          <w:sz w:val="17"/>
        </w:rPr>
        <w:t xml:space="preserve">Directors </w:t>
      </w:r>
      <w:r>
        <w:rPr>
          <w:rFonts w:ascii="Arial;sans-serif" w:hAnsi="Arial;sans-serif"/>
          <w:b w:val="false"/>
          <w:color w:val="2F2F2F"/>
          <w:sz w:val="17"/>
        </w:rPr>
        <w:t xml:space="preserve">or </w:t>
      </w:r>
      <w:r>
        <w:rPr>
          <w:rFonts w:ascii="Arial;sans-serif" w:hAnsi="Arial;sans-serif"/>
          <w:b w:val="false"/>
          <w:color w:val="181818"/>
          <w:sz w:val="17"/>
        </w:rPr>
        <w:t xml:space="preserve">the </w:t>
      </w:r>
      <w:r>
        <w:rPr>
          <w:rFonts w:ascii="Arial;sans-serif" w:hAnsi="Arial;sans-serif"/>
          <w:b w:val="false"/>
          <w:color w:val="2F2F2F"/>
          <w:sz w:val="17"/>
        </w:rPr>
        <w:t xml:space="preserve">Chief </w:t>
      </w:r>
      <w:r>
        <w:rPr>
          <w:rFonts w:ascii="Arial;sans-serif" w:hAnsi="Arial;sans-serif"/>
          <w:b w:val="false"/>
          <w:color w:val="181818"/>
          <w:sz w:val="17"/>
        </w:rPr>
        <w:t xml:space="preserve">Executive </w:t>
      </w:r>
      <w:r>
        <w:rPr>
          <w:rFonts w:ascii="Arial;sans-serif" w:hAnsi="Arial;sans-serif"/>
          <w:b w:val="false"/>
          <w:color w:val="2F2F2F"/>
          <w:sz w:val="17"/>
        </w:rPr>
        <w:t xml:space="preserve">Officer of </w:t>
      </w:r>
      <w:r>
        <w:rPr>
          <w:rFonts w:ascii="Arial;sans-serif" w:hAnsi="Arial;sans-serif"/>
          <w:b w:val="false"/>
          <w:color w:val="181818"/>
          <w:sz w:val="17"/>
        </w:rPr>
        <w:t xml:space="preserve">the </w:t>
      </w:r>
      <w:r>
        <w:rPr>
          <w:rFonts w:ascii="Arial;sans-serif" w:hAnsi="Arial;sans-serif"/>
          <w:b w:val="false"/>
          <w:color w:val="2F2F2F"/>
          <w:sz w:val="17"/>
        </w:rPr>
        <w:t>Company.</w:t>
      </w:r>
    </w:p>
    <w:p>
      <w:pPr>
        <w:pStyle w:val="TextBody"/>
        <w:spacing w:before="3" w:after="283"/>
        <w:rPr/>
      </w:pPr>
      <w:r>
        <w:rPr/>
      </w:r>
    </w:p>
    <w:p>
      <w:pPr>
        <w:pStyle w:val="TextBody"/>
        <w:spacing w:lineRule="auto" w:line="240" w:before="95" w:after="283"/>
        <w:rPr/>
      </w:pPr>
      <w:r>
        <w:rPr>
          <w:rFonts w:ascii="Arial;sans-serif" w:hAnsi="Arial;sans-serif"/>
          <w:b w:val="false"/>
          <w:color w:val="181818"/>
          <w:sz w:val="17"/>
          <w:u w:val="single"/>
        </w:rPr>
        <w:t xml:space="preserve">Protection </w:t>
      </w:r>
      <w:r>
        <w:rPr>
          <w:rFonts w:ascii="Arial;sans-serif" w:hAnsi="Arial;sans-serif"/>
          <w:b w:val="false"/>
          <w:color w:val="2F2F2F"/>
          <w:sz w:val="17"/>
          <w:u w:val="single"/>
        </w:rPr>
        <w:t xml:space="preserve">of </w:t>
      </w:r>
      <w:r>
        <w:rPr>
          <w:rFonts w:ascii="Arial;sans-serif" w:hAnsi="Arial;sans-serif"/>
          <w:b w:val="false"/>
          <w:color w:val="181818"/>
          <w:sz w:val="17"/>
          <w:u w:val="single"/>
        </w:rPr>
        <w:t xml:space="preserve">the </w:t>
      </w:r>
      <w:r>
        <w:rPr>
          <w:rFonts w:ascii="Arial;sans-serif" w:hAnsi="Arial;sans-serif"/>
          <w:b w:val="false"/>
          <w:color w:val="2F2F2F"/>
          <w:sz w:val="17"/>
          <w:u w:val="single"/>
        </w:rPr>
        <w:t xml:space="preserve">Company's </w:t>
      </w:r>
      <w:r>
        <w:rPr>
          <w:rFonts w:ascii="Arial;sans-serif" w:hAnsi="Arial;sans-serif"/>
          <w:b w:val="false"/>
          <w:color w:val="181818"/>
          <w:sz w:val="17"/>
          <w:u w:val="single"/>
        </w:rPr>
        <w:t xml:space="preserve">Intellectual Property </w:t>
      </w:r>
      <w:r>
        <w:rPr>
          <w:rFonts w:ascii="Arial;sans-serif" w:hAnsi="Arial;sans-serif"/>
          <w:b w:val="false"/>
          <w:color w:val="2F2F2F"/>
          <w:sz w:val="17"/>
          <w:u w:val="single"/>
        </w:rPr>
        <w:t>and Goodwil</w:t>
      </w:r>
      <w:r>
        <w:rPr>
          <w:rFonts w:ascii="Arial;sans-serif" w:hAnsi="Arial;sans-serif"/>
          <w:b w:val="false"/>
          <w:color w:val="2F2F2F"/>
          <w:sz w:val="17"/>
        </w:rPr>
        <w:t>l</w:t>
      </w:r>
    </w:p>
    <w:p>
      <w:pPr>
        <w:pStyle w:val="TextBody"/>
        <w:spacing w:before="8" w:after="283"/>
        <w:rPr/>
      </w:pPr>
      <w:r>
        <w:rPr/>
      </w:r>
    </w:p>
    <w:p>
      <w:pPr>
        <w:pStyle w:val="TextBody"/>
        <w:spacing w:lineRule="auto" w:line="297" w:before="1" w:after="283"/>
        <w:ind w:left="0" w:right="0" w:hanging="353"/>
        <w:rPr/>
      </w:pPr>
      <w:r>
        <w:rPr>
          <w:rFonts w:ascii="Arial;sans-serif" w:hAnsi="Arial;sans-serif"/>
          <w:b w:val="false"/>
          <w:color w:val="2F2F2F"/>
          <w:sz w:val="17"/>
        </w:rPr>
        <w:t>2.</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is </w:t>
      </w:r>
      <w:r>
        <w:rPr>
          <w:rFonts w:ascii="Arial;sans-serif" w:hAnsi="Arial;sans-serif"/>
          <w:b w:val="false"/>
          <w:color w:val="2F2F2F"/>
          <w:sz w:val="17"/>
        </w:rPr>
        <w:t xml:space="preserve">engaged </w:t>
      </w:r>
      <w:r>
        <w:rPr>
          <w:rFonts w:ascii="Arial;sans-serif" w:hAnsi="Arial;sans-serif"/>
          <w:b w:val="false"/>
          <w:color w:val="181818"/>
          <w:sz w:val="17"/>
        </w:rPr>
        <w:t xml:space="preserve">in </w:t>
      </w:r>
      <w:r>
        <w:rPr>
          <w:rFonts w:ascii="Arial;sans-serif" w:hAnsi="Arial;sans-serif"/>
          <w:b w:val="false"/>
          <w:color w:val="2F2F2F"/>
          <w:sz w:val="17"/>
        </w:rPr>
        <w:t xml:space="preserve">a continuous program of </w:t>
      </w:r>
      <w:r>
        <w:rPr>
          <w:rFonts w:ascii="Arial;sans-serif" w:hAnsi="Arial;sans-serif"/>
          <w:b w:val="false"/>
          <w:color w:val="181818"/>
          <w:sz w:val="17"/>
        </w:rPr>
        <w:t xml:space="preserve">research, </w:t>
      </w:r>
      <w:r>
        <w:rPr>
          <w:rFonts w:ascii="Arial;sans-serif" w:hAnsi="Arial;sans-serif"/>
          <w:b w:val="false"/>
          <w:color w:val="2F2F2F"/>
          <w:sz w:val="17"/>
        </w:rPr>
        <w:t xml:space="preserve">development, production, sales, and </w:t>
      </w:r>
      <w:r>
        <w:rPr>
          <w:rFonts w:ascii="Arial;sans-serif" w:hAnsi="Arial;sans-serif"/>
          <w:b w:val="false"/>
          <w:color w:val="181818"/>
          <w:sz w:val="17"/>
        </w:rPr>
        <w:t xml:space="preserve">marketing. I </w:t>
      </w:r>
      <w:r>
        <w:rPr>
          <w:rFonts w:ascii="Arial;sans-serif" w:hAnsi="Arial;sans-serif"/>
          <w:b w:val="false"/>
          <w:color w:val="2F2F2F"/>
          <w:sz w:val="17"/>
        </w:rPr>
        <w:t xml:space="preserve">am expected </w:t>
      </w:r>
      <w:r>
        <w:rPr>
          <w:rFonts w:ascii="Arial;sans-serif" w:hAnsi="Arial;sans-serif"/>
          <w:b w:val="false"/>
          <w:color w:val="181818"/>
          <w:sz w:val="17"/>
        </w:rPr>
        <w:t xml:space="preserve">to make new </w:t>
      </w:r>
      <w:r>
        <w:rPr>
          <w:rFonts w:ascii="Arial;sans-serif" w:hAnsi="Arial;sans-serif"/>
          <w:b w:val="false"/>
          <w:color w:val="2F2F2F"/>
          <w:sz w:val="17"/>
        </w:rPr>
        <w:t xml:space="preserve">contributions and/or </w:t>
      </w:r>
      <w:r>
        <w:rPr>
          <w:rFonts w:ascii="Arial;sans-serif" w:hAnsi="Arial;sans-serif"/>
          <w:b w:val="false"/>
          <w:color w:val="181818"/>
          <w:sz w:val="17"/>
        </w:rPr>
        <w:t xml:space="preserve">inventions </w:t>
      </w:r>
      <w:r>
        <w:rPr>
          <w:rFonts w:ascii="Arial;sans-serif" w:hAnsi="Arial;sans-serif"/>
          <w:b w:val="false"/>
          <w:color w:val="2F2F2F"/>
          <w:sz w:val="17"/>
        </w:rPr>
        <w:t xml:space="preserve">of value </w:t>
      </w:r>
      <w:r>
        <w:rPr>
          <w:rFonts w:ascii="Arial;sans-serif" w:hAnsi="Arial;sans-serif"/>
          <w:b w:val="false"/>
          <w:color w:val="181818"/>
          <w:sz w:val="17"/>
        </w:rPr>
        <w:t xml:space="preserve">to </w:t>
      </w:r>
      <w:r>
        <w:rPr>
          <w:rFonts w:ascii="Arial;sans-serif" w:hAnsi="Arial;sans-serif"/>
          <w:b w:val="false"/>
          <w:color w:val="2F2F2F"/>
          <w:sz w:val="17"/>
        </w:rPr>
        <w:t xml:space="preserve">the Company as a </w:t>
      </w:r>
      <w:r>
        <w:rPr>
          <w:rFonts w:ascii="Arial;sans-serif" w:hAnsi="Arial;sans-serif"/>
          <w:b w:val="false"/>
          <w:color w:val="181818"/>
          <w:sz w:val="17"/>
        </w:rPr>
        <w:t xml:space="preserve">part of my </w:t>
      </w:r>
      <w:r>
        <w:rPr>
          <w:rFonts w:ascii="Arial;sans-serif" w:hAnsi="Arial;sans-serif"/>
          <w:b w:val="false"/>
          <w:color w:val="2F2F2F"/>
          <w:sz w:val="17"/>
        </w:rPr>
        <w:t xml:space="preserve">employment </w:t>
      </w:r>
      <w:r>
        <w:rPr>
          <w:rFonts w:ascii="Arial;sans-serif" w:hAnsi="Arial;sans-serif"/>
          <w:b w:val="false"/>
          <w:color w:val="181818"/>
          <w:sz w:val="17"/>
        </w:rPr>
        <w:t xml:space="preserve">by the </w:t>
      </w:r>
      <w:r>
        <w:rPr>
          <w:rFonts w:ascii="Arial;sans-serif" w:hAnsi="Arial;sans-serif"/>
          <w:b w:val="false"/>
          <w:color w:val="2F2F2F"/>
          <w:sz w:val="17"/>
        </w:rPr>
        <w:t>Company.</w:t>
      </w:r>
    </w:p>
    <w:p>
      <w:pPr>
        <w:pStyle w:val="TextBody"/>
        <w:spacing w:before="2" w:after="283"/>
        <w:rPr/>
      </w:pPr>
      <w:r>
        <w:rPr/>
      </w:r>
    </w:p>
    <w:p>
      <w:pPr>
        <w:pStyle w:val="TextBody"/>
        <w:spacing w:lineRule="auto" w:line="295" w:before="0" w:after="0"/>
        <w:ind w:left="0" w:right="0" w:hanging="350"/>
        <w:rPr/>
      </w:pPr>
      <w:r>
        <w:rPr>
          <w:rFonts w:ascii="Arial;sans-serif" w:hAnsi="Arial;sans-serif"/>
          <w:b w:val="false"/>
          <w:color w:val="2F2F2F"/>
          <w:sz w:val="17"/>
        </w:rPr>
        <w:t>3.</w:t>
      </w:r>
      <w:r>
        <w:rPr>
          <w:rFonts w:ascii="Arial;sans-serif" w:hAnsi="Arial;sans-serif"/>
          <w:b w:val="false"/>
          <w:color w:val="181818"/>
          <w:sz w:val="17"/>
        </w:rPr>
        <w:t xml:space="preserve">My </w:t>
      </w:r>
      <w:r>
        <w:rPr>
          <w:rFonts w:ascii="Arial;sans-serif" w:hAnsi="Arial;sans-serif"/>
          <w:b w:val="false"/>
          <w:color w:val="2F2F2F"/>
          <w:sz w:val="17"/>
        </w:rPr>
        <w:t xml:space="preserve">employment creates a </w:t>
      </w:r>
      <w:r>
        <w:rPr>
          <w:rFonts w:ascii="Arial;sans-serif" w:hAnsi="Arial;sans-serif"/>
          <w:b w:val="false"/>
          <w:color w:val="181818"/>
          <w:sz w:val="17"/>
        </w:rPr>
        <w:t xml:space="preserve">relationship </w:t>
      </w:r>
      <w:r>
        <w:rPr>
          <w:rFonts w:ascii="Arial;sans-serif" w:hAnsi="Arial;sans-serif"/>
          <w:b w:val="false"/>
          <w:color w:val="2F2F2F"/>
          <w:sz w:val="17"/>
        </w:rPr>
        <w:t xml:space="preserve">of confidence and </w:t>
      </w:r>
      <w:r>
        <w:rPr>
          <w:rFonts w:ascii="Arial;sans-serif" w:hAnsi="Arial;sans-serif"/>
          <w:b w:val="false"/>
          <w:color w:val="181818"/>
          <w:sz w:val="17"/>
        </w:rPr>
        <w:t xml:space="preserve">trust between </w:t>
      </w:r>
      <w:r>
        <w:rPr>
          <w:rFonts w:ascii="Arial;sans-serif" w:hAnsi="Arial;sans-serif"/>
          <w:b w:val="false"/>
          <w:color w:val="2F2F2F"/>
          <w:sz w:val="17"/>
        </w:rPr>
        <w:t xml:space="preserve">me and </w:t>
      </w:r>
      <w:r>
        <w:rPr>
          <w:rFonts w:ascii="Arial;sans-serif" w:hAnsi="Arial;sans-serif"/>
          <w:b w:val="false"/>
          <w:color w:val="181818"/>
          <w:sz w:val="17"/>
        </w:rPr>
        <w:t xml:space="preserve">the </w:t>
      </w:r>
      <w:r>
        <w:rPr>
          <w:rFonts w:ascii="Arial;sans-serif" w:hAnsi="Arial;sans-serif"/>
          <w:b w:val="false"/>
          <w:color w:val="2F2F2F"/>
          <w:sz w:val="17"/>
        </w:rPr>
        <w:t xml:space="preserve">Company with respect </w:t>
      </w:r>
      <w:r>
        <w:rPr>
          <w:rFonts w:ascii="Arial;sans-serif" w:hAnsi="Arial;sans-serif"/>
          <w:b w:val="false"/>
          <w:color w:val="181818"/>
          <w:sz w:val="17"/>
        </w:rPr>
        <w:t xml:space="preserve">to </w:t>
      </w:r>
      <w:r>
        <w:rPr>
          <w:rFonts w:ascii="Arial;sans-serif" w:hAnsi="Arial;sans-serif"/>
          <w:b w:val="false"/>
          <w:color w:val="2F2F2F"/>
          <w:sz w:val="17"/>
        </w:rPr>
        <w:t xml:space="preserve">any </w:t>
      </w:r>
      <w:r>
        <w:rPr>
          <w:rFonts w:ascii="Arial;sans-serif" w:hAnsi="Arial;sans-serif"/>
          <w:b w:val="false"/>
          <w:color w:val="181818"/>
          <w:sz w:val="17"/>
        </w:rPr>
        <w:t xml:space="preserve">nonpublic information </w:t>
      </w:r>
      <w:r>
        <w:rPr>
          <w:rFonts w:ascii="Arial;sans-serif" w:hAnsi="Arial;sans-serif"/>
          <w:b w:val="false"/>
          <w:color w:val="2F2F2F"/>
          <w:sz w:val="17"/>
        </w:rPr>
        <w:t xml:space="preserve">applicable </w:t>
      </w:r>
      <w:r>
        <w:rPr>
          <w:rFonts w:ascii="Arial;sans-serif" w:hAnsi="Arial;sans-serif"/>
          <w:b w:val="false"/>
          <w:color w:val="181818"/>
          <w:sz w:val="17"/>
        </w:rPr>
        <w:t xml:space="preserve">to </w:t>
      </w:r>
      <w:r>
        <w:rPr>
          <w:rFonts w:ascii="Arial;sans-serif" w:hAnsi="Arial;sans-serif"/>
          <w:b w:val="false"/>
          <w:color w:val="2F2F2F"/>
          <w:sz w:val="17"/>
        </w:rPr>
        <w:t xml:space="preserve">or </w:t>
      </w:r>
      <w:r>
        <w:rPr>
          <w:rFonts w:ascii="Arial;sans-serif" w:hAnsi="Arial;sans-serif"/>
          <w:b w:val="false"/>
          <w:color w:val="181818"/>
          <w:sz w:val="17"/>
        </w:rPr>
        <w:t xml:space="preserve">related to the </w:t>
      </w:r>
      <w:r>
        <w:rPr>
          <w:rFonts w:ascii="Arial;sans-serif" w:hAnsi="Arial;sans-serif"/>
          <w:b w:val="false"/>
          <w:color w:val="2F2F2F"/>
          <w:sz w:val="17"/>
        </w:rPr>
        <w:t xml:space="preserve">business of </w:t>
      </w:r>
      <w:r>
        <w:rPr>
          <w:rFonts w:ascii="Arial;sans-serif" w:hAnsi="Arial;sans-serif"/>
          <w:b w:val="false"/>
          <w:color w:val="181818"/>
          <w:sz w:val="17"/>
        </w:rPr>
        <w:t xml:space="preserve">the </w:t>
      </w:r>
      <w:r>
        <w:rPr>
          <w:rFonts w:ascii="Arial;sans-serif" w:hAnsi="Arial;sans-serif"/>
          <w:b w:val="false"/>
          <w:color w:val="2F2F2F"/>
          <w:sz w:val="17"/>
        </w:rPr>
        <w:t xml:space="preserve">Company or applicable </w:t>
      </w:r>
      <w:r>
        <w:rPr>
          <w:rFonts w:ascii="Arial;sans-serif" w:hAnsi="Arial;sans-serif"/>
          <w:b w:val="false"/>
          <w:color w:val="181818"/>
          <w:sz w:val="17"/>
        </w:rPr>
        <w:t xml:space="preserve">to </w:t>
      </w:r>
      <w:r>
        <w:rPr>
          <w:rFonts w:ascii="Arial;sans-serif" w:hAnsi="Arial;sans-serif"/>
          <w:b w:val="false"/>
          <w:color w:val="2F2F2F"/>
          <w:sz w:val="17"/>
        </w:rPr>
        <w:t xml:space="preserve">or related </w:t>
      </w:r>
      <w:r>
        <w:rPr>
          <w:rFonts w:ascii="Arial;sans-serif" w:hAnsi="Arial;sans-serif"/>
          <w:b w:val="false"/>
          <w:color w:val="181818"/>
          <w:sz w:val="17"/>
        </w:rPr>
        <w:t xml:space="preserve">to the business of </w:t>
      </w:r>
      <w:r>
        <w:rPr>
          <w:rFonts w:ascii="Arial;sans-serif" w:hAnsi="Arial;sans-serif"/>
          <w:b w:val="false"/>
          <w:color w:val="2F2F2F"/>
          <w:sz w:val="17"/>
        </w:rPr>
        <w:t xml:space="preserve">any client or customer </w:t>
      </w:r>
      <w:r>
        <w:rPr>
          <w:rFonts w:ascii="Arial;sans-serif" w:hAnsi="Arial;sans-serif"/>
          <w:b w:val="false"/>
          <w:color w:val="181818"/>
          <w:sz w:val="17"/>
        </w:rPr>
        <w:t xml:space="preserve">of the </w:t>
      </w:r>
      <w:r>
        <w:rPr>
          <w:rFonts w:ascii="Arial;sans-serif" w:hAnsi="Arial;sans-serif"/>
          <w:b w:val="false"/>
          <w:color w:val="2F2F2F"/>
          <w:sz w:val="17"/>
        </w:rPr>
        <w:t xml:space="preserve">Company or to </w:t>
      </w:r>
      <w:r>
        <w:rPr>
          <w:rFonts w:ascii="Arial;sans-serif" w:hAnsi="Arial;sans-serif"/>
          <w:b w:val="false"/>
          <w:color w:val="181818"/>
          <w:sz w:val="17"/>
        </w:rPr>
        <w:t xml:space="preserve">the </w:t>
      </w:r>
      <w:r>
        <w:rPr>
          <w:rFonts w:ascii="Arial;sans-serif" w:hAnsi="Arial;sans-serif"/>
          <w:b w:val="false"/>
          <w:color w:val="2F2F2F"/>
          <w:sz w:val="17"/>
        </w:rPr>
        <w:t xml:space="preserve">disclosure of </w:t>
      </w:r>
      <w:r>
        <w:rPr>
          <w:rFonts w:ascii="Arial;sans-serif" w:hAnsi="Arial;sans-serif"/>
          <w:b w:val="false"/>
          <w:color w:val="181818"/>
          <w:sz w:val="17"/>
        </w:rPr>
        <w:t xml:space="preserve">nonpublic information </w:t>
      </w:r>
      <w:r>
        <w:rPr>
          <w:rFonts w:ascii="Arial;sans-serif" w:hAnsi="Arial;sans-serif"/>
          <w:b w:val="false"/>
          <w:color w:val="2F2F2F"/>
          <w:sz w:val="17"/>
        </w:rPr>
        <w:t xml:space="preserve">to </w:t>
      </w:r>
      <w:r>
        <w:rPr>
          <w:rFonts w:ascii="Arial;sans-serif" w:hAnsi="Arial;sans-serif"/>
          <w:b w:val="false"/>
          <w:color w:val="181818"/>
          <w:sz w:val="17"/>
        </w:rPr>
        <w:t xml:space="preserve">the </w:t>
      </w:r>
      <w:r>
        <w:rPr>
          <w:rFonts w:ascii="Arial;sans-serif" w:hAnsi="Arial;sans-serif"/>
          <w:b w:val="false"/>
          <w:color w:val="2F2F2F"/>
          <w:sz w:val="17"/>
        </w:rPr>
        <w:t xml:space="preserve">Comp any by any person or entity, which may be made known </w:t>
      </w:r>
      <w:r>
        <w:rPr>
          <w:rFonts w:ascii="Arial;sans-serif" w:hAnsi="Arial;sans-serif"/>
          <w:b w:val="false"/>
          <w:color w:val="181818"/>
          <w:sz w:val="17"/>
        </w:rPr>
        <w:t xml:space="preserve">to </w:t>
      </w:r>
      <w:r>
        <w:rPr>
          <w:rFonts w:ascii="Arial;sans-serif" w:hAnsi="Arial;sans-serif"/>
          <w:b w:val="false"/>
          <w:color w:val="2F2F2F"/>
          <w:sz w:val="17"/>
        </w:rPr>
        <w:t xml:space="preserve">me by the Company or by a client or customer of </w:t>
      </w:r>
      <w:r>
        <w:rPr>
          <w:rFonts w:ascii="Arial;sans-serif" w:hAnsi="Arial;sans-serif"/>
          <w:b w:val="false"/>
          <w:color w:val="181818"/>
          <w:sz w:val="17"/>
        </w:rPr>
        <w:t xml:space="preserve">the </w:t>
      </w:r>
      <w:r>
        <w:rPr>
          <w:rFonts w:ascii="Arial;sans-serif" w:hAnsi="Arial;sans-serif"/>
          <w:b w:val="false"/>
          <w:color w:val="2F2F2F"/>
          <w:sz w:val="17"/>
        </w:rPr>
        <w:t xml:space="preserve">Company, or created or </w:t>
      </w:r>
      <w:r>
        <w:rPr>
          <w:rFonts w:ascii="Arial;sans-serif" w:hAnsi="Arial;sans-serif"/>
          <w:b w:val="false"/>
          <w:color w:val="181818"/>
          <w:sz w:val="17"/>
        </w:rPr>
        <w:t xml:space="preserve">learned </w:t>
      </w:r>
      <w:r>
        <w:rPr>
          <w:rFonts w:ascii="Arial;sans-serif" w:hAnsi="Arial;sans-serif"/>
          <w:b w:val="false"/>
          <w:color w:val="2F2F2F"/>
          <w:sz w:val="17"/>
        </w:rPr>
        <w:t xml:space="preserve">by </w:t>
      </w:r>
      <w:r>
        <w:rPr>
          <w:rFonts w:ascii="Arial;sans-serif" w:hAnsi="Arial;sans-serif"/>
          <w:b w:val="false"/>
          <w:color w:val="181818"/>
          <w:sz w:val="17"/>
        </w:rPr>
        <w:t xml:space="preserve">me during </w:t>
      </w:r>
      <w:r>
        <w:rPr>
          <w:rFonts w:ascii="Arial;sans-serif" w:hAnsi="Arial;sans-serif"/>
          <w:b w:val="false"/>
          <w:color w:val="2F2F2F"/>
          <w:sz w:val="17"/>
        </w:rPr>
        <w:t xml:space="preserve">the </w:t>
      </w:r>
      <w:r>
        <w:rPr>
          <w:rFonts w:ascii="Arial;sans-serif" w:hAnsi="Arial;sans-serif"/>
          <w:b w:val="false"/>
          <w:color w:val="181818"/>
          <w:sz w:val="17"/>
        </w:rPr>
        <w:t xml:space="preserve">period </w:t>
      </w:r>
      <w:r>
        <w:rPr>
          <w:rFonts w:ascii="Arial;sans-serif" w:hAnsi="Arial;sans-serif"/>
          <w:b w:val="false"/>
          <w:color w:val="2F2F2F"/>
          <w:sz w:val="17"/>
        </w:rPr>
        <w:t>of my employment.</w:t>
      </w:r>
    </w:p>
    <w:p>
      <w:pPr>
        <w:pStyle w:val="TextBody"/>
        <w:spacing w:before="9" w:after="283"/>
        <w:rPr/>
      </w:pPr>
      <w:r>
        <w:rPr/>
      </w:r>
    </w:p>
    <w:p>
      <w:pPr>
        <w:pStyle w:val="TextBody"/>
        <w:spacing w:lineRule="auto" w:line="240" w:before="95" w:after="283"/>
        <w:rPr/>
      </w:pPr>
      <w:r>
        <w:rPr>
          <w:rFonts w:ascii="Arial;sans-serif" w:hAnsi="Arial;sans-serif"/>
          <w:b w:val="false"/>
          <w:color w:val="2F2F2F"/>
          <w:sz w:val="17"/>
          <w:u w:val="single"/>
        </w:rPr>
        <w:t xml:space="preserve">Proprietary </w:t>
      </w:r>
      <w:r>
        <w:rPr>
          <w:rFonts w:ascii="Arial;sans-serif" w:hAnsi="Arial;sans-serif"/>
          <w:b w:val="false"/>
          <w:color w:val="181818"/>
          <w:sz w:val="17"/>
          <w:u w:val="single"/>
        </w:rPr>
        <w:t xml:space="preserve">Information </w:t>
      </w:r>
      <w:r>
        <w:rPr>
          <w:rFonts w:ascii="Arial;sans-serif" w:hAnsi="Arial;sans-serif"/>
          <w:b w:val="false"/>
          <w:color w:val="2F2F2F"/>
          <w:sz w:val="17"/>
          <w:u w:val="single"/>
        </w:rPr>
        <w:t xml:space="preserve">of </w:t>
      </w:r>
      <w:r>
        <w:rPr>
          <w:rFonts w:ascii="Arial;sans-serif" w:hAnsi="Arial;sans-serif"/>
          <w:b w:val="false"/>
          <w:color w:val="181818"/>
          <w:sz w:val="17"/>
          <w:u w:val="single"/>
        </w:rPr>
        <w:t xml:space="preserve">the </w:t>
      </w:r>
      <w:r>
        <w:rPr>
          <w:rFonts w:ascii="Arial;sans-serif" w:hAnsi="Arial;sans-serif"/>
          <w:b w:val="false"/>
          <w:color w:val="2F2F2F"/>
          <w:sz w:val="17"/>
          <w:u w:val="single"/>
        </w:rPr>
        <w:t>Company</w:t>
      </w:r>
    </w:p>
    <w:p>
      <w:pPr>
        <w:pStyle w:val="TextBody"/>
        <w:spacing w:before="9" w:after="283"/>
        <w:rPr/>
      </w:pPr>
      <w:r>
        <w:rPr/>
      </w:r>
    </w:p>
    <w:p>
      <w:pPr>
        <w:pStyle w:val="TextBody"/>
        <w:spacing w:lineRule="auto" w:line="295" w:before="0" w:after="0"/>
        <w:ind w:left="0" w:right="0" w:hanging="363"/>
        <w:rPr/>
      </w:pPr>
      <w:r>
        <w:rPr>
          <w:rFonts w:ascii="Arial;sans-serif" w:hAnsi="Arial;sans-serif"/>
          <w:b w:val="false"/>
          <w:color w:val="181818"/>
          <w:sz w:val="17"/>
        </w:rPr>
        <w:t xml:space="preserve">4.The </w:t>
      </w:r>
      <w:r>
        <w:rPr>
          <w:rFonts w:ascii="Arial;sans-serif" w:hAnsi="Arial;sans-serif"/>
          <w:b w:val="false"/>
          <w:color w:val="2F2F2F"/>
          <w:sz w:val="17"/>
        </w:rPr>
        <w:t xml:space="preserve">Company possesses and will possess </w:t>
      </w:r>
      <w:r>
        <w:rPr>
          <w:rFonts w:ascii="Arial;sans-serif" w:hAnsi="Arial;sans-serif"/>
          <w:b w:val="false"/>
          <w:color w:val="181818"/>
          <w:sz w:val="17"/>
        </w:rPr>
        <w:t xml:space="preserve">information that has been </w:t>
      </w:r>
      <w:r>
        <w:rPr>
          <w:rFonts w:ascii="Arial;sans-serif" w:hAnsi="Arial;sans-serif"/>
          <w:b w:val="false"/>
          <w:color w:val="2F2F2F"/>
          <w:sz w:val="17"/>
        </w:rPr>
        <w:t xml:space="preserve">created, </w:t>
      </w:r>
      <w:r>
        <w:rPr>
          <w:rFonts w:ascii="Arial;sans-serif" w:hAnsi="Arial;sans-serif"/>
          <w:b w:val="false"/>
          <w:color w:val="181818"/>
          <w:sz w:val="17"/>
        </w:rPr>
        <w:t xml:space="preserve">discovered, developed, or </w:t>
      </w:r>
      <w:r>
        <w:rPr>
          <w:rFonts w:ascii="Arial;sans-serif" w:hAnsi="Arial;sans-serif"/>
          <w:b w:val="false"/>
          <w:color w:val="2F2F2F"/>
          <w:sz w:val="17"/>
        </w:rPr>
        <w:t xml:space="preserve">otherwise </w:t>
      </w:r>
      <w:r>
        <w:rPr>
          <w:rFonts w:ascii="Arial;sans-serif" w:hAnsi="Arial;sans-serif"/>
          <w:b w:val="false"/>
          <w:color w:val="181818"/>
          <w:sz w:val="17"/>
        </w:rPr>
        <w:t xml:space="preserve">become known to the </w:t>
      </w:r>
      <w:r>
        <w:rPr>
          <w:rFonts w:ascii="Arial;sans-serif" w:hAnsi="Arial;sans-serif"/>
          <w:b w:val="false"/>
          <w:color w:val="2F2F2F"/>
          <w:sz w:val="17"/>
        </w:rPr>
        <w:t xml:space="preserve">Company (including without </w:t>
      </w:r>
      <w:r>
        <w:rPr>
          <w:rFonts w:ascii="Arial;sans-serif" w:hAnsi="Arial;sans-serif"/>
          <w:b w:val="false"/>
          <w:color w:val="181818"/>
          <w:sz w:val="17"/>
        </w:rPr>
        <w:t xml:space="preserve">limitation information </w:t>
      </w:r>
      <w:r>
        <w:rPr>
          <w:rFonts w:ascii="Arial;sans-serif" w:hAnsi="Arial;sans-serif"/>
          <w:b w:val="false"/>
          <w:color w:val="2F2F2F"/>
          <w:sz w:val="17"/>
        </w:rPr>
        <w:t xml:space="preserve">created, </w:t>
      </w:r>
      <w:r>
        <w:rPr>
          <w:rFonts w:ascii="Arial;sans-serif" w:hAnsi="Arial;sans-serif"/>
          <w:b w:val="false"/>
          <w:color w:val="181818"/>
          <w:sz w:val="17"/>
        </w:rPr>
        <w:t xml:space="preserve">discovered, developed, </w:t>
      </w:r>
      <w:r>
        <w:rPr>
          <w:rFonts w:ascii="Arial;sans-serif" w:hAnsi="Arial;sans-serif"/>
          <w:b w:val="false"/>
          <w:color w:val="2F2F2F"/>
          <w:sz w:val="17"/>
        </w:rPr>
        <w:t xml:space="preserve">or </w:t>
      </w:r>
      <w:r>
        <w:rPr>
          <w:rFonts w:ascii="Arial;sans-serif" w:hAnsi="Arial;sans-serif"/>
          <w:b w:val="false"/>
          <w:color w:val="181818"/>
          <w:sz w:val="17"/>
        </w:rPr>
        <w:t xml:space="preserve">made </w:t>
      </w:r>
      <w:r>
        <w:rPr>
          <w:rFonts w:ascii="Arial;sans-serif" w:hAnsi="Arial;sans-serif"/>
          <w:b w:val="false"/>
          <w:color w:val="2F2F2F"/>
          <w:sz w:val="17"/>
        </w:rPr>
        <w:t xml:space="preserve">known by </w:t>
      </w:r>
      <w:r>
        <w:rPr>
          <w:rFonts w:ascii="Arial;sans-serif" w:hAnsi="Arial;sans-serif"/>
          <w:b w:val="false"/>
          <w:color w:val="181818"/>
          <w:sz w:val="17"/>
        </w:rPr>
        <w:t xml:space="preserve">me) </w:t>
      </w:r>
      <w:r>
        <w:rPr>
          <w:rFonts w:ascii="Arial;sans-serif" w:hAnsi="Arial;sans-serif"/>
          <w:b w:val="false"/>
          <w:color w:val="2F2F2F"/>
          <w:sz w:val="17"/>
        </w:rPr>
        <w:t xml:space="preserve">and/or </w:t>
      </w:r>
      <w:r>
        <w:rPr>
          <w:rFonts w:ascii="Arial;sans-serif" w:hAnsi="Arial;sans-serif"/>
          <w:b w:val="false"/>
          <w:color w:val="181818"/>
          <w:sz w:val="17"/>
        </w:rPr>
        <w:t xml:space="preserve">in </w:t>
      </w:r>
      <w:r>
        <w:rPr>
          <w:rFonts w:ascii="Arial;sans-serif" w:hAnsi="Arial;sans-serif"/>
          <w:b w:val="false"/>
          <w:color w:val="2F2F2F"/>
          <w:sz w:val="17"/>
        </w:rPr>
        <w:t xml:space="preserve">which property </w:t>
      </w:r>
      <w:r>
        <w:rPr>
          <w:rFonts w:ascii="Arial;sans-serif" w:hAnsi="Arial;sans-serif"/>
          <w:b w:val="false"/>
          <w:color w:val="181818"/>
          <w:sz w:val="17"/>
        </w:rPr>
        <w:t xml:space="preserve">rights have </w:t>
      </w:r>
      <w:r>
        <w:rPr>
          <w:rFonts w:ascii="Arial;sans-serif" w:hAnsi="Arial;sans-serif"/>
          <w:b w:val="false"/>
          <w:color w:val="2F2F2F"/>
          <w:sz w:val="17"/>
        </w:rPr>
        <w:t xml:space="preserve">been assigned or otherwise conveyed </w:t>
      </w:r>
      <w:r>
        <w:rPr>
          <w:rFonts w:ascii="Arial;sans-serif" w:hAnsi="Arial;sans-serif"/>
          <w:b w:val="false"/>
          <w:color w:val="181818"/>
          <w:sz w:val="17"/>
        </w:rPr>
        <w:t xml:space="preserve">to the </w:t>
      </w:r>
      <w:r>
        <w:rPr>
          <w:rFonts w:ascii="Arial;sans-serif" w:hAnsi="Arial;sans-serif"/>
          <w:b w:val="false"/>
          <w:color w:val="2F2F2F"/>
          <w:sz w:val="17"/>
        </w:rPr>
        <w:t xml:space="preserve">Company, which </w:t>
      </w:r>
      <w:r>
        <w:rPr>
          <w:rFonts w:ascii="Arial;sans-serif" w:hAnsi="Arial;sans-serif"/>
          <w:b w:val="false"/>
          <w:color w:val="181818"/>
          <w:sz w:val="17"/>
        </w:rPr>
        <w:t xml:space="preserve">information has </w:t>
      </w:r>
      <w:r>
        <w:rPr>
          <w:rFonts w:ascii="Arial;sans-serif" w:hAnsi="Arial;sans-serif"/>
          <w:b w:val="false"/>
          <w:color w:val="2F2F2F"/>
          <w:sz w:val="17"/>
        </w:rPr>
        <w:t xml:space="preserve">commercial value </w:t>
      </w:r>
      <w:r>
        <w:rPr>
          <w:rFonts w:ascii="Arial;sans-serif" w:hAnsi="Arial;sans-serif"/>
          <w:b w:val="false"/>
          <w:color w:val="181818"/>
          <w:sz w:val="17"/>
        </w:rPr>
        <w:t xml:space="preserve">in the business in </w:t>
      </w:r>
      <w:r>
        <w:rPr>
          <w:rFonts w:ascii="Arial;sans-serif" w:hAnsi="Arial;sans-serif"/>
          <w:b w:val="false"/>
          <w:color w:val="2F2F2F"/>
          <w:sz w:val="17"/>
        </w:rPr>
        <w:t xml:space="preserve">which the Company </w:t>
      </w:r>
      <w:r>
        <w:rPr>
          <w:rFonts w:ascii="Arial;sans-serif" w:hAnsi="Arial;sans-serif"/>
          <w:b w:val="false"/>
          <w:color w:val="181818"/>
          <w:sz w:val="17"/>
        </w:rPr>
        <w:t xml:space="preserve">is </w:t>
      </w:r>
      <w:r>
        <w:rPr>
          <w:rFonts w:ascii="Arial;sans-serif" w:hAnsi="Arial;sans-serif"/>
          <w:b w:val="false"/>
          <w:color w:val="2F2F2F"/>
          <w:sz w:val="17"/>
        </w:rPr>
        <w:t xml:space="preserve">engaged or will engage and </w:t>
      </w:r>
      <w:r>
        <w:rPr>
          <w:rFonts w:ascii="Arial;sans-serif" w:hAnsi="Arial;sans-serif"/>
          <w:b w:val="false"/>
          <w:color w:val="181818"/>
          <w:sz w:val="17"/>
        </w:rPr>
        <w:t xml:space="preserve">is not </w:t>
      </w:r>
      <w:r>
        <w:rPr>
          <w:rFonts w:ascii="Arial;sans-serif" w:hAnsi="Arial;sans-serif"/>
          <w:b w:val="false"/>
          <w:color w:val="2F2F2F"/>
          <w:sz w:val="17"/>
        </w:rPr>
        <w:t xml:space="preserve">generally </w:t>
      </w:r>
      <w:r>
        <w:rPr>
          <w:rFonts w:ascii="Arial;sans-serif" w:hAnsi="Arial;sans-serif"/>
          <w:b w:val="false"/>
          <w:color w:val="181818"/>
          <w:sz w:val="17"/>
        </w:rPr>
        <w:t xml:space="preserve">known </w:t>
      </w:r>
      <w:r>
        <w:rPr>
          <w:rFonts w:ascii="Arial;sans-serif" w:hAnsi="Arial;sans-serif"/>
          <w:b w:val="false"/>
          <w:color w:val="2F2F2F"/>
          <w:sz w:val="17"/>
        </w:rPr>
        <w:t xml:space="preserve">to </w:t>
      </w:r>
      <w:r>
        <w:rPr>
          <w:rFonts w:ascii="Arial;sans-serif" w:hAnsi="Arial;sans-serif"/>
          <w:b w:val="false"/>
          <w:color w:val="181818"/>
          <w:sz w:val="17"/>
        </w:rPr>
        <w:t xml:space="preserve">the public. </w:t>
      </w:r>
      <w:r>
        <w:rPr>
          <w:rFonts w:ascii="Arial;sans-serif" w:hAnsi="Arial;sans-serif"/>
          <w:b w:val="false"/>
          <w:color w:val="2F2F2F"/>
          <w:sz w:val="17"/>
        </w:rPr>
        <w:t xml:space="preserve">All of the aforementioned </w:t>
      </w:r>
      <w:r>
        <w:rPr>
          <w:rFonts w:ascii="Arial;sans-serif" w:hAnsi="Arial;sans-serif"/>
          <w:b w:val="false"/>
          <w:color w:val="181818"/>
          <w:sz w:val="17"/>
        </w:rPr>
        <w:t xml:space="preserve">information is hereinafter </w:t>
      </w:r>
      <w:r>
        <w:rPr>
          <w:rFonts w:ascii="Arial;sans-serif" w:hAnsi="Arial;sans-serif"/>
          <w:b w:val="false"/>
          <w:color w:val="2F2F2F"/>
          <w:sz w:val="17"/>
        </w:rPr>
        <w:t xml:space="preserve">called </w:t>
      </w:r>
      <w:r>
        <w:rPr>
          <w:rFonts w:ascii="Arial;sans-serif" w:hAnsi="Arial;sans-serif"/>
          <w:b w:val="false"/>
          <w:color w:val="4B4B4B"/>
          <w:sz w:val="17"/>
        </w:rPr>
        <w:t xml:space="preserve">"Proprietary </w:t>
      </w:r>
      <w:r>
        <w:rPr>
          <w:rFonts w:ascii="Arial;sans-serif" w:hAnsi="Arial;sans-serif"/>
          <w:b w:val="false"/>
          <w:color w:val="2F2F2F"/>
          <w:sz w:val="17"/>
        </w:rPr>
        <w:t xml:space="preserve">Information." </w:t>
      </w:r>
      <w:r>
        <w:rPr>
          <w:rFonts w:ascii="Arial;sans-serif" w:hAnsi="Arial;sans-serif"/>
          <w:b w:val="false"/>
          <w:color w:val="181818"/>
          <w:sz w:val="17"/>
        </w:rPr>
        <w:t xml:space="preserve">By </w:t>
      </w:r>
      <w:r>
        <w:rPr>
          <w:rFonts w:ascii="Arial;sans-serif" w:hAnsi="Arial;sans-serif"/>
          <w:b w:val="false"/>
          <w:color w:val="2F2F2F"/>
          <w:sz w:val="17"/>
        </w:rPr>
        <w:t xml:space="preserve">way of </w:t>
      </w:r>
      <w:r>
        <w:rPr>
          <w:rFonts w:ascii="Arial;sans-serif" w:hAnsi="Arial;sans-serif"/>
          <w:b w:val="false"/>
          <w:color w:val="181818"/>
          <w:sz w:val="17"/>
        </w:rPr>
        <w:t xml:space="preserve">illustration, but not limitation, </w:t>
      </w:r>
      <w:r>
        <w:rPr>
          <w:rFonts w:ascii="Arial;sans-serif" w:hAnsi="Arial;sans-serif"/>
          <w:b w:val="false"/>
          <w:color w:val="2F2F2F"/>
          <w:sz w:val="17"/>
        </w:rPr>
        <w:t xml:space="preserve">Proprietary </w:t>
      </w:r>
      <w:r>
        <w:rPr>
          <w:rFonts w:ascii="Arial;sans-serif" w:hAnsi="Arial;sans-serif"/>
          <w:b w:val="false"/>
          <w:color w:val="181818"/>
          <w:sz w:val="17"/>
        </w:rPr>
        <w:t xml:space="preserve">Information includes trade </w:t>
      </w:r>
      <w:r>
        <w:rPr>
          <w:rFonts w:ascii="Arial;sans-serif" w:hAnsi="Arial;sans-serif"/>
          <w:b w:val="false"/>
          <w:color w:val="2F2F2F"/>
          <w:sz w:val="17"/>
        </w:rPr>
        <w:t xml:space="preserve">secrets, </w:t>
      </w:r>
      <w:r>
        <w:rPr>
          <w:rFonts w:ascii="Arial;sans-serif" w:hAnsi="Arial;sans-serif"/>
          <w:b w:val="false"/>
          <w:color w:val="181818"/>
          <w:sz w:val="17"/>
        </w:rPr>
        <w:t xml:space="preserve">processes, nonpublic patent </w:t>
      </w:r>
      <w:r>
        <w:rPr>
          <w:rFonts w:ascii="Arial;sans-serif" w:hAnsi="Arial;sans-serif"/>
          <w:b w:val="false"/>
          <w:color w:val="2F2F2F"/>
          <w:sz w:val="17"/>
        </w:rPr>
        <w:t xml:space="preserve">applications, </w:t>
      </w:r>
      <w:r>
        <w:rPr>
          <w:rFonts w:ascii="Arial;sans-serif" w:hAnsi="Arial;sans-serif"/>
          <w:b w:val="false"/>
          <w:color w:val="181818"/>
          <w:sz w:val="17"/>
        </w:rPr>
        <w:t>formulas, data, know</w:t>
      </w:r>
      <w:r>
        <w:rPr>
          <w:rFonts w:ascii="Arial;sans-serif" w:hAnsi="Arial;sans-serif"/>
          <w:b w:val="false"/>
          <w:color w:val="4B4B4B"/>
          <w:sz w:val="17"/>
        </w:rPr>
        <w:t>-</w:t>
      </w:r>
      <w:r>
        <w:rPr>
          <w:rFonts w:ascii="Arial;sans-serif" w:hAnsi="Arial;sans-serif"/>
          <w:b w:val="false"/>
          <w:color w:val="181818"/>
          <w:sz w:val="17"/>
        </w:rPr>
        <w:t>how, improvements, inventions</w:t>
      </w:r>
      <w:r>
        <w:rPr>
          <w:rFonts w:ascii="Arial;sans-serif" w:hAnsi="Arial;sans-serif"/>
          <w:b w:val="false"/>
          <w:color w:val="4B4B4B"/>
          <w:sz w:val="17"/>
        </w:rPr>
        <w:t xml:space="preserve">, </w:t>
      </w:r>
      <w:r>
        <w:rPr>
          <w:rFonts w:ascii="Arial;sans-serif" w:hAnsi="Arial;sans-serif"/>
          <w:b w:val="false"/>
          <w:color w:val="181818"/>
          <w:sz w:val="17"/>
        </w:rPr>
        <w:t xml:space="preserve">techniques, biological materials, marketing plans, </w:t>
      </w:r>
      <w:r>
        <w:rPr>
          <w:rFonts w:ascii="Arial;sans-serif" w:hAnsi="Arial;sans-serif"/>
          <w:b w:val="false"/>
          <w:color w:val="2F2F2F"/>
          <w:sz w:val="17"/>
        </w:rPr>
        <w:t xml:space="preserve">strategies, forecasts, customer </w:t>
      </w:r>
      <w:r>
        <w:rPr>
          <w:rFonts w:ascii="Arial;sans-serif" w:hAnsi="Arial;sans-serif"/>
          <w:b w:val="false"/>
          <w:color w:val="181818"/>
          <w:sz w:val="17"/>
        </w:rPr>
        <w:t xml:space="preserve">lists, personnel, </w:t>
      </w:r>
      <w:r>
        <w:rPr>
          <w:rFonts w:ascii="Arial;sans-serif" w:hAnsi="Arial;sans-serif"/>
          <w:b w:val="false"/>
          <w:color w:val="2F2F2F"/>
          <w:sz w:val="17"/>
        </w:rPr>
        <w:t xml:space="preserve">and </w:t>
      </w:r>
      <w:r>
        <w:rPr>
          <w:rFonts w:ascii="Arial;sans-serif" w:hAnsi="Arial;sans-serif"/>
          <w:b w:val="false"/>
          <w:color w:val="181818"/>
          <w:sz w:val="17"/>
        </w:rPr>
        <w:t>non-public financial information.</w:t>
      </w:r>
    </w:p>
    <w:p>
      <w:pPr>
        <w:pStyle w:val="TextBody"/>
        <w:spacing w:before="8" w:after="283"/>
        <w:rPr/>
      </w:pPr>
      <w:r>
        <w:rPr/>
      </w:r>
    </w:p>
    <w:p>
      <w:pPr>
        <w:pStyle w:val="TextBody"/>
        <w:spacing w:lineRule="auto" w:line="295" w:before="1" w:after="283"/>
        <w:ind w:left="0" w:right="0" w:hanging="355"/>
        <w:rPr/>
      </w:pPr>
      <w:r>
        <w:rPr>
          <w:rFonts w:ascii="Arial;sans-serif" w:hAnsi="Arial;sans-serif"/>
          <w:b w:val="false"/>
          <w:color w:val="2F2F2F"/>
          <w:sz w:val="17"/>
        </w:rPr>
        <w:t xml:space="preserve">5.All </w:t>
      </w:r>
      <w:r>
        <w:rPr>
          <w:rFonts w:ascii="Arial;sans-serif" w:hAnsi="Arial;sans-serif"/>
          <w:b w:val="false"/>
          <w:color w:val="181818"/>
          <w:sz w:val="17"/>
        </w:rPr>
        <w:t xml:space="preserve">Proprietary Information </w:t>
      </w:r>
      <w:r>
        <w:rPr>
          <w:rFonts w:ascii="Arial;sans-serif" w:hAnsi="Arial;sans-serif"/>
          <w:b w:val="false"/>
          <w:color w:val="2F2F2F"/>
          <w:sz w:val="17"/>
        </w:rPr>
        <w:t xml:space="preserve">shall be </w:t>
      </w:r>
      <w:r>
        <w:rPr>
          <w:rFonts w:ascii="Arial;sans-serif" w:hAnsi="Arial;sans-serif"/>
          <w:b w:val="false"/>
          <w:color w:val="181818"/>
          <w:sz w:val="17"/>
        </w:rPr>
        <w:t xml:space="preserve">the </w:t>
      </w:r>
      <w:r>
        <w:rPr>
          <w:rFonts w:ascii="Arial;sans-serif" w:hAnsi="Arial;sans-serif"/>
          <w:b w:val="false"/>
          <w:color w:val="2F2F2F"/>
          <w:sz w:val="17"/>
        </w:rPr>
        <w:t xml:space="preserve">sole and exclusive </w:t>
      </w:r>
      <w:r>
        <w:rPr>
          <w:rFonts w:ascii="Arial;sans-serif" w:hAnsi="Arial;sans-serif"/>
          <w:b w:val="false"/>
          <w:color w:val="181818"/>
          <w:sz w:val="17"/>
        </w:rPr>
        <w:t xml:space="preserve">property </w:t>
      </w:r>
      <w:r>
        <w:rPr>
          <w:rFonts w:ascii="Arial;sans-serif" w:hAnsi="Arial;sans-serif"/>
          <w:b w:val="false"/>
          <w:color w:val="2F2F2F"/>
          <w:sz w:val="17"/>
        </w:rPr>
        <w:t xml:space="preserve">of the Company and </w:t>
      </w:r>
      <w:r>
        <w:rPr>
          <w:rFonts w:ascii="Arial;sans-serif" w:hAnsi="Arial;sans-serif"/>
          <w:b w:val="false"/>
          <w:color w:val="181818"/>
          <w:sz w:val="17"/>
        </w:rPr>
        <w:t xml:space="preserve">its </w:t>
      </w:r>
      <w:r>
        <w:rPr>
          <w:rFonts w:ascii="Arial;sans-serif" w:hAnsi="Arial;sans-serif"/>
          <w:b w:val="false"/>
          <w:color w:val="2F2F2F"/>
          <w:sz w:val="17"/>
        </w:rPr>
        <w:t xml:space="preserve">assigns, and </w:t>
      </w:r>
      <w:r>
        <w:rPr>
          <w:rFonts w:ascii="Arial;sans-serif" w:hAnsi="Arial;sans-serif"/>
          <w:b w:val="false"/>
          <w:color w:val="181818"/>
          <w:sz w:val="17"/>
        </w:rPr>
        <w:t xml:space="preserve">the </w:t>
      </w:r>
      <w:r>
        <w:rPr>
          <w:rFonts w:ascii="Arial;sans-serif" w:hAnsi="Arial;sans-serif"/>
          <w:b w:val="false"/>
          <w:color w:val="2F2F2F"/>
          <w:sz w:val="17"/>
        </w:rPr>
        <w:t xml:space="preserve">Company and </w:t>
      </w:r>
      <w:r>
        <w:rPr>
          <w:rFonts w:ascii="Arial;sans-serif" w:hAnsi="Arial;sans-serif"/>
          <w:b w:val="false"/>
          <w:color w:val="181818"/>
          <w:sz w:val="17"/>
        </w:rPr>
        <w:t xml:space="preserve">its </w:t>
      </w:r>
      <w:r>
        <w:rPr>
          <w:rFonts w:ascii="Arial;sans-serif" w:hAnsi="Arial;sans-serif"/>
          <w:b w:val="false"/>
          <w:color w:val="2F2F2F"/>
          <w:sz w:val="17"/>
        </w:rPr>
        <w:t xml:space="preserve">assigns shall be </w:t>
      </w:r>
      <w:r>
        <w:rPr>
          <w:rFonts w:ascii="Arial;sans-serif" w:hAnsi="Arial;sans-serif"/>
          <w:b w:val="false"/>
          <w:color w:val="181818"/>
          <w:sz w:val="17"/>
        </w:rPr>
        <w:t xml:space="preserve">the </w:t>
      </w:r>
      <w:r>
        <w:rPr>
          <w:rFonts w:ascii="Arial;sans-serif" w:hAnsi="Arial;sans-serif"/>
          <w:b w:val="false"/>
          <w:color w:val="2F2F2F"/>
          <w:sz w:val="17"/>
        </w:rPr>
        <w:t xml:space="preserve">sole and exclusive owner of all patents or other </w:t>
      </w:r>
      <w:r>
        <w:rPr>
          <w:rFonts w:ascii="Arial;sans-serif" w:hAnsi="Arial;sans-serif"/>
          <w:b w:val="false"/>
          <w:color w:val="181818"/>
          <w:sz w:val="17"/>
        </w:rPr>
        <w:t xml:space="preserve">rights in </w:t>
      </w:r>
      <w:r>
        <w:rPr>
          <w:rFonts w:ascii="Arial;sans-serif" w:hAnsi="Arial;sans-serif"/>
          <w:b w:val="false"/>
          <w:color w:val="2F2F2F"/>
          <w:sz w:val="17"/>
        </w:rPr>
        <w:t xml:space="preserve">connection </w:t>
      </w:r>
      <w:r>
        <w:rPr>
          <w:rFonts w:ascii="Arial;sans-serif" w:hAnsi="Arial;sans-serif"/>
          <w:b w:val="false"/>
          <w:color w:val="181818"/>
          <w:sz w:val="17"/>
        </w:rPr>
        <w:t xml:space="preserve">therewith. I hereby </w:t>
      </w:r>
      <w:r>
        <w:rPr>
          <w:rFonts w:ascii="Arial;sans-serif" w:hAnsi="Arial;sans-serif"/>
          <w:b w:val="false"/>
          <w:color w:val="2F2F2F"/>
          <w:sz w:val="17"/>
        </w:rPr>
        <w:t xml:space="preserve">assign </w:t>
      </w:r>
      <w:r>
        <w:rPr>
          <w:rFonts w:ascii="Arial;sans-serif" w:hAnsi="Arial;sans-serif"/>
          <w:b w:val="false"/>
          <w:color w:val="181818"/>
          <w:sz w:val="17"/>
        </w:rPr>
        <w:t xml:space="preserve">to the </w:t>
      </w:r>
      <w:r>
        <w:rPr>
          <w:rFonts w:ascii="Arial;sans-serif" w:hAnsi="Arial;sans-serif"/>
          <w:b w:val="false"/>
          <w:color w:val="2F2F2F"/>
          <w:sz w:val="17"/>
        </w:rPr>
        <w:t xml:space="preserve">Company, or such other entity as the Company directs </w:t>
      </w:r>
      <w:r>
        <w:rPr>
          <w:rFonts w:ascii="Arial;sans-serif" w:hAnsi="Arial;sans-serif"/>
          <w:b w:val="false"/>
          <w:color w:val="181818"/>
          <w:sz w:val="17"/>
        </w:rPr>
        <w:t xml:space="preserve">in </w:t>
      </w:r>
      <w:r>
        <w:rPr>
          <w:rFonts w:ascii="Arial;sans-serif" w:hAnsi="Arial;sans-serif"/>
          <w:b w:val="false"/>
          <w:color w:val="2F2F2F"/>
          <w:sz w:val="17"/>
        </w:rPr>
        <w:t xml:space="preserve">writing, any </w:t>
      </w:r>
      <w:r>
        <w:rPr>
          <w:rFonts w:ascii="Arial;sans-serif" w:hAnsi="Arial;sans-serif"/>
          <w:b w:val="false"/>
          <w:color w:val="181818"/>
          <w:sz w:val="17"/>
        </w:rPr>
        <w:t xml:space="preserve">rights I </w:t>
      </w:r>
      <w:r>
        <w:rPr>
          <w:rFonts w:ascii="Arial;sans-serif" w:hAnsi="Arial;sans-serif"/>
          <w:b w:val="false"/>
          <w:color w:val="2F2F2F"/>
          <w:sz w:val="17"/>
        </w:rPr>
        <w:t xml:space="preserve">may </w:t>
      </w:r>
      <w:r>
        <w:rPr>
          <w:rFonts w:ascii="Arial;sans-serif" w:hAnsi="Arial;sans-serif"/>
          <w:b w:val="false"/>
          <w:color w:val="181818"/>
          <w:sz w:val="17"/>
        </w:rPr>
        <w:t xml:space="preserve">have </w:t>
      </w:r>
      <w:r>
        <w:rPr>
          <w:rFonts w:ascii="Arial;sans-serif" w:hAnsi="Arial;sans-serif"/>
          <w:b w:val="false"/>
          <w:color w:val="2F2F2F"/>
          <w:sz w:val="17"/>
        </w:rPr>
        <w:t xml:space="preserve">or acquire </w:t>
      </w:r>
      <w:r>
        <w:rPr>
          <w:rFonts w:ascii="Arial;sans-serif" w:hAnsi="Arial;sans-serif"/>
          <w:b w:val="false"/>
          <w:color w:val="181818"/>
          <w:sz w:val="17"/>
        </w:rPr>
        <w:t xml:space="preserve">in </w:t>
      </w:r>
      <w:r>
        <w:rPr>
          <w:rFonts w:ascii="Arial;sans-serif" w:hAnsi="Arial;sans-serif"/>
          <w:b w:val="false"/>
          <w:color w:val="2F2F2F"/>
          <w:sz w:val="17"/>
        </w:rPr>
        <w:t xml:space="preserve">such Proprietary </w:t>
      </w:r>
      <w:r>
        <w:rPr>
          <w:rFonts w:ascii="Arial;sans-serif" w:hAnsi="Arial;sans-serif"/>
          <w:b w:val="false"/>
          <w:color w:val="181818"/>
          <w:sz w:val="17"/>
        </w:rPr>
        <w:t>Information.</w:t>
      </w:r>
    </w:p>
    <w:p>
      <w:pPr>
        <w:pStyle w:val="TextBody"/>
        <w:spacing w:before="7" w:after="283"/>
        <w:rPr/>
      </w:pPr>
      <w:r>
        <w:rPr/>
      </w:r>
    </w:p>
    <w:p>
      <w:pPr>
        <w:pStyle w:val="TextBody"/>
        <w:spacing w:lineRule="auto" w:line="297" w:before="0" w:after="0"/>
        <w:ind w:left="0" w:right="0" w:hanging="358"/>
        <w:rPr/>
      </w:pPr>
      <w:r>
        <w:rPr>
          <w:rFonts w:ascii="Arial;sans-serif" w:hAnsi="Arial;sans-serif"/>
          <w:b w:val="false"/>
          <w:color w:val="2F2F2F"/>
          <w:sz w:val="17"/>
        </w:rPr>
        <w:t xml:space="preserve">6.At all </w:t>
      </w:r>
      <w:r>
        <w:rPr>
          <w:rFonts w:ascii="Arial;sans-serif" w:hAnsi="Arial;sans-serif"/>
          <w:b w:val="false"/>
          <w:color w:val="181818"/>
          <w:sz w:val="17"/>
        </w:rPr>
        <w:t xml:space="preserve">times, </w:t>
      </w:r>
      <w:r>
        <w:rPr>
          <w:rFonts w:ascii="Arial;sans-serif" w:hAnsi="Arial;sans-serif"/>
          <w:b w:val="false"/>
          <w:color w:val="2F2F2F"/>
          <w:sz w:val="17"/>
        </w:rPr>
        <w:t xml:space="preserve">both during </w:t>
      </w:r>
      <w:r>
        <w:rPr>
          <w:rFonts w:ascii="Arial;sans-serif" w:hAnsi="Arial;sans-serif"/>
          <w:b w:val="false"/>
          <w:color w:val="181818"/>
          <w:sz w:val="17"/>
        </w:rPr>
        <w:t xml:space="preserve">my </w:t>
      </w:r>
      <w:r>
        <w:rPr>
          <w:rFonts w:ascii="Arial;sans-serif" w:hAnsi="Arial;sans-serif"/>
          <w:b w:val="false"/>
          <w:color w:val="2F2F2F"/>
          <w:sz w:val="17"/>
        </w:rPr>
        <w:t xml:space="preserve">employment by </w:t>
      </w:r>
      <w:r>
        <w:rPr>
          <w:rFonts w:ascii="Arial;sans-serif" w:hAnsi="Arial;sans-serif"/>
          <w:b w:val="false"/>
          <w:color w:val="181818"/>
          <w:sz w:val="17"/>
        </w:rPr>
        <w:t>th</w:t>
      </w:r>
      <w:r>
        <w:rPr>
          <w:rFonts w:ascii="Arial;sans-serif" w:hAnsi="Arial;sans-serif"/>
          <w:b w:val="false"/>
          <w:color w:val="4B4B4B"/>
          <w:sz w:val="17"/>
        </w:rPr>
        <w:t xml:space="preserve">e </w:t>
      </w:r>
      <w:r>
        <w:rPr>
          <w:rFonts w:ascii="Arial;sans-serif" w:hAnsi="Arial;sans-serif"/>
          <w:b w:val="false"/>
          <w:color w:val="2F2F2F"/>
          <w:sz w:val="17"/>
        </w:rPr>
        <w:t xml:space="preserve">Company and after </w:t>
      </w:r>
      <w:r>
        <w:rPr>
          <w:rFonts w:ascii="Arial;sans-serif" w:hAnsi="Arial;sans-serif"/>
          <w:b w:val="false"/>
          <w:color w:val="181818"/>
          <w:sz w:val="17"/>
        </w:rPr>
        <w:t xml:space="preserve">its termination </w:t>
      </w:r>
      <w:r>
        <w:rPr>
          <w:rFonts w:ascii="Arial;sans-serif" w:hAnsi="Arial;sans-serif"/>
          <w:b w:val="false"/>
          <w:color w:val="2F2F2F"/>
          <w:sz w:val="17"/>
        </w:rPr>
        <w:t xml:space="preserve">for any </w:t>
      </w:r>
      <w:r>
        <w:rPr>
          <w:rFonts w:ascii="Arial;sans-serif" w:hAnsi="Arial;sans-serif"/>
          <w:b w:val="false"/>
          <w:color w:val="181818"/>
          <w:sz w:val="17"/>
        </w:rPr>
        <w:t xml:space="preserve">reason, I </w:t>
      </w:r>
      <w:r>
        <w:rPr>
          <w:rFonts w:ascii="Arial;sans-serif" w:hAnsi="Arial;sans-serif"/>
          <w:b w:val="false"/>
          <w:color w:val="2F2F2F"/>
          <w:sz w:val="17"/>
        </w:rPr>
        <w:t xml:space="preserve">will keep </w:t>
      </w:r>
      <w:r>
        <w:rPr>
          <w:rFonts w:ascii="Arial;sans-serif" w:hAnsi="Arial;sans-serif"/>
          <w:b w:val="false"/>
          <w:color w:val="181818"/>
          <w:sz w:val="17"/>
        </w:rPr>
        <w:t xml:space="preserve">in </w:t>
      </w:r>
      <w:r>
        <w:rPr>
          <w:rFonts w:ascii="Arial;sans-serif" w:hAnsi="Arial;sans-serif"/>
          <w:b w:val="false"/>
          <w:color w:val="2F2F2F"/>
          <w:sz w:val="17"/>
        </w:rPr>
        <w:t xml:space="preserve">confidence and </w:t>
      </w:r>
      <w:r>
        <w:rPr>
          <w:rFonts w:ascii="Arial;sans-serif" w:hAnsi="Arial;sans-serif"/>
          <w:b w:val="false"/>
          <w:color w:val="181818"/>
          <w:sz w:val="17"/>
        </w:rPr>
        <w:t xml:space="preserve">trust </w:t>
      </w:r>
      <w:r>
        <w:rPr>
          <w:rFonts w:ascii="Arial;sans-serif" w:hAnsi="Arial;sans-serif"/>
          <w:b w:val="false"/>
          <w:color w:val="2F2F2F"/>
          <w:sz w:val="17"/>
        </w:rPr>
        <w:t xml:space="preserve">all </w:t>
      </w:r>
      <w:r>
        <w:rPr>
          <w:rFonts w:ascii="Arial;sans-serif" w:hAnsi="Arial;sans-serif"/>
          <w:b w:val="false"/>
          <w:color w:val="181818"/>
          <w:sz w:val="17"/>
        </w:rPr>
        <w:t xml:space="preserve">Proprietary </w:t>
      </w:r>
      <w:r>
        <w:rPr>
          <w:rFonts w:ascii="Arial;sans-serif" w:hAnsi="Arial;sans-serif"/>
          <w:b w:val="false"/>
          <w:color w:val="2F2F2F"/>
          <w:sz w:val="17"/>
        </w:rPr>
        <w:t xml:space="preserve">Information, and </w:t>
      </w:r>
      <w:r>
        <w:rPr>
          <w:rFonts w:ascii="Arial;sans-serif" w:hAnsi="Arial;sans-serif"/>
          <w:b w:val="false"/>
          <w:color w:val="181818"/>
          <w:sz w:val="17"/>
        </w:rPr>
        <w:t xml:space="preserve">I </w:t>
      </w:r>
      <w:r>
        <w:rPr>
          <w:rFonts w:ascii="Arial;sans-serif" w:hAnsi="Arial;sans-serif"/>
          <w:b w:val="false"/>
          <w:color w:val="2F2F2F"/>
          <w:sz w:val="17"/>
        </w:rPr>
        <w:t xml:space="preserve">will </w:t>
      </w:r>
      <w:r>
        <w:rPr>
          <w:rFonts w:ascii="Arial;sans-serif" w:hAnsi="Arial;sans-serif"/>
          <w:b w:val="false"/>
          <w:color w:val="181818"/>
          <w:sz w:val="17"/>
        </w:rPr>
        <w:t xml:space="preserve">not use </w:t>
      </w:r>
      <w:r>
        <w:rPr>
          <w:rFonts w:ascii="Arial;sans-serif" w:hAnsi="Arial;sans-serif"/>
          <w:b w:val="false"/>
          <w:color w:val="2F2F2F"/>
          <w:sz w:val="17"/>
        </w:rPr>
        <w:t xml:space="preserve">or disclose any </w:t>
      </w:r>
      <w:r>
        <w:rPr>
          <w:rFonts w:ascii="Arial;sans-serif" w:hAnsi="Arial;sans-serif"/>
          <w:b w:val="false"/>
          <w:color w:val="181818"/>
          <w:sz w:val="17"/>
        </w:rPr>
        <w:t xml:space="preserve">Proprietary Information without </w:t>
      </w:r>
      <w:r>
        <w:rPr>
          <w:rFonts w:ascii="Arial;sans-serif" w:hAnsi="Arial;sans-serif"/>
          <w:b w:val="false"/>
          <w:color w:val="2F2F2F"/>
          <w:sz w:val="17"/>
        </w:rPr>
        <w:t xml:space="preserve">the </w:t>
      </w:r>
      <w:r>
        <w:rPr>
          <w:rFonts w:ascii="Arial;sans-serif" w:hAnsi="Arial;sans-serif"/>
          <w:b w:val="false"/>
          <w:color w:val="181818"/>
          <w:sz w:val="17"/>
        </w:rPr>
        <w:t xml:space="preserve">written </w:t>
      </w:r>
      <w:r>
        <w:rPr>
          <w:rFonts w:ascii="Arial;sans-serif" w:hAnsi="Arial;sans-serif"/>
          <w:b w:val="false"/>
          <w:color w:val="2F2F2F"/>
          <w:sz w:val="17"/>
        </w:rPr>
        <w:t xml:space="preserve">consent of </w:t>
      </w:r>
      <w:r>
        <w:rPr>
          <w:rFonts w:ascii="Arial;sans-serif" w:hAnsi="Arial;sans-serif"/>
          <w:b w:val="false"/>
          <w:color w:val="181818"/>
          <w:sz w:val="17"/>
        </w:rPr>
        <w:t xml:space="preserve">the </w:t>
      </w:r>
      <w:r>
        <w:rPr>
          <w:rFonts w:ascii="Arial;sans-serif" w:hAnsi="Arial;sans-serif"/>
          <w:b w:val="false"/>
          <w:color w:val="2F2F2F"/>
          <w:sz w:val="17"/>
        </w:rPr>
        <w:t xml:space="preserve">Company, except as may be </w:t>
      </w:r>
      <w:r>
        <w:rPr>
          <w:rFonts w:ascii="Arial;sans-serif" w:hAnsi="Arial;sans-serif"/>
          <w:b w:val="false"/>
          <w:color w:val="181818"/>
          <w:sz w:val="17"/>
        </w:rPr>
        <w:t xml:space="preserve">necessary </w:t>
      </w:r>
      <w:r>
        <w:rPr>
          <w:rFonts w:ascii="Arial;sans-serif" w:hAnsi="Arial;sans-serif"/>
          <w:b w:val="false"/>
          <w:color w:val="2F2F2F"/>
          <w:sz w:val="17"/>
        </w:rPr>
        <w:t xml:space="preserve">in </w:t>
      </w:r>
      <w:r>
        <w:rPr>
          <w:rFonts w:ascii="Arial;sans-serif" w:hAnsi="Arial;sans-serif"/>
          <w:b w:val="false"/>
          <w:color w:val="181818"/>
          <w:sz w:val="17"/>
        </w:rPr>
        <w:t xml:space="preserve">the </w:t>
      </w:r>
      <w:r>
        <w:rPr>
          <w:rFonts w:ascii="Arial;sans-serif" w:hAnsi="Arial;sans-serif"/>
          <w:b w:val="false"/>
          <w:color w:val="2F2F2F"/>
          <w:sz w:val="17"/>
        </w:rPr>
        <w:t xml:space="preserve">ordinary course of </w:t>
      </w:r>
      <w:r>
        <w:rPr>
          <w:rFonts w:ascii="Arial;sans-serif" w:hAnsi="Arial;sans-serif"/>
          <w:b w:val="false"/>
          <w:color w:val="181818"/>
          <w:sz w:val="17"/>
        </w:rPr>
        <w:t xml:space="preserve">performing </w:t>
      </w:r>
      <w:r>
        <w:rPr>
          <w:rFonts w:ascii="Arial;sans-serif" w:hAnsi="Arial;sans-serif"/>
          <w:b w:val="false"/>
          <w:color w:val="2F2F2F"/>
          <w:sz w:val="17"/>
        </w:rPr>
        <w:t>my duties as an employee of the Company.</w:t>
      </w:r>
    </w:p>
    <w:p>
      <w:pPr>
        <w:pStyle w:val="TextBody"/>
        <w:spacing w:before="7" w:after="283"/>
        <w:rPr/>
      </w:pPr>
      <w:r>
        <w:rPr/>
      </w:r>
    </w:p>
    <w:p>
      <w:pPr>
        <w:pStyle w:val="TextBody"/>
        <w:spacing w:lineRule="auto" w:line="297" w:before="0" w:after="0"/>
        <w:ind w:left="0" w:right="0" w:hanging="358"/>
        <w:rPr/>
      </w:pPr>
      <w:r>
        <w:rPr>
          <w:rFonts w:ascii="Arial;sans-serif" w:hAnsi="Arial;sans-serif"/>
          <w:b w:val="false"/>
          <w:color w:val="181818"/>
          <w:sz w:val="17"/>
        </w:rPr>
        <w:t>7.</w:t>
      </w:r>
      <w:r>
        <w:rPr>
          <w:rFonts w:ascii="Arial;sans-serif" w:hAnsi="Arial;sans-serif"/>
          <w:b w:val="false"/>
          <w:color w:val="2F2F2F"/>
          <w:sz w:val="17"/>
        </w:rPr>
        <w:t xml:space="preserve">All documents, </w:t>
      </w:r>
      <w:r>
        <w:rPr>
          <w:rFonts w:ascii="Arial;sans-serif" w:hAnsi="Arial;sans-serif"/>
          <w:b w:val="false"/>
          <w:color w:val="181818"/>
          <w:sz w:val="17"/>
        </w:rPr>
        <w:t xml:space="preserve">records, notes, </w:t>
      </w:r>
      <w:r>
        <w:rPr>
          <w:rFonts w:ascii="Arial;sans-serif" w:hAnsi="Arial;sans-serif"/>
          <w:b w:val="false"/>
          <w:color w:val="2F2F2F"/>
          <w:sz w:val="17"/>
        </w:rPr>
        <w:t xml:space="preserve">apparatus, computers, data storage </w:t>
      </w:r>
      <w:r>
        <w:rPr>
          <w:rFonts w:ascii="Arial;sans-serif" w:hAnsi="Arial;sans-serif"/>
          <w:b w:val="false"/>
          <w:color w:val="181818"/>
          <w:sz w:val="17"/>
        </w:rPr>
        <w:t>devices</w:t>
      </w:r>
      <w:r>
        <w:rPr>
          <w:rFonts w:ascii="Arial;sans-serif" w:hAnsi="Arial;sans-serif"/>
          <w:b w:val="false"/>
          <w:color w:val="4B4B4B"/>
          <w:sz w:val="17"/>
        </w:rPr>
        <w:t xml:space="preserve">, </w:t>
      </w:r>
      <w:r>
        <w:rPr>
          <w:rFonts w:ascii="Arial;sans-serif" w:hAnsi="Arial;sans-serif"/>
          <w:b w:val="false"/>
          <w:color w:val="2F2F2F"/>
          <w:sz w:val="17"/>
        </w:rPr>
        <w:t xml:space="preserve">equipment and other physical property, and all </w:t>
      </w:r>
      <w:r>
        <w:rPr>
          <w:rFonts w:ascii="Arial;sans-serif" w:hAnsi="Arial;sans-serif"/>
          <w:b w:val="false"/>
          <w:color w:val="181818"/>
          <w:sz w:val="17"/>
        </w:rPr>
        <w:t xml:space="preserve">documents </w:t>
      </w:r>
      <w:r>
        <w:rPr>
          <w:rFonts w:ascii="Arial;sans-serif" w:hAnsi="Arial;sans-serif"/>
          <w:b w:val="false"/>
          <w:color w:val="2F2F2F"/>
          <w:sz w:val="17"/>
        </w:rPr>
        <w:t xml:space="preserve">and </w:t>
      </w:r>
      <w:r>
        <w:rPr>
          <w:rFonts w:ascii="Arial;sans-serif" w:hAnsi="Arial;sans-serif"/>
          <w:b w:val="false"/>
          <w:color w:val="181818"/>
          <w:sz w:val="17"/>
        </w:rPr>
        <w:t xml:space="preserve">records </w:t>
      </w:r>
      <w:r>
        <w:rPr>
          <w:rFonts w:ascii="Arial;sans-serif" w:hAnsi="Arial;sans-serif"/>
          <w:b w:val="false"/>
          <w:color w:val="2F2F2F"/>
          <w:sz w:val="17"/>
        </w:rPr>
        <w:t xml:space="preserve">(whether stored electronically or </w:t>
      </w:r>
      <w:r>
        <w:rPr>
          <w:rFonts w:ascii="Arial;sans-serif" w:hAnsi="Arial;sans-serif"/>
          <w:b w:val="false"/>
          <w:color w:val="181818"/>
          <w:sz w:val="17"/>
        </w:rPr>
        <w:t xml:space="preserve">in hard </w:t>
      </w:r>
      <w:r>
        <w:rPr>
          <w:rFonts w:ascii="Arial;sans-serif" w:hAnsi="Arial;sans-serif"/>
          <w:b w:val="false"/>
          <w:color w:val="2F2F2F"/>
          <w:sz w:val="17"/>
        </w:rPr>
        <w:t xml:space="preserve">copies), whether or not </w:t>
      </w:r>
      <w:r>
        <w:rPr>
          <w:rFonts w:ascii="Arial;sans-serif" w:hAnsi="Arial;sans-serif"/>
          <w:b w:val="false"/>
          <w:color w:val="181818"/>
          <w:sz w:val="17"/>
        </w:rPr>
        <w:t xml:space="preserve">pertaining to </w:t>
      </w:r>
      <w:r>
        <w:rPr>
          <w:rFonts w:ascii="Arial;sans-serif" w:hAnsi="Arial;sans-serif"/>
          <w:b w:val="false"/>
          <w:color w:val="2F2F2F"/>
          <w:sz w:val="17"/>
        </w:rPr>
        <w:t xml:space="preserve">Proprietary </w:t>
      </w:r>
      <w:r>
        <w:rPr>
          <w:rFonts w:ascii="Arial;sans-serif" w:hAnsi="Arial;sans-serif"/>
          <w:b w:val="false"/>
          <w:color w:val="181818"/>
          <w:sz w:val="17"/>
        </w:rPr>
        <w:t xml:space="preserve">Information, </w:t>
      </w:r>
      <w:r>
        <w:rPr>
          <w:rFonts w:ascii="Arial;sans-serif" w:hAnsi="Arial;sans-serif"/>
          <w:b w:val="false"/>
          <w:color w:val="2F2F2F"/>
          <w:sz w:val="17"/>
        </w:rPr>
        <w:t xml:space="preserve">furnished </w:t>
      </w:r>
      <w:r>
        <w:rPr>
          <w:rFonts w:ascii="Arial;sans-serif" w:hAnsi="Arial;sans-serif"/>
          <w:b w:val="false"/>
          <w:color w:val="181818"/>
          <w:sz w:val="17"/>
        </w:rPr>
        <w:t xml:space="preserve">to </w:t>
      </w:r>
      <w:r>
        <w:rPr>
          <w:rFonts w:ascii="Arial;sans-serif" w:hAnsi="Arial;sans-serif"/>
          <w:b w:val="false"/>
          <w:color w:val="2F2F2F"/>
          <w:sz w:val="17"/>
        </w:rPr>
        <w:t xml:space="preserve">me by </w:t>
      </w:r>
      <w:r>
        <w:rPr>
          <w:rFonts w:ascii="Arial;sans-serif" w:hAnsi="Arial;sans-serif"/>
          <w:b w:val="false"/>
          <w:color w:val="181818"/>
          <w:sz w:val="17"/>
        </w:rPr>
        <w:t xml:space="preserve">the </w:t>
      </w:r>
      <w:r>
        <w:rPr>
          <w:rFonts w:ascii="Arial;sans-serif" w:hAnsi="Arial;sans-serif"/>
          <w:b w:val="false"/>
          <w:color w:val="2F2F2F"/>
          <w:sz w:val="17"/>
        </w:rPr>
        <w:t xml:space="preserve">Company or produced by </w:t>
      </w:r>
      <w:r>
        <w:rPr>
          <w:rFonts w:ascii="Arial;sans-serif" w:hAnsi="Arial;sans-serif"/>
          <w:b w:val="false"/>
          <w:color w:val="181818"/>
          <w:sz w:val="17"/>
        </w:rPr>
        <w:t xml:space="preserve">me </w:t>
      </w:r>
      <w:r>
        <w:rPr>
          <w:rFonts w:ascii="Arial;sans-serif" w:hAnsi="Arial;sans-serif"/>
          <w:b w:val="false"/>
          <w:color w:val="2F2F2F"/>
          <w:sz w:val="17"/>
        </w:rPr>
        <w:t xml:space="preserve">or others </w:t>
      </w:r>
      <w:r>
        <w:rPr>
          <w:rFonts w:ascii="Arial;sans-serif" w:hAnsi="Arial;sans-serif"/>
          <w:b w:val="false"/>
          <w:color w:val="181818"/>
          <w:sz w:val="17"/>
        </w:rPr>
        <w:t xml:space="preserve">in </w:t>
      </w:r>
      <w:r>
        <w:rPr>
          <w:rFonts w:ascii="Arial;sans-serif" w:hAnsi="Arial;sans-serif"/>
          <w:b w:val="false"/>
          <w:color w:val="2F2F2F"/>
          <w:sz w:val="17"/>
        </w:rPr>
        <w:t xml:space="preserve">connection with my employment with </w:t>
      </w:r>
      <w:r>
        <w:rPr>
          <w:rFonts w:ascii="Arial;sans-serif" w:hAnsi="Arial;sans-serif"/>
          <w:b w:val="false"/>
          <w:color w:val="181818"/>
          <w:sz w:val="17"/>
        </w:rPr>
        <w:t xml:space="preserve">the </w:t>
      </w:r>
      <w:r>
        <w:rPr>
          <w:rFonts w:ascii="Arial;sans-serif" w:hAnsi="Arial;sans-serif"/>
          <w:b w:val="false"/>
          <w:color w:val="2F2F2F"/>
          <w:sz w:val="17"/>
        </w:rPr>
        <w:t xml:space="preserve">Company, shall be and </w:t>
      </w:r>
      <w:r>
        <w:rPr>
          <w:rFonts w:ascii="Arial;sans-serif" w:hAnsi="Arial;sans-serif"/>
          <w:b w:val="false"/>
          <w:color w:val="181818"/>
          <w:sz w:val="17"/>
        </w:rPr>
        <w:t xml:space="preserve">remain the </w:t>
      </w:r>
      <w:r>
        <w:rPr>
          <w:rFonts w:ascii="Arial;sans-serif" w:hAnsi="Arial;sans-serif"/>
          <w:b w:val="false"/>
          <w:color w:val="2F2F2F"/>
          <w:sz w:val="17"/>
        </w:rPr>
        <w:t xml:space="preserve">sole property of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I </w:t>
      </w:r>
      <w:r>
        <w:rPr>
          <w:rFonts w:ascii="Arial;sans-serif" w:hAnsi="Arial;sans-serif"/>
          <w:b w:val="false"/>
          <w:color w:val="2F2F2F"/>
          <w:sz w:val="17"/>
        </w:rPr>
        <w:t xml:space="preserve">will promptly </w:t>
      </w:r>
      <w:r>
        <w:rPr>
          <w:rFonts w:ascii="Arial;sans-serif" w:hAnsi="Arial;sans-serif"/>
          <w:b w:val="false"/>
          <w:color w:val="181818"/>
          <w:sz w:val="17"/>
        </w:rPr>
        <w:t xml:space="preserve">return </w:t>
      </w:r>
      <w:r>
        <w:rPr>
          <w:rFonts w:ascii="Arial;sans-serif" w:hAnsi="Arial;sans-serif"/>
          <w:b w:val="false"/>
          <w:color w:val="2F2F2F"/>
          <w:sz w:val="17"/>
        </w:rPr>
        <w:t xml:space="preserve">and deliver such property and any copies </w:t>
      </w:r>
      <w:r>
        <w:rPr>
          <w:rFonts w:ascii="Arial;sans-serif" w:hAnsi="Arial;sans-serif"/>
          <w:b w:val="false"/>
          <w:color w:val="181818"/>
          <w:sz w:val="17"/>
        </w:rPr>
        <w:t xml:space="preserve">to </w:t>
      </w:r>
      <w:r>
        <w:rPr>
          <w:rFonts w:ascii="Arial;sans-serif" w:hAnsi="Arial;sans-serif"/>
          <w:b w:val="false"/>
          <w:color w:val="2F2F2F"/>
          <w:sz w:val="17"/>
        </w:rPr>
        <w:t xml:space="preserve">the Company as and when </w:t>
      </w:r>
      <w:r>
        <w:rPr>
          <w:rFonts w:ascii="Arial;sans-serif" w:hAnsi="Arial;sans-serif"/>
          <w:b w:val="false"/>
          <w:color w:val="181818"/>
          <w:sz w:val="17"/>
        </w:rPr>
        <w:t xml:space="preserve">requested </w:t>
      </w:r>
      <w:r>
        <w:rPr>
          <w:rFonts w:ascii="Arial;sans-serif" w:hAnsi="Arial;sans-serif"/>
          <w:b w:val="false"/>
          <w:color w:val="2F2F2F"/>
          <w:sz w:val="17"/>
        </w:rPr>
        <w:t xml:space="preserve">by </w:t>
      </w:r>
      <w:r>
        <w:rPr>
          <w:rFonts w:ascii="Arial;sans-serif" w:hAnsi="Arial;sans-serif"/>
          <w:b w:val="false"/>
          <w:color w:val="181818"/>
          <w:sz w:val="17"/>
        </w:rPr>
        <w:t xml:space="preserve">the </w:t>
      </w:r>
      <w:r>
        <w:rPr>
          <w:rFonts w:ascii="Arial;sans-serif" w:hAnsi="Arial;sans-serif"/>
          <w:b w:val="false"/>
          <w:color w:val="2F2F2F"/>
          <w:sz w:val="17"/>
        </w:rPr>
        <w:t xml:space="preserve">Company. Should the Company not so </w:t>
      </w:r>
      <w:r>
        <w:rPr>
          <w:rFonts w:ascii="Arial;sans-serif" w:hAnsi="Arial;sans-serif"/>
          <w:b w:val="false"/>
          <w:color w:val="181818"/>
          <w:sz w:val="17"/>
        </w:rPr>
        <w:t xml:space="preserve">request, I </w:t>
      </w:r>
      <w:r>
        <w:rPr>
          <w:rFonts w:ascii="Arial;sans-serif" w:hAnsi="Arial;sans-serif"/>
          <w:b w:val="false"/>
          <w:color w:val="2F2F2F"/>
          <w:sz w:val="17"/>
        </w:rPr>
        <w:t xml:space="preserve">shall </w:t>
      </w:r>
      <w:r>
        <w:rPr>
          <w:rFonts w:ascii="Arial;sans-serif" w:hAnsi="Arial;sans-serif"/>
          <w:b w:val="false"/>
          <w:color w:val="181818"/>
          <w:sz w:val="17"/>
        </w:rPr>
        <w:t xml:space="preserve">return </w:t>
      </w:r>
      <w:r>
        <w:rPr>
          <w:rFonts w:ascii="Arial;sans-serif" w:hAnsi="Arial;sans-serif"/>
          <w:b w:val="false"/>
          <w:color w:val="2F2F2F"/>
          <w:sz w:val="17"/>
        </w:rPr>
        <w:t xml:space="preserve">and deliver all such property </w:t>
      </w:r>
      <w:r>
        <w:rPr>
          <w:rFonts w:ascii="Arial;sans-serif" w:hAnsi="Arial;sans-serif"/>
          <w:b w:val="false"/>
          <w:color w:val="181818"/>
          <w:sz w:val="17"/>
        </w:rPr>
        <w:t xml:space="preserve">upon termination </w:t>
      </w:r>
      <w:r>
        <w:rPr>
          <w:rFonts w:ascii="Arial;sans-serif" w:hAnsi="Arial;sans-serif"/>
          <w:b w:val="false"/>
          <w:color w:val="2F2F2F"/>
          <w:sz w:val="17"/>
        </w:rPr>
        <w:t xml:space="preserve">of my employment with </w:t>
      </w:r>
      <w:r>
        <w:rPr>
          <w:rFonts w:ascii="Arial;sans-serif" w:hAnsi="Arial;sans-serif"/>
          <w:b w:val="false"/>
          <w:color w:val="181818"/>
          <w:sz w:val="17"/>
        </w:rPr>
        <w:t xml:space="preserve">the </w:t>
      </w:r>
      <w:r>
        <w:rPr>
          <w:rFonts w:ascii="Arial;sans-serif" w:hAnsi="Arial;sans-serif"/>
          <w:b w:val="false"/>
          <w:color w:val="2F2F2F"/>
          <w:sz w:val="17"/>
        </w:rPr>
        <w:t xml:space="preserve">Company for any </w:t>
      </w:r>
      <w:r>
        <w:rPr>
          <w:rFonts w:ascii="Arial;sans-serif" w:hAnsi="Arial;sans-serif"/>
          <w:b w:val="false"/>
          <w:color w:val="181818"/>
          <w:sz w:val="17"/>
        </w:rPr>
        <w:t xml:space="preserve">reason, </w:t>
      </w:r>
      <w:r>
        <w:rPr>
          <w:rFonts w:ascii="Arial;sans-serif" w:hAnsi="Arial;sans-serif"/>
          <w:b w:val="false"/>
          <w:color w:val="2F2F2F"/>
          <w:sz w:val="17"/>
        </w:rPr>
        <w:t xml:space="preserve">and </w:t>
      </w:r>
      <w:r>
        <w:rPr>
          <w:rFonts w:ascii="Arial;sans-serif" w:hAnsi="Arial;sans-serif"/>
          <w:b w:val="false"/>
          <w:color w:val="181818"/>
          <w:sz w:val="17"/>
        </w:rPr>
        <w:t xml:space="preserve">I </w:t>
      </w:r>
      <w:r>
        <w:rPr>
          <w:rFonts w:ascii="Arial;sans-serif" w:hAnsi="Arial;sans-serif"/>
          <w:b w:val="false"/>
          <w:color w:val="2F2F2F"/>
          <w:sz w:val="17"/>
        </w:rPr>
        <w:t xml:space="preserve">will not </w:t>
      </w:r>
      <w:r>
        <w:rPr>
          <w:rFonts w:ascii="Arial;sans-serif" w:hAnsi="Arial;sans-serif"/>
          <w:b w:val="false"/>
          <w:color w:val="181818"/>
          <w:sz w:val="17"/>
        </w:rPr>
        <w:t xml:space="preserve">take </w:t>
      </w:r>
      <w:r>
        <w:rPr>
          <w:rFonts w:ascii="Arial;sans-serif" w:hAnsi="Arial;sans-serif"/>
          <w:b w:val="false"/>
          <w:color w:val="2F2F2F"/>
          <w:sz w:val="17"/>
        </w:rPr>
        <w:t xml:space="preserve">with </w:t>
      </w:r>
      <w:r>
        <w:rPr>
          <w:rFonts w:ascii="Arial;sans-serif" w:hAnsi="Arial;sans-serif"/>
          <w:b w:val="false"/>
          <w:color w:val="181818"/>
          <w:sz w:val="17"/>
        </w:rPr>
        <w:t>m</w:t>
      </w:r>
      <w:r>
        <w:rPr>
          <w:rFonts w:ascii="Arial;sans-serif" w:hAnsi="Arial;sans-serif"/>
          <w:b w:val="false"/>
          <w:color w:val="4B4B4B"/>
          <w:sz w:val="17"/>
        </w:rPr>
        <w:t xml:space="preserve">e </w:t>
      </w:r>
      <w:r>
        <w:rPr>
          <w:rFonts w:ascii="Arial;sans-serif" w:hAnsi="Arial;sans-serif"/>
          <w:b w:val="false"/>
          <w:color w:val="2F2F2F"/>
          <w:sz w:val="17"/>
        </w:rPr>
        <w:t xml:space="preserve">any such property or any reproduction of such property, in any form, upon </w:t>
      </w:r>
      <w:r>
        <w:rPr>
          <w:rFonts w:ascii="Arial;sans-serif" w:hAnsi="Arial;sans-serif"/>
          <w:b w:val="false"/>
          <w:color w:val="181818"/>
          <w:sz w:val="17"/>
        </w:rPr>
        <w:t>termination.</w:t>
      </w:r>
    </w:p>
    <w:p>
      <w:pPr>
        <w:pStyle w:val="TextBody"/>
        <w:spacing w:before="1" w:after="283"/>
        <w:rPr/>
      </w:pPr>
      <w:r>
        <w:rPr/>
      </w:r>
    </w:p>
    <w:p>
      <w:pPr>
        <w:pStyle w:val="TextBody"/>
        <w:spacing w:lineRule="auto" w:line="285" w:before="0" w:after="0"/>
        <w:ind w:left="0" w:right="0" w:hanging="357"/>
        <w:rPr/>
      </w:pPr>
      <w:r>
        <w:rPr>
          <w:rFonts w:ascii="Arial;sans-serif" w:hAnsi="Arial;sans-serif"/>
          <w:b w:val="false"/>
          <w:color w:val="2F2F2F"/>
          <w:sz w:val="17"/>
        </w:rPr>
        <w:t xml:space="preserve">8.The Company </w:t>
      </w:r>
      <w:r>
        <w:rPr>
          <w:rFonts w:ascii="Arial;sans-serif" w:hAnsi="Arial;sans-serif"/>
          <w:b w:val="false"/>
          <w:color w:val="181818"/>
          <w:sz w:val="17"/>
        </w:rPr>
        <w:t xml:space="preserve">has received </w:t>
      </w:r>
      <w:r>
        <w:rPr>
          <w:rFonts w:ascii="Arial;sans-serif" w:hAnsi="Arial;sans-serif"/>
          <w:b w:val="false"/>
          <w:color w:val="2F2F2F"/>
          <w:sz w:val="17"/>
        </w:rPr>
        <w:t xml:space="preserve">and, </w:t>
      </w:r>
      <w:r>
        <w:rPr>
          <w:rFonts w:ascii="Arial;sans-serif" w:hAnsi="Arial;sans-serif"/>
          <w:b w:val="false"/>
          <w:color w:val="181818"/>
          <w:sz w:val="17"/>
        </w:rPr>
        <w:t xml:space="preserve">in the future, </w:t>
      </w:r>
      <w:r>
        <w:rPr>
          <w:rFonts w:ascii="Arial;sans-serif" w:hAnsi="Arial;sans-serif"/>
          <w:b w:val="false"/>
          <w:color w:val="2F2F2F"/>
          <w:sz w:val="17"/>
        </w:rPr>
        <w:t xml:space="preserve">will </w:t>
      </w:r>
      <w:r>
        <w:rPr>
          <w:rFonts w:ascii="Arial;sans-serif" w:hAnsi="Arial;sans-serif"/>
          <w:b w:val="false"/>
          <w:color w:val="181818"/>
          <w:sz w:val="17"/>
        </w:rPr>
        <w:t xml:space="preserve">receive </w:t>
      </w:r>
      <w:r>
        <w:rPr>
          <w:rFonts w:ascii="Arial;sans-serif" w:hAnsi="Arial;sans-serif"/>
          <w:b w:val="false"/>
          <w:color w:val="2F2F2F"/>
          <w:sz w:val="17"/>
        </w:rPr>
        <w:t xml:space="preserve">from clients, customers and other </w:t>
      </w:r>
      <w:r>
        <w:rPr>
          <w:rFonts w:ascii="Arial;sans-serif" w:hAnsi="Arial;sans-serif"/>
          <w:b w:val="false"/>
          <w:color w:val="181818"/>
          <w:sz w:val="17"/>
        </w:rPr>
        <w:t xml:space="preserve">third </w:t>
      </w:r>
      <w:r>
        <w:rPr>
          <w:rFonts w:ascii="Arial;sans-serif" w:hAnsi="Arial;sans-serif"/>
          <w:b w:val="false"/>
          <w:color w:val="2F2F2F"/>
          <w:sz w:val="17"/>
        </w:rPr>
        <w:t xml:space="preserve">parties, </w:t>
      </w:r>
      <w:r>
        <w:rPr>
          <w:rFonts w:ascii="Arial;sans-serif" w:hAnsi="Arial;sans-serif"/>
          <w:b w:val="false"/>
          <w:color w:val="181818"/>
          <w:sz w:val="17"/>
        </w:rPr>
        <w:t xml:space="preserve">their </w:t>
      </w:r>
      <w:r>
        <w:rPr>
          <w:rFonts w:ascii="Arial;sans-serif" w:hAnsi="Arial;sans-serif"/>
          <w:b w:val="false"/>
          <w:color w:val="2F2F2F"/>
          <w:sz w:val="17"/>
        </w:rPr>
        <w:t xml:space="preserve">confidential or proprietary </w:t>
      </w:r>
      <w:r>
        <w:rPr>
          <w:rFonts w:ascii="Arial;sans-serif" w:hAnsi="Arial;sans-serif"/>
          <w:b w:val="false"/>
          <w:color w:val="181818"/>
          <w:sz w:val="17"/>
        </w:rPr>
        <w:t xml:space="preserve">information </w:t>
      </w:r>
      <w:r>
        <w:rPr>
          <w:rFonts w:ascii="Arial;sans-serif" w:hAnsi="Arial;sans-serif"/>
          <w:b w:val="false"/>
          <w:color w:val="2F2F2F"/>
          <w:sz w:val="17"/>
        </w:rPr>
        <w:t xml:space="preserve">subject </w:t>
      </w:r>
      <w:r>
        <w:rPr>
          <w:rFonts w:ascii="Arial;sans-serif" w:hAnsi="Arial;sans-serif"/>
          <w:b w:val="false"/>
          <w:color w:val="181818"/>
          <w:sz w:val="17"/>
        </w:rPr>
        <w:t xml:space="preserve">to </w:t>
      </w:r>
      <w:r>
        <w:rPr>
          <w:rFonts w:ascii="Arial;sans-serif" w:hAnsi="Arial;sans-serif"/>
          <w:b w:val="false"/>
          <w:color w:val="2F2F2F"/>
          <w:sz w:val="17"/>
        </w:rPr>
        <w:t xml:space="preserve">a duty on </w:t>
      </w:r>
      <w:r>
        <w:rPr>
          <w:rFonts w:ascii="Arial;sans-serif" w:hAnsi="Arial;sans-serif"/>
          <w:b w:val="false"/>
          <w:color w:val="181818"/>
          <w:sz w:val="17"/>
        </w:rPr>
        <w:t xml:space="preserve">the </w:t>
      </w:r>
      <w:r>
        <w:rPr>
          <w:rFonts w:ascii="Arial;sans-serif" w:hAnsi="Arial;sans-serif"/>
          <w:b w:val="false"/>
          <w:color w:val="2F2F2F"/>
          <w:sz w:val="17"/>
        </w:rPr>
        <w:t>Company</w:t>
      </w:r>
      <w:r>
        <w:rPr>
          <w:rFonts w:ascii="Arial;sans-serif" w:hAnsi="Arial;sans-serif"/>
          <w:b w:val="false"/>
          <w:color w:val="757575"/>
          <w:sz w:val="17"/>
        </w:rPr>
        <w:t>'</w:t>
      </w:r>
      <w:r>
        <w:rPr>
          <w:rFonts w:ascii="Arial;sans-serif" w:hAnsi="Arial;sans-serif"/>
          <w:b w:val="false"/>
          <w:color w:val="2F2F2F"/>
          <w:sz w:val="17"/>
        </w:rPr>
        <w:t xml:space="preserve">s part </w:t>
      </w:r>
      <w:r>
        <w:rPr>
          <w:rFonts w:ascii="Arial;sans-serif" w:hAnsi="Arial;sans-serif"/>
          <w:b w:val="false"/>
          <w:color w:val="181818"/>
          <w:sz w:val="17"/>
        </w:rPr>
        <w:t>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5" w:after="283"/>
        <w:rPr/>
      </w:pPr>
      <w:r>
        <w:rPr/>
      </w:r>
    </w:p>
    <w:p>
      <w:pPr>
        <w:pStyle w:val="TextBody"/>
        <w:spacing w:lineRule="auto" w:line="295" w:before="95" w:after="283"/>
        <w:ind w:left="0" w:right="0" w:firstLine="10"/>
        <w:rPr/>
      </w:pPr>
      <w:r>
        <w:rPr>
          <w:rFonts w:ascii="Arial;sans-serif" w:hAnsi="Arial;sans-serif"/>
          <w:b w:val="false"/>
          <w:color w:val="181818"/>
          <w:sz w:val="17"/>
        </w:rPr>
        <w:t xml:space="preserve">maintain </w:t>
      </w:r>
      <w:r>
        <w:rPr>
          <w:rFonts w:ascii="Arial;sans-serif" w:hAnsi="Arial;sans-serif"/>
          <w:b w:val="false"/>
          <w:color w:val="2F2F2F"/>
          <w:sz w:val="17"/>
        </w:rPr>
        <w:t xml:space="preserve">the confidentiality of such </w:t>
      </w:r>
      <w:r>
        <w:rPr>
          <w:rFonts w:ascii="Arial;sans-serif" w:hAnsi="Arial;sans-serif"/>
          <w:b w:val="false"/>
          <w:color w:val="181818"/>
          <w:sz w:val="17"/>
        </w:rPr>
        <w:t xml:space="preserve">information </w:t>
      </w:r>
      <w:r>
        <w:rPr>
          <w:rFonts w:ascii="Arial;sans-serif" w:hAnsi="Arial;sans-serif"/>
          <w:b w:val="false"/>
          <w:color w:val="2F2F2F"/>
          <w:sz w:val="17"/>
        </w:rPr>
        <w:t xml:space="preserve">and </w:t>
      </w:r>
      <w:r>
        <w:rPr>
          <w:rFonts w:ascii="Arial;sans-serif" w:hAnsi="Arial;sans-serif"/>
          <w:b w:val="false"/>
          <w:color w:val="181818"/>
          <w:sz w:val="17"/>
        </w:rPr>
        <w:t xml:space="preserve">to </w:t>
      </w:r>
      <w:r>
        <w:rPr>
          <w:rFonts w:ascii="Arial;sans-serif" w:hAnsi="Arial;sans-serif"/>
          <w:b w:val="false"/>
          <w:color w:val="2F2F2F"/>
          <w:sz w:val="17"/>
        </w:rPr>
        <w:t xml:space="preserve">use </w:t>
      </w:r>
      <w:r>
        <w:rPr>
          <w:rFonts w:ascii="Arial;sans-serif" w:hAnsi="Arial;sans-serif"/>
          <w:b w:val="false"/>
          <w:color w:val="181818"/>
          <w:sz w:val="17"/>
        </w:rPr>
        <w:t xml:space="preserve">it </w:t>
      </w:r>
      <w:r>
        <w:rPr>
          <w:rFonts w:ascii="Arial;sans-serif" w:hAnsi="Arial;sans-serif"/>
          <w:b w:val="false"/>
          <w:color w:val="2F2F2F"/>
          <w:sz w:val="17"/>
        </w:rPr>
        <w:t xml:space="preserve">only for </w:t>
      </w:r>
      <w:r>
        <w:rPr>
          <w:rFonts w:ascii="Arial;sans-serif" w:hAnsi="Arial;sans-serif"/>
          <w:b w:val="false"/>
          <w:color w:val="181818"/>
          <w:sz w:val="17"/>
        </w:rPr>
        <w:t xml:space="preserve">limited purposes. I will </w:t>
      </w:r>
      <w:r>
        <w:rPr>
          <w:rFonts w:ascii="Arial;sans-serif" w:hAnsi="Arial;sans-serif"/>
          <w:b w:val="false"/>
          <w:color w:val="2F2F2F"/>
          <w:sz w:val="17"/>
        </w:rPr>
        <w:t xml:space="preserve">hold all such </w:t>
      </w:r>
      <w:r>
        <w:rPr>
          <w:rFonts w:ascii="Arial;sans-serif" w:hAnsi="Arial;sans-serif"/>
          <w:b w:val="false"/>
          <w:color w:val="444444"/>
          <w:sz w:val="17"/>
        </w:rPr>
        <w:t>co</w:t>
      </w:r>
      <w:r>
        <w:rPr>
          <w:rFonts w:ascii="Arial;sans-serif" w:hAnsi="Arial;sans-serif"/>
          <w:b w:val="false"/>
          <w:color w:val="181818"/>
          <w:sz w:val="17"/>
        </w:rPr>
        <w:t xml:space="preserve">nfidential </w:t>
      </w:r>
      <w:r>
        <w:rPr>
          <w:rFonts w:ascii="Arial;sans-serif" w:hAnsi="Arial;sans-serif"/>
          <w:b w:val="false"/>
          <w:color w:val="2F2F2F"/>
          <w:sz w:val="17"/>
        </w:rPr>
        <w:t xml:space="preserve">or proprietary </w:t>
      </w:r>
      <w:r>
        <w:rPr>
          <w:rFonts w:ascii="Arial;sans-serif" w:hAnsi="Arial;sans-serif"/>
          <w:b w:val="false"/>
          <w:color w:val="181818"/>
          <w:sz w:val="17"/>
        </w:rPr>
        <w:t xml:space="preserve">information in the </w:t>
      </w:r>
      <w:r>
        <w:rPr>
          <w:rFonts w:ascii="Arial;sans-serif" w:hAnsi="Arial;sans-serif"/>
          <w:b w:val="false"/>
          <w:color w:val="2F2F2F"/>
          <w:sz w:val="17"/>
        </w:rPr>
        <w:t xml:space="preserve">strictest confidence and </w:t>
      </w:r>
      <w:r>
        <w:rPr>
          <w:rFonts w:ascii="Arial;sans-serif" w:hAnsi="Arial;sans-serif"/>
          <w:b w:val="false"/>
          <w:color w:val="181818"/>
          <w:sz w:val="17"/>
        </w:rPr>
        <w:t xml:space="preserve">not </w:t>
      </w:r>
      <w:r>
        <w:rPr>
          <w:rFonts w:ascii="Arial;sans-serif" w:hAnsi="Arial;sans-serif"/>
          <w:b w:val="false"/>
          <w:color w:val="2F2F2F"/>
          <w:sz w:val="17"/>
        </w:rPr>
        <w:t xml:space="preserve">disclose it </w:t>
      </w:r>
      <w:r>
        <w:rPr>
          <w:rFonts w:ascii="Arial;sans-serif" w:hAnsi="Arial;sans-serif"/>
          <w:b w:val="false"/>
          <w:color w:val="181818"/>
          <w:sz w:val="17"/>
        </w:rPr>
        <w:t xml:space="preserve">to any person, firm or </w:t>
      </w:r>
      <w:r>
        <w:rPr>
          <w:rFonts w:ascii="Arial;sans-serif" w:hAnsi="Arial;sans-serif"/>
          <w:b w:val="false"/>
          <w:color w:val="2F2F2F"/>
          <w:sz w:val="17"/>
        </w:rPr>
        <w:t xml:space="preserve">corporation </w:t>
      </w:r>
      <w:r>
        <w:rPr>
          <w:rFonts w:ascii="Arial;sans-serif" w:hAnsi="Arial;sans-serif"/>
          <w:b w:val="false"/>
          <w:color w:val="181818"/>
          <w:sz w:val="17"/>
        </w:rPr>
        <w:t xml:space="preserve">or </w:t>
      </w:r>
      <w:r>
        <w:rPr>
          <w:rFonts w:ascii="Arial;sans-serif" w:hAnsi="Arial;sans-serif"/>
          <w:b w:val="false"/>
          <w:color w:val="2F2F2F"/>
          <w:sz w:val="17"/>
        </w:rPr>
        <w:t xml:space="preserve">use </w:t>
      </w:r>
      <w:r>
        <w:rPr>
          <w:rFonts w:ascii="Arial;sans-serif" w:hAnsi="Arial;sans-serif"/>
          <w:b w:val="false"/>
          <w:color w:val="181818"/>
          <w:sz w:val="17"/>
        </w:rPr>
        <w:t xml:space="preserve">it </w:t>
      </w:r>
      <w:r>
        <w:rPr>
          <w:rFonts w:ascii="Arial;sans-serif" w:hAnsi="Arial;sans-serif"/>
          <w:b w:val="false"/>
          <w:color w:val="2F2F2F"/>
          <w:sz w:val="17"/>
        </w:rPr>
        <w:t xml:space="preserve">except as </w:t>
      </w:r>
      <w:r>
        <w:rPr>
          <w:rFonts w:ascii="Arial;sans-serif" w:hAnsi="Arial;sans-serif"/>
          <w:b w:val="false"/>
          <w:color w:val="181818"/>
          <w:sz w:val="17"/>
        </w:rPr>
        <w:t xml:space="preserve">necessary in </w:t>
      </w:r>
      <w:r>
        <w:rPr>
          <w:rFonts w:ascii="Arial;sans-serif" w:hAnsi="Arial;sans-serif"/>
          <w:b w:val="false"/>
          <w:color w:val="2F2F2F"/>
          <w:sz w:val="17"/>
        </w:rPr>
        <w:t xml:space="preserve">carrying </w:t>
      </w:r>
      <w:r>
        <w:rPr>
          <w:rFonts w:ascii="Arial;sans-serif" w:hAnsi="Arial;sans-serif"/>
          <w:b w:val="false"/>
          <w:color w:val="181818"/>
          <w:sz w:val="17"/>
        </w:rPr>
        <w:t xml:space="preserve">out </w:t>
      </w:r>
      <w:r>
        <w:rPr>
          <w:rFonts w:ascii="Arial;sans-serif" w:hAnsi="Arial;sans-serif"/>
          <w:b w:val="false"/>
          <w:color w:val="2F2F2F"/>
          <w:sz w:val="17"/>
        </w:rPr>
        <w:t xml:space="preserve">my work </w:t>
      </w:r>
      <w:r>
        <w:rPr>
          <w:rFonts w:ascii="Arial;sans-serif" w:hAnsi="Arial;sans-serif"/>
          <w:b w:val="false"/>
          <w:color w:val="181818"/>
          <w:sz w:val="17"/>
        </w:rPr>
        <w:t xml:space="preserve">for the </w:t>
      </w:r>
      <w:r>
        <w:rPr>
          <w:rFonts w:ascii="Arial;sans-serif" w:hAnsi="Arial;sans-serif"/>
          <w:b w:val="false"/>
          <w:color w:val="2F2F2F"/>
          <w:sz w:val="17"/>
        </w:rPr>
        <w:t xml:space="preserve">Company consistent with </w:t>
      </w:r>
      <w:r>
        <w:rPr>
          <w:rFonts w:ascii="Arial;sans-serif" w:hAnsi="Arial;sans-serif"/>
          <w:b w:val="false"/>
          <w:color w:val="181818"/>
          <w:sz w:val="17"/>
        </w:rPr>
        <w:t xml:space="preserve">the </w:t>
      </w:r>
      <w:r>
        <w:rPr>
          <w:rFonts w:ascii="Arial;sans-serif" w:hAnsi="Arial;sans-serif"/>
          <w:b w:val="false"/>
          <w:color w:val="2F2F2F"/>
          <w:sz w:val="17"/>
        </w:rPr>
        <w:t xml:space="preserve">Company's agreement with such </w:t>
      </w:r>
      <w:r>
        <w:rPr>
          <w:rFonts w:ascii="Arial;sans-serif" w:hAnsi="Arial;sans-serif"/>
          <w:b w:val="false"/>
          <w:color w:val="181818"/>
          <w:sz w:val="17"/>
        </w:rPr>
        <w:t xml:space="preserve">third </w:t>
      </w:r>
      <w:r>
        <w:rPr>
          <w:rFonts w:ascii="Arial;sans-serif" w:hAnsi="Arial;sans-serif"/>
          <w:b w:val="false"/>
          <w:color w:val="2F2F2F"/>
          <w:sz w:val="17"/>
        </w:rPr>
        <w:t>party.</w:t>
      </w:r>
    </w:p>
    <w:p>
      <w:pPr>
        <w:pStyle w:val="TextBody"/>
        <w:spacing w:before="4" w:after="283"/>
        <w:rPr/>
      </w:pPr>
      <w:r>
        <w:rPr/>
      </w:r>
    </w:p>
    <w:p>
      <w:pPr>
        <w:pStyle w:val="TextBody"/>
        <w:spacing w:lineRule="auto" w:line="295" w:before="0" w:after="0"/>
        <w:ind w:left="0" w:right="0" w:hanging="350"/>
        <w:rPr/>
      </w:pPr>
      <w:r>
        <w:rPr>
          <w:rFonts w:ascii="Arial;sans-serif" w:hAnsi="Arial;sans-serif"/>
          <w:b w:val="false"/>
          <w:color w:val="2F2F2F"/>
          <w:sz w:val="17"/>
        </w:rPr>
        <w:t>9.</w:t>
      </w:r>
      <w:r>
        <w:rPr>
          <w:rFonts w:ascii="Arial;sans-serif" w:hAnsi="Arial;sans-serif"/>
          <w:b w:val="false"/>
          <w:color w:val="181818"/>
          <w:sz w:val="17"/>
        </w:rPr>
        <w:t xml:space="preserve">I agree to keep </w:t>
      </w:r>
      <w:r>
        <w:rPr>
          <w:rFonts w:ascii="Arial;sans-serif" w:hAnsi="Arial;sans-serif"/>
          <w:b w:val="false"/>
          <w:color w:val="2F2F2F"/>
          <w:sz w:val="17"/>
        </w:rPr>
        <w:t xml:space="preserve">and </w:t>
      </w:r>
      <w:r>
        <w:rPr>
          <w:rFonts w:ascii="Arial;sans-serif" w:hAnsi="Arial;sans-serif"/>
          <w:b w:val="false"/>
          <w:color w:val="181818"/>
          <w:sz w:val="17"/>
        </w:rPr>
        <w:t xml:space="preserve">maintain </w:t>
      </w:r>
      <w:r>
        <w:rPr>
          <w:rFonts w:ascii="Arial;sans-serif" w:hAnsi="Arial;sans-serif"/>
          <w:b w:val="false"/>
          <w:color w:val="2F2F2F"/>
          <w:sz w:val="17"/>
        </w:rPr>
        <w:t xml:space="preserve">adequate and correct </w:t>
      </w:r>
      <w:r>
        <w:rPr>
          <w:rFonts w:ascii="Arial;sans-serif" w:hAnsi="Arial;sans-serif"/>
          <w:b w:val="false"/>
          <w:color w:val="181818"/>
          <w:sz w:val="17"/>
        </w:rPr>
        <w:t xml:space="preserve">record </w:t>
      </w:r>
      <w:r>
        <w:rPr>
          <w:rFonts w:ascii="Arial;sans-serif" w:hAnsi="Arial;sans-serif"/>
          <w:b w:val="false"/>
          <w:color w:val="2F2F2F"/>
          <w:sz w:val="17"/>
        </w:rPr>
        <w:t xml:space="preserve">of all </w:t>
      </w:r>
      <w:r>
        <w:rPr>
          <w:rFonts w:ascii="Arial;sans-serif" w:hAnsi="Arial;sans-serif"/>
          <w:b w:val="false"/>
          <w:color w:val="181818"/>
          <w:sz w:val="17"/>
        </w:rPr>
        <w:t xml:space="preserve">inventions </w:t>
      </w:r>
      <w:r>
        <w:rPr>
          <w:rFonts w:ascii="Arial;sans-serif" w:hAnsi="Arial;sans-serif"/>
          <w:b w:val="false"/>
          <w:color w:val="2F2F2F"/>
          <w:sz w:val="17"/>
        </w:rPr>
        <w:t xml:space="preserve">made </w:t>
      </w:r>
      <w:r>
        <w:rPr>
          <w:rFonts w:ascii="Arial;sans-serif" w:hAnsi="Arial;sans-serif"/>
          <w:b w:val="false"/>
          <w:color w:val="181818"/>
          <w:sz w:val="17"/>
        </w:rPr>
        <w:t xml:space="preserve">by me </w:t>
      </w:r>
      <w:r>
        <w:rPr>
          <w:rFonts w:ascii="Arial;sans-serif" w:hAnsi="Arial;sans-serif"/>
          <w:b w:val="false"/>
          <w:color w:val="2F2F2F"/>
          <w:sz w:val="17"/>
        </w:rPr>
        <w:t xml:space="preserve">(solely or </w:t>
      </w:r>
      <w:r>
        <w:rPr>
          <w:rFonts w:ascii="Arial;sans-serif" w:hAnsi="Arial;sans-serif"/>
          <w:b w:val="false"/>
          <w:color w:val="181818"/>
          <w:sz w:val="17"/>
        </w:rPr>
        <w:t xml:space="preserve">jointly </w:t>
      </w:r>
      <w:r>
        <w:rPr>
          <w:rFonts w:ascii="Arial;sans-serif" w:hAnsi="Arial;sans-serif"/>
          <w:b w:val="false"/>
          <w:color w:val="2F2F2F"/>
          <w:sz w:val="17"/>
        </w:rPr>
        <w:t xml:space="preserve">with others) during </w:t>
      </w:r>
      <w:r>
        <w:rPr>
          <w:rFonts w:ascii="Arial;sans-serif" w:hAnsi="Arial;sans-serif"/>
          <w:b w:val="false"/>
          <w:color w:val="181818"/>
          <w:sz w:val="17"/>
        </w:rPr>
        <w:t xml:space="preserve">the term </w:t>
      </w:r>
      <w:r>
        <w:rPr>
          <w:rFonts w:ascii="Arial;sans-serif" w:hAnsi="Arial;sans-serif"/>
          <w:b w:val="false"/>
          <w:color w:val="2F2F2F"/>
          <w:sz w:val="17"/>
        </w:rPr>
        <w:t xml:space="preserve">of </w:t>
      </w:r>
      <w:r>
        <w:rPr>
          <w:rFonts w:ascii="Arial;sans-serif" w:hAnsi="Arial;sans-serif"/>
          <w:b w:val="false"/>
          <w:color w:val="181818"/>
          <w:sz w:val="17"/>
        </w:rPr>
        <w:t xml:space="preserve">my </w:t>
      </w:r>
      <w:r>
        <w:rPr>
          <w:rFonts w:ascii="Arial;sans-serif" w:hAnsi="Arial;sans-serif"/>
          <w:b w:val="false"/>
          <w:color w:val="2F2F2F"/>
          <w:sz w:val="17"/>
        </w:rPr>
        <w:t xml:space="preserve">employment with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The records </w:t>
      </w:r>
      <w:r>
        <w:rPr>
          <w:rFonts w:ascii="Arial;sans-serif" w:hAnsi="Arial;sans-serif"/>
          <w:b w:val="false"/>
          <w:color w:val="2F2F2F"/>
          <w:sz w:val="17"/>
        </w:rPr>
        <w:t xml:space="preserve">will </w:t>
      </w:r>
      <w:r>
        <w:rPr>
          <w:rFonts w:ascii="Arial;sans-serif" w:hAnsi="Arial;sans-serif"/>
          <w:b w:val="false"/>
          <w:color w:val="181818"/>
          <w:sz w:val="17"/>
        </w:rPr>
        <w:t xml:space="preserve">be in the </w:t>
      </w:r>
      <w:r>
        <w:rPr>
          <w:rFonts w:ascii="Arial;sans-serif" w:hAnsi="Arial;sans-serif"/>
          <w:b w:val="false"/>
          <w:color w:val="2F2F2F"/>
          <w:sz w:val="17"/>
        </w:rPr>
        <w:t xml:space="preserve">form of </w:t>
      </w:r>
      <w:r>
        <w:rPr>
          <w:rFonts w:ascii="Arial;sans-serif" w:hAnsi="Arial;sans-serif"/>
          <w:b w:val="false"/>
          <w:color w:val="181818"/>
          <w:sz w:val="17"/>
        </w:rPr>
        <w:t xml:space="preserve">laboratory notebooks </w:t>
      </w:r>
      <w:r>
        <w:rPr>
          <w:rFonts w:ascii="Arial;sans-serif" w:hAnsi="Arial;sans-serif"/>
          <w:b w:val="false"/>
          <w:color w:val="2F2F2F"/>
          <w:sz w:val="17"/>
        </w:rPr>
        <w:t xml:space="preserve">and any other </w:t>
      </w:r>
      <w:r>
        <w:rPr>
          <w:rFonts w:ascii="Arial;sans-serif" w:hAnsi="Arial;sans-serif"/>
          <w:b w:val="false"/>
          <w:color w:val="181818"/>
          <w:sz w:val="17"/>
        </w:rPr>
        <w:t xml:space="preserve">format that </w:t>
      </w:r>
      <w:r>
        <w:rPr>
          <w:rFonts w:ascii="Arial;sans-serif" w:hAnsi="Arial;sans-serif"/>
          <w:b w:val="false"/>
          <w:color w:val="2F2F2F"/>
          <w:sz w:val="17"/>
        </w:rPr>
        <w:t xml:space="preserve">may be specified by the Company. </w:t>
      </w:r>
      <w:r>
        <w:rPr>
          <w:rFonts w:ascii="Arial;sans-serif" w:hAnsi="Arial;sans-serif"/>
          <w:b w:val="false"/>
          <w:color w:val="181818"/>
          <w:sz w:val="17"/>
        </w:rPr>
        <w:t xml:space="preserve">The </w:t>
      </w:r>
      <w:r>
        <w:rPr>
          <w:rFonts w:ascii="Arial;sans-serif" w:hAnsi="Arial;sans-serif"/>
          <w:b w:val="false"/>
          <w:color w:val="2F2F2F"/>
          <w:sz w:val="17"/>
        </w:rPr>
        <w:t xml:space="preserve">records </w:t>
      </w:r>
      <w:r>
        <w:rPr>
          <w:rFonts w:ascii="Arial;sans-serif" w:hAnsi="Arial;sans-serif"/>
          <w:b w:val="false"/>
          <w:color w:val="181818"/>
          <w:sz w:val="17"/>
        </w:rPr>
        <w:t xml:space="preserve">will </w:t>
      </w:r>
      <w:r>
        <w:rPr>
          <w:rFonts w:ascii="Arial;sans-serif" w:hAnsi="Arial;sans-serif"/>
          <w:b w:val="false"/>
          <w:color w:val="2F2F2F"/>
          <w:sz w:val="17"/>
        </w:rPr>
        <w:t xml:space="preserve">be available </w:t>
      </w:r>
      <w:r>
        <w:rPr>
          <w:rFonts w:ascii="Arial;sans-serif" w:hAnsi="Arial;sans-serif"/>
          <w:b w:val="false"/>
          <w:color w:val="181818"/>
          <w:sz w:val="17"/>
        </w:rPr>
        <w:t xml:space="preserve">to </w:t>
      </w:r>
      <w:r>
        <w:rPr>
          <w:rFonts w:ascii="Arial;sans-serif" w:hAnsi="Arial;sans-serif"/>
          <w:b w:val="false"/>
          <w:color w:val="2F2F2F"/>
          <w:sz w:val="17"/>
        </w:rPr>
        <w:t xml:space="preserve">and </w:t>
      </w:r>
      <w:r>
        <w:rPr>
          <w:rFonts w:ascii="Arial;sans-serif" w:hAnsi="Arial;sans-serif"/>
          <w:b w:val="false"/>
          <w:color w:val="181818"/>
          <w:sz w:val="17"/>
        </w:rPr>
        <w:t xml:space="preserve">remain the </w:t>
      </w:r>
      <w:r>
        <w:rPr>
          <w:rFonts w:ascii="Arial;sans-serif" w:hAnsi="Arial;sans-serif"/>
          <w:b w:val="false"/>
          <w:color w:val="2F2F2F"/>
          <w:sz w:val="17"/>
        </w:rPr>
        <w:t xml:space="preserve">sole </w:t>
      </w:r>
      <w:r>
        <w:rPr>
          <w:rFonts w:ascii="Arial;sans-serif" w:hAnsi="Arial;sans-serif"/>
          <w:b w:val="false"/>
          <w:color w:val="181818"/>
          <w:sz w:val="17"/>
        </w:rPr>
        <w:t xml:space="preserve">property </w:t>
      </w:r>
      <w:r>
        <w:rPr>
          <w:rFonts w:ascii="Arial;sans-serif" w:hAnsi="Arial;sans-serif"/>
          <w:b w:val="false"/>
          <w:color w:val="2F2F2F"/>
          <w:sz w:val="17"/>
        </w:rPr>
        <w:t xml:space="preserve">of </w:t>
      </w:r>
      <w:r>
        <w:rPr>
          <w:rFonts w:ascii="Arial;sans-serif" w:hAnsi="Arial;sans-serif"/>
          <w:b w:val="false"/>
          <w:color w:val="181818"/>
          <w:sz w:val="17"/>
        </w:rPr>
        <w:t xml:space="preserve">the </w:t>
      </w:r>
      <w:r>
        <w:rPr>
          <w:rFonts w:ascii="Arial;sans-serif" w:hAnsi="Arial;sans-serif"/>
          <w:b w:val="false"/>
          <w:color w:val="2F2F2F"/>
          <w:sz w:val="17"/>
        </w:rPr>
        <w:t xml:space="preserve">Company at all </w:t>
      </w:r>
      <w:r>
        <w:rPr>
          <w:rFonts w:ascii="Arial;sans-serif" w:hAnsi="Arial;sans-serif"/>
          <w:b w:val="false"/>
          <w:color w:val="181818"/>
          <w:sz w:val="17"/>
        </w:rPr>
        <w:t>t</w:t>
      </w:r>
      <w:r>
        <w:rPr>
          <w:rFonts w:ascii="Arial;sans-serif" w:hAnsi="Arial;sans-serif"/>
          <w:b w:val="false"/>
          <w:color w:val="444444"/>
          <w:sz w:val="17"/>
        </w:rPr>
        <w:t>i</w:t>
      </w:r>
      <w:r>
        <w:rPr>
          <w:rFonts w:ascii="Arial;sans-serif" w:hAnsi="Arial;sans-serif"/>
          <w:b w:val="false"/>
          <w:color w:val="181818"/>
          <w:sz w:val="17"/>
        </w:rPr>
        <w:t>mes.</w:t>
      </w:r>
    </w:p>
    <w:p>
      <w:pPr>
        <w:pStyle w:val="TextBody"/>
        <w:spacing w:before="4" w:after="283"/>
        <w:rPr/>
      </w:pPr>
      <w:r>
        <w:rPr/>
      </w:r>
    </w:p>
    <w:p>
      <w:pPr>
        <w:pStyle w:val="TextBody"/>
        <w:spacing w:lineRule="auto" w:line="240" w:before="95" w:after="283"/>
        <w:rPr>
          <w:rFonts w:ascii="Arial;sans-serif" w:hAnsi="Arial;sans-serif"/>
          <w:b w:val="false"/>
          <w:color w:val="181818"/>
          <w:sz w:val="17"/>
          <w:u w:val="single"/>
        </w:rPr>
      </w:pPr>
      <w:r>
        <w:rPr>
          <w:rFonts w:ascii="Arial;sans-serif" w:hAnsi="Arial;sans-serif"/>
          <w:b w:val="false"/>
          <w:color w:val="181818"/>
          <w:sz w:val="17"/>
          <w:u w:val="single"/>
        </w:rPr>
        <w:t>Inventions</w:t>
      </w:r>
    </w:p>
    <w:p>
      <w:pPr>
        <w:pStyle w:val="TextBody"/>
        <w:spacing w:before="5" w:after="283"/>
        <w:rPr/>
      </w:pPr>
      <w:r>
        <w:rPr/>
      </w:r>
    </w:p>
    <w:p>
      <w:pPr>
        <w:pStyle w:val="TextBody"/>
        <w:spacing w:lineRule="auto" w:line="295" w:before="0" w:after="0"/>
        <w:ind w:left="0" w:right="0" w:hanging="361"/>
        <w:rPr/>
      </w:pPr>
      <w:r>
        <w:rPr>
          <w:rFonts w:ascii="Arial;sans-serif" w:hAnsi="Arial;sans-serif"/>
          <w:b w:val="false"/>
          <w:color w:val="181818"/>
          <w:sz w:val="17"/>
        </w:rPr>
        <w:t xml:space="preserve">10.I </w:t>
      </w:r>
      <w:r>
        <w:rPr>
          <w:rFonts w:ascii="Arial;sans-serif" w:hAnsi="Arial;sans-serif"/>
          <w:b w:val="false"/>
          <w:color w:val="2F2F2F"/>
          <w:sz w:val="17"/>
        </w:rPr>
        <w:t xml:space="preserve">will </w:t>
      </w:r>
      <w:r>
        <w:rPr>
          <w:rFonts w:ascii="Arial;sans-serif" w:hAnsi="Arial;sans-serif"/>
          <w:b w:val="false"/>
          <w:color w:val="181818"/>
          <w:sz w:val="17"/>
        </w:rPr>
        <w:t xml:space="preserve">promptly </w:t>
      </w:r>
      <w:r>
        <w:rPr>
          <w:rFonts w:ascii="Arial;sans-serif" w:hAnsi="Arial;sans-serif"/>
          <w:b w:val="false"/>
          <w:color w:val="2F2F2F"/>
          <w:sz w:val="17"/>
        </w:rPr>
        <w:t xml:space="preserve">disclose </w:t>
      </w:r>
      <w:r>
        <w:rPr>
          <w:rFonts w:ascii="Arial;sans-serif" w:hAnsi="Arial;sans-serif"/>
          <w:b w:val="false"/>
          <w:color w:val="181818"/>
          <w:sz w:val="17"/>
        </w:rPr>
        <w:t xml:space="preserve">to </w:t>
      </w:r>
      <w:r>
        <w:rPr>
          <w:rFonts w:ascii="Arial;sans-serif" w:hAnsi="Arial;sans-serif"/>
          <w:b w:val="false"/>
          <w:color w:val="2F2F2F"/>
          <w:sz w:val="17"/>
        </w:rPr>
        <w:t xml:space="preserve">the Company, or any persons </w:t>
      </w:r>
      <w:r>
        <w:rPr>
          <w:rFonts w:ascii="Arial;sans-serif" w:hAnsi="Arial;sans-serif"/>
          <w:b w:val="false"/>
          <w:color w:val="181818"/>
          <w:sz w:val="17"/>
        </w:rPr>
        <w:t xml:space="preserve">designated </w:t>
      </w:r>
      <w:r>
        <w:rPr>
          <w:rFonts w:ascii="Arial;sans-serif" w:hAnsi="Arial;sans-serif"/>
          <w:b w:val="false"/>
          <w:color w:val="2F2F2F"/>
          <w:sz w:val="17"/>
        </w:rPr>
        <w:t xml:space="preserve">by </w:t>
      </w:r>
      <w:r>
        <w:rPr>
          <w:rFonts w:ascii="Arial;sans-serif" w:hAnsi="Arial;sans-serif"/>
          <w:b w:val="false"/>
          <w:color w:val="181818"/>
          <w:sz w:val="17"/>
        </w:rPr>
        <w:t xml:space="preserve">it, </w:t>
      </w:r>
      <w:r>
        <w:rPr>
          <w:rFonts w:ascii="Arial;sans-serif" w:hAnsi="Arial;sans-serif"/>
          <w:b w:val="false"/>
          <w:color w:val="2F2F2F"/>
          <w:sz w:val="17"/>
        </w:rPr>
        <w:t xml:space="preserve">all </w:t>
      </w:r>
      <w:r>
        <w:rPr>
          <w:rFonts w:ascii="Arial;sans-serif" w:hAnsi="Arial;sans-serif"/>
          <w:b w:val="false"/>
          <w:color w:val="181818"/>
          <w:sz w:val="17"/>
        </w:rPr>
        <w:t xml:space="preserve">improvements, inventions, </w:t>
      </w:r>
      <w:r>
        <w:rPr>
          <w:rFonts w:ascii="Arial;sans-serif" w:hAnsi="Arial;sans-serif"/>
          <w:b w:val="false"/>
          <w:color w:val="2F2F2F"/>
          <w:sz w:val="17"/>
        </w:rPr>
        <w:t xml:space="preserve">formulas, biological </w:t>
      </w:r>
      <w:r>
        <w:rPr>
          <w:rFonts w:ascii="Arial;sans-serif" w:hAnsi="Arial;sans-serif"/>
          <w:b w:val="false"/>
          <w:color w:val="181818"/>
          <w:sz w:val="17"/>
        </w:rPr>
        <w:t>materials, processes</w:t>
      </w:r>
      <w:r>
        <w:rPr>
          <w:rFonts w:ascii="Arial;sans-serif" w:hAnsi="Arial;sans-serif"/>
          <w:b w:val="false"/>
          <w:color w:val="444444"/>
          <w:sz w:val="17"/>
        </w:rPr>
        <w:t xml:space="preserve">, </w:t>
      </w:r>
      <w:r>
        <w:rPr>
          <w:rFonts w:ascii="Arial;sans-serif" w:hAnsi="Arial;sans-serif"/>
          <w:b w:val="false"/>
          <w:color w:val="181818"/>
          <w:sz w:val="17"/>
        </w:rPr>
        <w:t xml:space="preserve">techniques, </w:t>
      </w:r>
      <w:r>
        <w:rPr>
          <w:rFonts w:ascii="Arial;sans-serif" w:hAnsi="Arial;sans-serif"/>
          <w:b w:val="false"/>
          <w:color w:val="444444"/>
          <w:sz w:val="17"/>
        </w:rPr>
        <w:t>k</w:t>
      </w:r>
      <w:r>
        <w:rPr>
          <w:rFonts w:ascii="Arial;sans-serif" w:hAnsi="Arial;sans-serif"/>
          <w:b w:val="false"/>
          <w:color w:val="181818"/>
          <w:sz w:val="17"/>
        </w:rPr>
        <w:t xml:space="preserve">now-how, research </w:t>
      </w:r>
      <w:r>
        <w:rPr>
          <w:rFonts w:ascii="Arial;sans-serif" w:hAnsi="Arial;sans-serif"/>
          <w:b w:val="false"/>
          <w:color w:val="2F2F2F"/>
          <w:sz w:val="17"/>
        </w:rPr>
        <w:t xml:space="preserve">and </w:t>
      </w:r>
      <w:r>
        <w:rPr>
          <w:rFonts w:ascii="Arial;sans-serif" w:hAnsi="Arial;sans-serif"/>
          <w:b w:val="false"/>
          <w:color w:val="181818"/>
          <w:sz w:val="17"/>
        </w:rPr>
        <w:t>data, whether or not patentable</w:t>
      </w:r>
      <w:r>
        <w:rPr>
          <w:rFonts w:ascii="Arial;sans-serif" w:hAnsi="Arial;sans-serif"/>
          <w:b w:val="false"/>
          <w:color w:val="444444"/>
          <w:sz w:val="17"/>
        </w:rPr>
        <w:t xml:space="preserve">, </w:t>
      </w:r>
      <w:r>
        <w:rPr>
          <w:rFonts w:ascii="Arial;sans-serif" w:hAnsi="Arial;sans-serif"/>
          <w:b w:val="false"/>
          <w:color w:val="2F2F2F"/>
          <w:sz w:val="17"/>
        </w:rPr>
        <w:t xml:space="preserve">which </w:t>
      </w:r>
      <w:r>
        <w:rPr>
          <w:rFonts w:ascii="Arial;sans-serif" w:hAnsi="Arial;sans-serif"/>
          <w:b w:val="false"/>
          <w:color w:val="181818"/>
          <w:sz w:val="17"/>
        </w:rPr>
        <w:t xml:space="preserve">are made </w:t>
      </w:r>
      <w:r>
        <w:rPr>
          <w:rFonts w:ascii="Arial;sans-serif" w:hAnsi="Arial;sans-serif"/>
          <w:b w:val="false"/>
          <w:color w:val="2F2F2F"/>
          <w:sz w:val="17"/>
        </w:rPr>
        <w:t xml:space="preserve">or conceived or </w:t>
      </w:r>
      <w:r>
        <w:rPr>
          <w:rFonts w:ascii="Arial;sans-serif" w:hAnsi="Arial;sans-serif"/>
          <w:b w:val="false"/>
          <w:color w:val="181818"/>
          <w:sz w:val="17"/>
        </w:rPr>
        <w:t xml:space="preserve">reduced </w:t>
      </w:r>
      <w:r>
        <w:rPr>
          <w:rFonts w:ascii="Arial;sans-serif" w:hAnsi="Arial;sans-serif"/>
          <w:b w:val="false"/>
          <w:color w:val="444444"/>
          <w:sz w:val="17"/>
        </w:rPr>
        <w:t xml:space="preserve">to </w:t>
      </w:r>
      <w:r>
        <w:rPr>
          <w:rFonts w:ascii="Arial;sans-serif" w:hAnsi="Arial;sans-serif"/>
          <w:b w:val="false"/>
          <w:color w:val="2F2F2F"/>
          <w:sz w:val="17"/>
        </w:rPr>
        <w:t xml:space="preserve">practice or </w:t>
      </w:r>
      <w:r>
        <w:rPr>
          <w:rFonts w:ascii="Arial;sans-serif" w:hAnsi="Arial;sans-serif"/>
          <w:b w:val="false"/>
          <w:color w:val="181818"/>
          <w:sz w:val="17"/>
        </w:rPr>
        <w:t>learn</w:t>
      </w:r>
      <w:r>
        <w:rPr>
          <w:rFonts w:ascii="Arial;sans-serif" w:hAnsi="Arial;sans-serif"/>
          <w:b w:val="false"/>
          <w:color w:val="444444"/>
          <w:sz w:val="17"/>
        </w:rPr>
        <w:t xml:space="preserve">ed </w:t>
      </w:r>
      <w:r>
        <w:rPr>
          <w:rFonts w:ascii="Arial;sans-serif" w:hAnsi="Arial;sans-serif"/>
          <w:b w:val="false"/>
          <w:color w:val="181818"/>
          <w:sz w:val="17"/>
        </w:rPr>
        <w:t xml:space="preserve">by me, </w:t>
      </w:r>
      <w:r>
        <w:rPr>
          <w:rFonts w:ascii="Arial;sans-serif" w:hAnsi="Arial;sans-serif"/>
          <w:b w:val="false"/>
          <w:color w:val="2F2F2F"/>
          <w:sz w:val="17"/>
        </w:rPr>
        <w:t xml:space="preserve">either </w:t>
      </w:r>
      <w:r>
        <w:rPr>
          <w:rFonts w:ascii="Arial;sans-serif" w:hAnsi="Arial;sans-serif"/>
          <w:b w:val="false"/>
          <w:color w:val="181818"/>
          <w:sz w:val="17"/>
        </w:rPr>
        <w:t xml:space="preserve">alone </w:t>
      </w:r>
      <w:r>
        <w:rPr>
          <w:rFonts w:ascii="Arial;sans-serif" w:hAnsi="Arial;sans-serif"/>
          <w:b w:val="false"/>
          <w:color w:val="2F2F2F"/>
          <w:sz w:val="17"/>
        </w:rPr>
        <w:t xml:space="preserve">or </w:t>
      </w:r>
      <w:r>
        <w:rPr>
          <w:rFonts w:ascii="Arial;sans-serif" w:hAnsi="Arial;sans-serif"/>
          <w:b w:val="false"/>
          <w:color w:val="181818"/>
          <w:sz w:val="17"/>
        </w:rPr>
        <w:t xml:space="preserve">jointly </w:t>
      </w:r>
      <w:r>
        <w:rPr>
          <w:rFonts w:ascii="Arial;sans-serif" w:hAnsi="Arial;sans-serif"/>
          <w:b w:val="false"/>
          <w:color w:val="2F2F2F"/>
          <w:sz w:val="17"/>
        </w:rPr>
        <w:t xml:space="preserve">with others, </w:t>
      </w:r>
      <w:r>
        <w:rPr>
          <w:rFonts w:ascii="Arial;sans-serif" w:hAnsi="Arial;sans-serif"/>
          <w:b w:val="false"/>
          <w:color w:val="181818"/>
          <w:sz w:val="17"/>
        </w:rPr>
        <w:t xml:space="preserve">during the </w:t>
      </w:r>
      <w:r>
        <w:rPr>
          <w:rFonts w:ascii="Arial;sans-serif" w:hAnsi="Arial;sans-serif"/>
          <w:b w:val="false"/>
          <w:color w:val="2F2F2F"/>
          <w:sz w:val="17"/>
        </w:rPr>
        <w:t xml:space="preserve">period of </w:t>
      </w:r>
      <w:r>
        <w:rPr>
          <w:rFonts w:ascii="Arial;sans-serif" w:hAnsi="Arial;sans-serif"/>
          <w:b w:val="false"/>
          <w:color w:val="181818"/>
          <w:sz w:val="17"/>
        </w:rPr>
        <w:t xml:space="preserve">my </w:t>
      </w:r>
      <w:r>
        <w:rPr>
          <w:rFonts w:ascii="Arial;sans-serif" w:hAnsi="Arial;sans-serif"/>
          <w:b w:val="false"/>
          <w:color w:val="2F2F2F"/>
          <w:sz w:val="17"/>
        </w:rPr>
        <w:t xml:space="preserve">employment and </w:t>
      </w:r>
      <w:r>
        <w:rPr>
          <w:rFonts w:ascii="Arial;sans-serif" w:hAnsi="Arial;sans-serif"/>
          <w:b w:val="false"/>
          <w:color w:val="181818"/>
          <w:sz w:val="17"/>
        </w:rPr>
        <w:t>whi</w:t>
      </w:r>
      <w:r>
        <w:rPr>
          <w:rFonts w:ascii="Arial;sans-serif" w:hAnsi="Arial;sans-serif"/>
          <w:b w:val="false"/>
          <w:color w:val="444444"/>
          <w:sz w:val="17"/>
        </w:rPr>
        <w:t xml:space="preserve">ch </w:t>
      </w:r>
      <w:r>
        <w:rPr>
          <w:rFonts w:ascii="Arial;sans-serif" w:hAnsi="Arial;sans-serif"/>
          <w:b w:val="false"/>
          <w:color w:val="2F2F2F"/>
          <w:sz w:val="17"/>
        </w:rPr>
        <w:t xml:space="preserve">are </w:t>
      </w:r>
      <w:r>
        <w:rPr>
          <w:rFonts w:ascii="Arial;sans-serif" w:hAnsi="Arial;sans-serif"/>
          <w:b w:val="false"/>
          <w:color w:val="181818"/>
          <w:sz w:val="17"/>
        </w:rPr>
        <w:t>relat</w:t>
      </w:r>
      <w:r>
        <w:rPr>
          <w:rFonts w:ascii="Arial;sans-serif" w:hAnsi="Arial;sans-serif"/>
          <w:b w:val="false"/>
          <w:color w:val="444444"/>
          <w:sz w:val="17"/>
        </w:rPr>
        <w:t>e</w:t>
      </w:r>
      <w:r>
        <w:rPr>
          <w:rFonts w:ascii="Arial;sans-serif" w:hAnsi="Arial;sans-serif"/>
          <w:b w:val="false"/>
          <w:color w:val="181818"/>
          <w:sz w:val="17"/>
        </w:rPr>
        <w:t xml:space="preserve">d </w:t>
      </w:r>
      <w:r>
        <w:rPr>
          <w:rFonts w:ascii="Arial;sans-serif" w:hAnsi="Arial;sans-serif"/>
          <w:b w:val="false"/>
          <w:color w:val="2F2F2F"/>
          <w:sz w:val="17"/>
        </w:rPr>
        <w:t xml:space="preserve">to or </w:t>
      </w:r>
      <w:r>
        <w:rPr>
          <w:rFonts w:ascii="Arial;sans-serif" w:hAnsi="Arial;sans-serif"/>
          <w:b w:val="false"/>
          <w:color w:val="181818"/>
          <w:sz w:val="17"/>
        </w:rPr>
        <w:t xml:space="preserve">useful in the </w:t>
      </w:r>
      <w:r>
        <w:rPr>
          <w:rFonts w:ascii="Arial;sans-serif" w:hAnsi="Arial;sans-serif"/>
          <w:b w:val="false"/>
          <w:color w:val="2F2F2F"/>
          <w:sz w:val="17"/>
        </w:rPr>
        <w:t xml:space="preserve">actual </w:t>
      </w:r>
      <w:r>
        <w:rPr>
          <w:rFonts w:ascii="Arial;sans-serif" w:hAnsi="Arial;sans-serif"/>
          <w:b w:val="false"/>
          <w:color w:val="181818"/>
          <w:sz w:val="17"/>
        </w:rPr>
        <w:t xml:space="preserve">or </w:t>
      </w:r>
      <w:r>
        <w:rPr>
          <w:rFonts w:ascii="Arial;sans-serif" w:hAnsi="Arial;sans-serif"/>
          <w:b w:val="false"/>
          <w:color w:val="2F2F2F"/>
          <w:sz w:val="17"/>
        </w:rPr>
        <w:t xml:space="preserve">anticipated </w:t>
      </w:r>
      <w:r>
        <w:rPr>
          <w:rFonts w:ascii="Arial;sans-serif" w:hAnsi="Arial;sans-serif"/>
          <w:b w:val="false"/>
          <w:color w:val="181818"/>
          <w:sz w:val="17"/>
        </w:rPr>
        <w:t xml:space="preserve">business </w:t>
      </w:r>
      <w:r>
        <w:rPr>
          <w:rFonts w:ascii="Arial;sans-serif" w:hAnsi="Arial;sans-serif"/>
          <w:b w:val="false"/>
          <w:color w:val="2F2F2F"/>
          <w:sz w:val="17"/>
        </w:rPr>
        <w:t xml:space="preserve">of </w:t>
      </w:r>
      <w:r>
        <w:rPr>
          <w:rFonts w:ascii="Arial;sans-serif" w:hAnsi="Arial;sans-serif"/>
          <w:b w:val="false"/>
          <w:color w:val="181818"/>
          <w:sz w:val="17"/>
        </w:rPr>
        <w:t xml:space="preserve">the </w:t>
      </w:r>
      <w:r>
        <w:rPr>
          <w:rFonts w:ascii="Arial;sans-serif" w:hAnsi="Arial;sans-serif"/>
          <w:b w:val="false"/>
          <w:color w:val="2F2F2F"/>
          <w:sz w:val="17"/>
        </w:rPr>
        <w:t xml:space="preserve">Company or the Company's actual </w:t>
      </w:r>
      <w:r>
        <w:rPr>
          <w:rFonts w:ascii="Arial;sans-serif" w:hAnsi="Arial;sans-serif"/>
          <w:b w:val="false"/>
          <w:color w:val="181818"/>
          <w:sz w:val="17"/>
        </w:rPr>
        <w:t xml:space="preserve">or </w:t>
      </w:r>
      <w:r>
        <w:rPr>
          <w:rFonts w:ascii="Arial;sans-serif" w:hAnsi="Arial;sans-serif"/>
          <w:b w:val="false"/>
          <w:color w:val="2F2F2F"/>
          <w:sz w:val="17"/>
        </w:rPr>
        <w:t xml:space="preserve">anticipated </w:t>
      </w:r>
      <w:r>
        <w:rPr>
          <w:rFonts w:ascii="Arial;sans-serif" w:hAnsi="Arial;sans-serif"/>
          <w:b w:val="false"/>
          <w:color w:val="181818"/>
          <w:sz w:val="17"/>
        </w:rPr>
        <w:t xml:space="preserve">research </w:t>
      </w:r>
      <w:r>
        <w:rPr>
          <w:rFonts w:ascii="Arial;sans-serif" w:hAnsi="Arial;sans-serif"/>
          <w:b w:val="false"/>
          <w:color w:val="2F2F2F"/>
          <w:sz w:val="17"/>
        </w:rPr>
        <w:t xml:space="preserve">or development efforts, or </w:t>
      </w:r>
      <w:r>
        <w:rPr>
          <w:rFonts w:ascii="Arial;sans-serif" w:hAnsi="Arial;sans-serif"/>
          <w:b w:val="false"/>
          <w:color w:val="181818"/>
          <w:sz w:val="17"/>
        </w:rPr>
        <w:t xml:space="preserve">result </w:t>
      </w:r>
      <w:r>
        <w:rPr>
          <w:rFonts w:ascii="Arial;sans-serif" w:hAnsi="Arial;sans-serif"/>
          <w:b w:val="false"/>
          <w:color w:val="2F2F2F"/>
          <w:sz w:val="17"/>
        </w:rPr>
        <w:t xml:space="preserve">from tasks assigned me </w:t>
      </w:r>
      <w:r>
        <w:rPr>
          <w:rFonts w:ascii="Arial;sans-serif" w:hAnsi="Arial;sans-serif"/>
          <w:b w:val="false"/>
          <w:color w:val="181818"/>
          <w:sz w:val="17"/>
        </w:rPr>
        <w:t xml:space="preserve">by the </w:t>
      </w:r>
      <w:r>
        <w:rPr>
          <w:rFonts w:ascii="Arial;sans-serif" w:hAnsi="Arial;sans-serif"/>
          <w:b w:val="false"/>
          <w:color w:val="2F2F2F"/>
          <w:sz w:val="17"/>
        </w:rPr>
        <w:t xml:space="preserve">Company or </w:t>
      </w:r>
      <w:r>
        <w:rPr>
          <w:rFonts w:ascii="Arial;sans-serif" w:hAnsi="Arial;sans-serif"/>
          <w:b w:val="false"/>
          <w:color w:val="181818"/>
          <w:sz w:val="17"/>
        </w:rPr>
        <w:t xml:space="preserve">result from use </w:t>
      </w:r>
      <w:r>
        <w:rPr>
          <w:rFonts w:ascii="Arial;sans-serif" w:hAnsi="Arial;sans-serif"/>
          <w:b w:val="false"/>
          <w:color w:val="2F2F2F"/>
          <w:sz w:val="17"/>
        </w:rPr>
        <w:t xml:space="preserve">of </w:t>
      </w:r>
      <w:r>
        <w:rPr>
          <w:rFonts w:ascii="Arial;sans-serif" w:hAnsi="Arial;sans-serif"/>
          <w:b w:val="false"/>
          <w:color w:val="181818"/>
          <w:sz w:val="17"/>
        </w:rPr>
        <w:t xml:space="preserve">premises, </w:t>
      </w:r>
      <w:r>
        <w:rPr>
          <w:rFonts w:ascii="Arial;sans-serif" w:hAnsi="Arial;sans-serif"/>
          <w:b w:val="false"/>
          <w:color w:val="2F2F2F"/>
          <w:sz w:val="17"/>
        </w:rPr>
        <w:t xml:space="preserve">or equipment or </w:t>
      </w:r>
      <w:r>
        <w:rPr>
          <w:rFonts w:ascii="Arial;sans-serif" w:hAnsi="Arial;sans-serif"/>
          <w:b w:val="false"/>
          <w:color w:val="181818"/>
          <w:sz w:val="17"/>
        </w:rPr>
        <w:t xml:space="preserve">materials, </w:t>
      </w:r>
      <w:r>
        <w:rPr>
          <w:rFonts w:ascii="Arial;sans-serif" w:hAnsi="Arial;sans-serif"/>
          <w:b w:val="false"/>
          <w:color w:val="2F2F2F"/>
          <w:sz w:val="17"/>
        </w:rPr>
        <w:t xml:space="preserve">possessed, owned, </w:t>
      </w:r>
      <w:r>
        <w:rPr>
          <w:rFonts w:ascii="Arial;sans-serif" w:hAnsi="Arial;sans-serif"/>
          <w:b w:val="false"/>
          <w:color w:val="181818"/>
          <w:sz w:val="17"/>
        </w:rPr>
        <w:t xml:space="preserve">leased, </w:t>
      </w:r>
      <w:r>
        <w:rPr>
          <w:rFonts w:ascii="Arial;sans-serif" w:hAnsi="Arial;sans-serif"/>
          <w:b w:val="false"/>
          <w:color w:val="2F2F2F"/>
          <w:sz w:val="17"/>
        </w:rPr>
        <w:t xml:space="preserve">or contracted for by </w:t>
      </w:r>
      <w:r>
        <w:rPr>
          <w:rFonts w:ascii="Arial;sans-serif" w:hAnsi="Arial;sans-serif"/>
          <w:b w:val="false"/>
          <w:color w:val="181818"/>
          <w:sz w:val="17"/>
        </w:rPr>
        <w:t xml:space="preserve">the </w:t>
      </w:r>
      <w:r>
        <w:rPr>
          <w:rFonts w:ascii="Arial;sans-serif" w:hAnsi="Arial;sans-serif"/>
          <w:b w:val="false"/>
          <w:color w:val="2F2F2F"/>
          <w:sz w:val="17"/>
        </w:rPr>
        <w:t xml:space="preserve">Company (all said </w:t>
      </w:r>
      <w:r>
        <w:rPr>
          <w:rFonts w:ascii="Arial;sans-serif" w:hAnsi="Arial;sans-serif"/>
          <w:b w:val="false"/>
          <w:color w:val="181818"/>
          <w:sz w:val="17"/>
        </w:rPr>
        <w:t xml:space="preserve">improvements, inventions, </w:t>
      </w:r>
      <w:r>
        <w:rPr>
          <w:rFonts w:ascii="Arial;sans-serif" w:hAnsi="Arial;sans-serif"/>
          <w:b w:val="false"/>
          <w:color w:val="2F2F2F"/>
          <w:sz w:val="17"/>
        </w:rPr>
        <w:t xml:space="preserve">formulas, </w:t>
      </w:r>
      <w:r>
        <w:rPr>
          <w:rFonts w:ascii="Arial;sans-serif" w:hAnsi="Arial;sans-serif"/>
          <w:b w:val="false"/>
          <w:color w:val="181818"/>
          <w:sz w:val="17"/>
        </w:rPr>
        <w:t xml:space="preserve">biological materials, </w:t>
      </w:r>
      <w:r>
        <w:rPr>
          <w:rFonts w:ascii="Arial;sans-serif" w:hAnsi="Arial;sans-serif"/>
          <w:b w:val="false"/>
          <w:color w:val="2F2F2F"/>
          <w:sz w:val="17"/>
        </w:rPr>
        <w:t xml:space="preserve">processes, techniques, </w:t>
      </w:r>
      <w:r>
        <w:rPr>
          <w:rFonts w:ascii="Arial;sans-serif" w:hAnsi="Arial;sans-serif"/>
          <w:b w:val="false"/>
          <w:color w:val="181818"/>
          <w:sz w:val="17"/>
        </w:rPr>
        <w:t xml:space="preserve">know-how, </w:t>
      </w:r>
      <w:r>
        <w:rPr>
          <w:rFonts w:ascii="Arial;sans-serif" w:hAnsi="Arial;sans-serif"/>
          <w:b w:val="false"/>
          <w:color w:val="2F2F2F"/>
          <w:sz w:val="17"/>
        </w:rPr>
        <w:t xml:space="preserve">and </w:t>
      </w:r>
      <w:r>
        <w:rPr>
          <w:rFonts w:ascii="Arial;sans-serif" w:hAnsi="Arial;sans-serif"/>
          <w:b w:val="false"/>
          <w:color w:val="181818"/>
          <w:sz w:val="17"/>
        </w:rPr>
        <w:t xml:space="preserve">data </w:t>
      </w:r>
      <w:r>
        <w:rPr>
          <w:rFonts w:ascii="Arial;sans-serif" w:hAnsi="Arial;sans-serif"/>
          <w:b w:val="false"/>
          <w:color w:val="2F2F2F"/>
          <w:sz w:val="17"/>
        </w:rPr>
        <w:t xml:space="preserve">shall </w:t>
      </w:r>
      <w:r>
        <w:rPr>
          <w:rFonts w:ascii="Arial;sans-serif" w:hAnsi="Arial;sans-serif"/>
          <w:b w:val="false"/>
          <w:color w:val="181818"/>
          <w:sz w:val="17"/>
        </w:rPr>
        <w:t xml:space="preserve">be </w:t>
      </w:r>
      <w:r>
        <w:rPr>
          <w:rFonts w:ascii="Arial;sans-serif" w:hAnsi="Arial;sans-serif"/>
          <w:b w:val="false"/>
          <w:color w:val="2F2F2F"/>
          <w:sz w:val="17"/>
        </w:rPr>
        <w:t xml:space="preserve">collectively </w:t>
      </w:r>
      <w:r>
        <w:rPr>
          <w:rFonts w:ascii="Arial;sans-serif" w:hAnsi="Arial;sans-serif"/>
          <w:b w:val="false"/>
          <w:color w:val="181818"/>
          <w:sz w:val="17"/>
        </w:rPr>
        <w:t xml:space="preserve">hereinafter </w:t>
      </w:r>
      <w:r>
        <w:rPr>
          <w:rFonts w:ascii="Arial;sans-serif" w:hAnsi="Arial;sans-serif"/>
          <w:b w:val="false"/>
          <w:color w:val="2F2F2F"/>
          <w:sz w:val="17"/>
        </w:rPr>
        <w:t xml:space="preserve">called </w:t>
      </w:r>
      <w:r>
        <w:rPr>
          <w:rFonts w:ascii="Arial;sans-serif" w:hAnsi="Arial;sans-serif"/>
          <w:b w:val="false"/>
          <w:color w:val="444444"/>
          <w:sz w:val="17"/>
        </w:rPr>
        <w:t>"</w:t>
      </w:r>
      <w:r>
        <w:rPr>
          <w:rFonts w:ascii="Arial;sans-serif" w:hAnsi="Arial;sans-serif"/>
          <w:b w:val="false"/>
          <w:color w:val="181818"/>
          <w:sz w:val="17"/>
        </w:rPr>
        <w:t>Inventions") 1</w:t>
      </w:r>
    </w:p>
    <w:p>
      <w:pPr>
        <w:pStyle w:val="TextBody"/>
        <w:spacing w:before="4" w:after="283"/>
        <w:rPr/>
      </w:pPr>
      <w:r>
        <w:rPr/>
      </w:r>
    </w:p>
    <w:p>
      <w:pPr>
        <w:pStyle w:val="TextBody"/>
        <w:spacing w:lineRule="auto" w:line="240" w:before="95" w:after="283"/>
        <w:rPr>
          <w:rFonts w:ascii="Arial;sans-serif" w:hAnsi="Arial;sans-serif"/>
          <w:b w:val="false"/>
          <w:color w:val="2F2F2F"/>
          <w:sz w:val="17"/>
          <w:u w:val="single"/>
        </w:rPr>
      </w:pPr>
      <w:r>
        <w:rPr>
          <w:rFonts w:ascii="Arial;sans-serif" w:hAnsi="Arial;sans-serif"/>
          <w:b w:val="false"/>
          <w:color w:val="2F2F2F"/>
          <w:sz w:val="17"/>
          <w:u w:val="single"/>
        </w:rPr>
        <w:t>Assignment and Cooperation</w:t>
      </w:r>
    </w:p>
    <w:p>
      <w:pPr>
        <w:pStyle w:val="TextBody"/>
        <w:spacing w:before="4" w:after="283"/>
        <w:rPr/>
      </w:pPr>
      <w:r>
        <w:rPr/>
      </w:r>
    </w:p>
    <w:p>
      <w:pPr>
        <w:pStyle w:val="TextBody"/>
        <w:spacing w:lineRule="auto" w:line="295" w:before="0" w:after="0"/>
        <w:ind w:left="0" w:right="0" w:hanging="356"/>
        <w:rPr/>
      </w:pPr>
      <w:r>
        <w:rPr>
          <w:rFonts w:ascii="Arial;sans-serif" w:hAnsi="Arial;sans-serif"/>
          <w:b w:val="false"/>
          <w:color w:val="181818"/>
          <w:sz w:val="17"/>
        </w:rPr>
        <w:t>11.</w:t>
      </w:r>
      <w:r>
        <w:rPr>
          <w:color w:val="000000"/>
        </w:rPr>
        <w:t>    </w:t>
      </w:r>
      <w:r>
        <w:rPr>
          <w:rFonts w:ascii="Arial;sans-serif" w:hAnsi="Arial;sans-serif"/>
          <w:b w:val="false"/>
          <w:color w:val="181818"/>
          <w:sz w:val="17"/>
        </w:rPr>
        <w:t xml:space="preserve">My ownership interest </w:t>
      </w:r>
      <w:r>
        <w:rPr>
          <w:rFonts w:ascii="Arial;sans-serif" w:hAnsi="Arial;sans-serif"/>
          <w:b w:val="false"/>
          <w:color w:val="2F2F2F"/>
          <w:sz w:val="17"/>
        </w:rPr>
        <w:t xml:space="preserve">in all </w:t>
      </w:r>
      <w:r>
        <w:rPr>
          <w:rFonts w:ascii="Arial;sans-serif" w:hAnsi="Arial;sans-serif"/>
          <w:b w:val="false"/>
          <w:color w:val="181818"/>
          <w:sz w:val="17"/>
        </w:rPr>
        <w:t xml:space="preserve">Inventions that I make, </w:t>
      </w:r>
      <w:r>
        <w:rPr>
          <w:rFonts w:ascii="Arial;sans-serif" w:hAnsi="Arial;sans-serif"/>
          <w:b w:val="false"/>
          <w:color w:val="2F2F2F"/>
          <w:sz w:val="17"/>
        </w:rPr>
        <w:t xml:space="preserve">conceive, </w:t>
      </w:r>
      <w:r>
        <w:rPr>
          <w:rFonts w:ascii="Arial;sans-serif" w:hAnsi="Arial;sans-serif"/>
          <w:b w:val="false"/>
          <w:color w:val="181818"/>
          <w:sz w:val="17"/>
        </w:rPr>
        <w:t xml:space="preserve">reduce to </w:t>
      </w:r>
      <w:r>
        <w:rPr>
          <w:rFonts w:ascii="Arial;sans-serif" w:hAnsi="Arial;sans-serif"/>
          <w:b w:val="false"/>
          <w:color w:val="2F2F2F"/>
          <w:sz w:val="17"/>
        </w:rPr>
        <w:t xml:space="preserve">practice, or develop (in whole or </w:t>
      </w:r>
      <w:r>
        <w:rPr>
          <w:rFonts w:ascii="Arial;sans-serif" w:hAnsi="Arial;sans-serif"/>
          <w:b w:val="false"/>
          <w:color w:val="181818"/>
          <w:sz w:val="17"/>
        </w:rPr>
        <w:t xml:space="preserve">in part, </w:t>
      </w:r>
      <w:r>
        <w:rPr>
          <w:rFonts w:ascii="Arial;sans-serif" w:hAnsi="Arial;sans-serif"/>
          <w:b w:val="false"/>
          <w:color w:val="2F2F2F"/>
          <w:sz w:val="17"/>
        </w:rPr>
        <w:t xml:space="preserve">either alone or </w:t>
      </w:r>
      <w:r>
        <w:rPr>
          <w:rFonts w:ascii="Arial;sans-serif" w:hAnsi="Arial;sans-serif"/>
          <w:b w:val="false"/>
          <w:color w:val="181818"/>
          <w:sz w:val="17"/>
        </w:rPr>
        <w:t xml:space="preserve">jointly </w:t>
      </w:r>
      <w:r>
        <w:rPr>
          <w:rFonts w:ascii="Arial;sans-serif" w:hAnsi="Arial;sans-serif"/>
          <w:b w:val="false"/>
          <w:color w:val="2F2F2F"/>
          <w:sz w:val="17"/>
        </w:rPr>
        <w:t xml:space="preserve">with others) </w:t>
      </w:r>
      <w:r>
        <w:rPr>
          <w:rFonts w:ascii="Arial;sans-serif" w:hAnsi="Arial;sans-serif"/>
          <w:b w:val="false"/>
          <w:color w:val="181818"/>
          <w:sz w:val="17"/>
        </w:rPr>
        <w:t xml:space="preserve">during my employment, </w:t>
      </w:r>
      <w:r>
        <w:rPr>
          <w:rFonts w:ascii="Arial;sans-serif" w:hAnsi="Arial;sans-serif"/>
          <w:b w:val="false"/>
          <w:color w:val="2F2F2F"/>
          <w:sz w:val="17"/>
        </w:rPr>
        <w:t xml:space="preserve">shall be </w:t>
      </w:r>
      <w:r>
        <w:rPr>
          <w:rFonts w:ascii="Arial;sans-serif" w:hAnsi="Arial;sans-serif"/>
          <w:b w:val="false"/>
          <w:color w:val="181818"/>
          <w:sz w:val="17"/>
        </w:rPr>
        <w:t xml:space="preserve">the </w:t>
      </w:r>
      <w:r>
        <w:rPr>
          <w:rFonts w:ascii="Arial;sans-serif" w:hAnsi="Arial;sans-serif"/>
          <w:b w:val="false"/>
          <w:color w:val="444444"/>
          <w:sz w:val="17"/>
        </w:rPr>
        <w:t>so</w:t>
      </w:r>
      <w:r>
        <w:rPr>
          <w:rFonts w:ascii="Arial;sans-serif" w:hAnsi="Arial;sans-serif"/>
          <w:b w:val="false"/>
          <w:color w:val="181818"/>
          <w:sz w:val="17"/>
        </w:rPr>
        <w:t xml:space="preserve">le </w:t>
      </w:r>
      <w:r>
        <w:rPr>
          <w:rFonts w:ascii="Arial;sans-serif" w:hAnsi="Arial;sans-serif"/>
          <w:b w:val="false"/>
          <w:color w:val="2F2F2F"/>
          <w:sz w:val="17"/>
        </w:rPr>
        <w:t xml:space="preserve">and exclusive property of </w:t>
      </w:r>
      <w:r>
        <w:rPr>
          <w:rFonts w:ascii="Arial;sans-serif" w:hAnsi="Arial;sans-serif"/>
          <w:b w:val="false"/>
          <w:color w:val="181818"/>
          <w:sz w:val="17"/>
        </w:rPr>
        <w:t xml:space="preserve">the </w:t>
      </w:r>
      <w:r>
        <w:rPr>
          <w:rFonts w:ascii="Arial;sans-serif" w:hAnsi="Arial;sans-serif"/>
          <w:b w:val="false"/>
          <w:color w:val="2F2F2F"/>
          <w:sz w:val="17"/>
        </w:rPr>
        <w:t xml:space="preserve">Company and </w:t>
      </w:r>
      <w:r>
        <w:rPr>
          <w:rFonts w:ascii="Arial;sans-serif" w:hAnsi="Arial;sans-serif"/>
          <w:b w:val="false"/>
          <w:color w:val="181818"/>
          <w:sz w:val="17"/>
        </w:rPr>
        <w:t xml:space="preserve">its </w:t>
      </w:r>
      <w:r>
        <w:rPr>
          <w:rFonts w:ascii="Arial;sans-serif" w:hAnsi="Arial;sans-serif"/>
          <w:b w:val="false"/>
          <w:color w:val="2F2F2F"/>
          <w:sz w:val="17"/>
        </w:rPr>
        <w:t xml:space="preserve">assigns, and </w:t>
      </w:r>
      <w:r>
        <w:rPr>
          <w:rFonts w:ascii="Arial;sans-serif" w:hAnsi="Arial;sans-serif"/>
          <w:b w:val="false"/>
          <w:color w:val="181818"/>
          <w:sz w:val="17"/>
        </w:rPr>
        <w:t xml:space="preserve">the </w:t>
      </w:r>
      <w:r>
        <w:rPr>
          <w:rFonts w:ascii="Arial;sans-serif" w:hAnsi="Arial;sans-serif"/>
          <w:b w:val="false"/>
          <w:color w:val="2F2F2F"/>
          <w:sz w:val="17"/>
        </w:rPr>
        <w:t xml:space="preserve">Company and its assigns shall be </w:t>
      </w:r>
      <w:r>
        <w:rPr>
          <w:rFonts w:ascii="Arial;sans-serif" w:hAnsi="Arial;sans-serif"/>
          <w:b w:val="false"/>
          <w:color w:val="181818"/>
          <w:sz w:val="17"/>
        </w:rPr>
        <w:t xml:space="preserve">the </w:t>
      </w:r>
      <w:r>
        <w:rPr>
          <w:rFonts w:ascii="Arial;sans-serif" w:hAnsi="Arial;sans-serif"/>
          <w:b w:val="false"/>
          <w:color w:val="2F2F2F"/>
          <w:sz w:val="17"/>
        </w:rPr>
        <w:t xml:space="preserve">sole and exclusive owner of all </w:t>
      </w:r>
      <w:r>
        <w:rPr>
          <w:rFonts w:ascii="Arial;sans-serif" w:hAnsi="Arial;sans-serif"/>
          <w:b w:val="false"/>
          <w:color w:val="181818"/>
          <w:sz w:val="17"/>
        </w:rPr>
        <w:t xml:space="preserve">patents </w:t>
      </w:r>
      <w:r>
        <w:rPr>
          <w:rFonts w:ascii="Arial;sans-serif" w:hAnsi="Arial;sans-serif"/>
          <w:b w:val="false"/>
          <w:color w:val="2F2F2F"/>
          <w:sz w:val="17"/>
        </w:rPr>
        <w:t xml:space="preserve">and other </w:t>
      </w:r>
      <w:r>
        <w:rPr>
          <w:rFonts w:ascii="Arial;sans-serif" w:hAnsi="Arial;sans-serif"/>
          <w:b w:val="false"/>
          <w:color w:val="181818"/>
          <w:sz w:val="17"/>
        </w:rPr>
        <w:t xml:space="preserve">rights in </w:t>
      </w:r>
      <w:r>
        <w:rPr>
          <w:rFonts w:ascii="Arial;sans-serif" w:hAnsi="Arial;sans-serif"/>
          <w:b w:val="false"/>
          <w:color w:val="2F2F2F"/>
          <w:sz w:val="17"/>
        </w:rPr>
        <w:t xml:space="preserve">connection </w:t>
      </w:r>
      <w:r>
        <w:rPr>
          <w:rFonts w:ascii="Arial;sans-serif" w:hAnsi="Arial;sans-serif"/>
          <w:b w:val="false"/>
          <w:color w:val="181818"/>
          <w:sz w:val="17"/>
        </w:rPr>
        <w:t>therewith</w:t>
      </w:r>
      <w:r>
        <w:rPr>
          <w:rFonts w:ascii="Arial;sans-serif" w:hAnsi="Arial;sans-serif"/>
          <w:b w:val="false"/>
          <w:color w:val="444444"/>
          <w:sz w:val="17"/>
        </w:rPr>
        <w:t xml:space="preserve">. </w:t>
      </w:r>
      <w:r>
        <w:rPr>
          <w:rFonts w:ascii="Arial;sans-serif" w:hAnsi="Arial;sans-serif"/>
          <w:b w:val="false"/>
          <w:color w:val="181818"/>
          <w:sz w:val="17"/>
        </w:rPr>
        <w:t xml:space="preserve">I </w:t>
      </w:r>
      <w:r>
        <w:rPr>
          <w:rFonts w:ascii="Arial;sans-serif" w:hAnsi="Arial;sans-serif"/>
          <w:b w:val="false"/>
          <w:color w:val="2F2F2F"/>
          <w:sz w:val="17"/>
        </w:rPr>
        <w:t xml:space="preserve">hereby assign </w:t>
      </w:r>
      <w:r>
        <w:rPr>
          <w:rFonts w:ascii="Arial;sans-serif" w:hAnsi="Arial;sans-serif"/>
          <w:b w:val="false"/>
          <w:color w:val="181818"/>
          <w:sz w:val="17"/>
        </w:rPr>
        <w:t xml:space="preserve">to </w:t>
      </w:r>
      <w:r>
        <w:rPr>
          <w:rFonts w:ascii="Arial;sans-serif" w:hAnsi="Arial;sans-serif"/>
          <w:b w:val="false"/>
          <w:color w:val="2F2F2F"/>
          <w:sz w:val="17"/>
        </w:rPr>
        <w:t xml:space="preserve">the Company or such corporate affiliate as Company </w:t>
      </w:r>
      <w:r>
        <w:rPr>
          <w:rFonts w:ascii="Arial;sans-serif" w:hAnsi="Arial;sans-serif"/>
          <w:b w:val="false"/>
          <w:color w:val="181818"/>
          <w:sz w:val="17"/>
        </w:rPr>
        <w:t xml:space="preserve">may </w:t>
      </w:r>
      <w:r>
        <w:rPr>
          <w:rFonts w:ascii="Arial;sans-serif" w:hAnsi="Arial;sans-serif"/>
          <w:b w:val="false"/>
          <w:color w:val="2F2F2F"/>
          <w:sz w:val="17"/>
        </w:rPr>
        <w:t xml:space="preserve">specify, any </w:t>
      </w:r>
      <w:r>
        <w:rPr>
          <w:rFonts w:ascii="Arial;sans-serif" w:hAnsi="Arial;sans-serif"/>
          <w:b w:val="false"/>
          <w:color w:val="181818"/>
          <w:sz w:val="17"/>
        </w:rPr>
        <w:t xml:space="preserve">rights I may have </w:t>
      </w:r>
      <w:r>
        <w:rPr>
          <w:rFonts w:ascii="Arial;sans-serif" w:hAnsi="Arial;sans-serif"/>
          <w:b w:val="false"/>
          <w:color w:val="2F2F2F"/>
          <w:sz w:val="17"/>
        </w:rPr>
        <w:t xml:space="preserve">or acquire </w:t>
      </w:r>
      <w:r>
        <w:rPr>
          <w:rFonts w:ascii="Arial;sans-serif" w:hAnsi="Arial;sans-serif"/>
          <w:b w:val="false"/>
          <w:color w:val="181818"/>
          <w:sz w:val="17"/>
        </w:rPr>
        <w:t xml:space="preserve">in </w:t>
      </w:r>
      <w:r>
        <w:rPr>
          <w:rFonts w:ascii="Arial;sans-serif" w:hAnsi="Arial;sans-serif"/>
          <w:b w:val="false"/>
          <w:color w:val="2F2F2F"/>
          <w:sz w:val="17"/>
        </w:rPr>
        <w:t xml:space="preserve">such </w:t>
      </w:r>
      <w:r>
        <w:rPr>
          <w:rFonts w:ascii="Arial;sans-serif" w:hAnsi="Arial;sans-serif"/>
          <w:b w:val="false"/>
          <w:color w:val="181818"/>
          <w:sz w:val="17"/>
        </w:rPr>
        <w:t xml:space="preserve">Inventions. </w:t>
      </w:r>
      <w:r>
        <w:rPr>
          <w:rFonts w:ascii="Arial;sans-serif" w:hAnsi="Arial;sans-serif"/>
          <w:b w:val="false"/>
          <w:color w:val="2F2F2F"/>
          <w:sz w:val="17"/>
        </w:rPr>
        <w:t xml:space="preserve">As </w:t>
      </w:r>
      <w:r>
        <w:rPr>
          <w:rFonts w:ascii="Arial;sans-serif" w:hAnsi="Arial;sans-serif"/>
          <w:b w:val="false"/>
          <w:color w:val="181818"/>
          <w:sz w:val="17"/>
        </w:rPr>
        <w:t xml:space="preserve">to </w:t>
      </w:r>
      <w:r>
        <w:rPr>
          <w:rFonts w:ascii="Arial;sans-serif" w:hAnsi="Arial;sans-serif"/>
          <w:b w:val="false"/>
          <w:color w:val="2F2F2F"/>
          <w:sz w:val="17"/>
        </w:rPr>
        <w:t xml:space="preserve">all such </w:t>
      </w:r>
      <w:r>
        <w:rPr>
          <w:rFonts w:ascii="Arial;sans-serif" w:hAnsi="Arial;sans-serif"/>
          <w:b w:val="false"/>
          <w:color w:val="181818"/>
          <w:sz w:val="17"/>
        </w:rPr>
        <w:t xml:space="preserve">Inventions, </w:t>
      </w:r>
      <w:r>
        <w:rPr>
          <w:rFonts w:ascii="Arial;sans-serif" w:hAnsi="Arial;sans-serif"/>
          <w:b w:val="false"/>
          <w:color w:val="444444"/>
          <w:sz w:val="17"/>
        </w:rPr>
        <w:t xml:space="preserve">I </w:t>
      </w:r>
      <w:r>
        <w:rPr>
          <w:rFonts w:ascii="Arial;sans-serif" w:hAnsi="Arial;sans-serif"/>
          <w:b w:val="false"/>
          <w:color w:val="2F2F2F"/>
          <w:sz w:val="17"/>
        </w:rPr>
        <w:t xml:space="preserve">will assist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in </w:t>
      </w:r>
      <w:r>
        <w:rPr>
          <w:rFonts w:ascii="Arial;sans-serif" w:hAnsi="Arial;sans-serif"/>
          <w:b w:val="false"/>
          <w:color w:val="2F2F2F"/>
          <w:sz w:val="17"/>
        </w:rPr>
        <w:t xml:space="preserve">every </w:t>
      </w:r>
      <w:r>
        <w:rPr>
          <w:rFonts w:ascii="Arial;sans-serif" w:hAnsi="Arial;sans-serif"/>
          <w:b w:val="false"/>
          <w:color w:val="181818"/>
          <w:sz w:val="17"/>
        </w:rPr>
        <w:t xml:space="preserve">proper </w:t>
      </w:r>
      <w:r>
        <w:rPr>
          <w:rFonts w:ascii="Arial;sans-serif" w:hAnsi="Arial;sans-serif"/>
          <w:b w:val="false"/>
          <w:color w:val="2F2F2F"/>
          <w:sz w:val="17"/>
        </w:rPr>
        <w:t xml:space="preserve">way (but at the Company's expense) </w:t>
      </w:r>
      <w:r>
        <w:rPr>
          <w:rFonts w:ascii="Arial;sans-serif" w:hAnsi="Arial;sans-serif"/>
          <w:b w:val="false"/>
          <w:color w:val="181818"/>
          <w:sz w:val="17"/>
        </w:rPr>
        <w:t xml:space="preserve">to </w:t>
      </w:r>
      <w:r>
        <w:rPr>
          <w:rFonts w:ascii="Arial;sans-serif" w:hAnsi="Arial;sans-serif"/>
          <w:b w:val="false"/>
          <w:color w:val="2F2F2F"/>
          <w:sz w:val="17"/>
        </w:rPr>
        <w:t xml:space="preserve">obtain and </w:t>
      </w:r>
      <w:r>
        <w:rPr>
          <w:rFonts w:ascii="Arial;sans-serif" w:hAnsi="Arial;sans-serif"/>
          <w:b w:val="false"/>
          <w:color w:val="181818"/>
          <w:sz w:val="17"/>
        </w:rPr>
        <w:t>from tim</w:t>
      </w:r>
      <w:r>
        <w:rPr>
          <w:rFonts w:ascii="Arial;sans-serif" w:hAnsi="Arial;sans-serif"/>
          <w:b w:val="false"/>
          <w:color w:val="444444"/>
          <w:sz w:val="17"/>
        </w:rPr>
        <w:t xml:space="preserve">e </w:t>
      </w:r>
      <w:r>
        <w:rPr>
          <w:rFonts w:ascii="Arial;sans-serif" w:hAnsi="Arial;sans-serif"/>
          <w:b w:val="false"/>
          <w:color w:val="181818"/>
          <w:sz w:val="17"/>
        </w:rPr>
        <w:t>to tim</w:t>
      </w:r>
      <w:r>
        <w:rPr>
          <w:rFonts w:ascii="Arial;sans-serif" w:hAnsi="Arial;sans-serif"/>
          <w:b w:val="false"/>
          <w:color w:val="444444"/>
          <w:sz w:val="17"/>
        </w:rPr>
        <w:t>e e</w:t>
      </w:r>
      <w:r>
        <w:rPr>
          <w:rFonts w:ascii="Arial;sans-serif" w:hAnsi="Arial;sans-serif"/>
          <w:b w:val="false"/>
          <w:color w:val="181818"/>
          <w:sz w:val="17"/>
        </w:rPr>
        <w:t xml:space="preserve">nforce </w:t>
      </w:r>
      <w:r>
        <w:rPr>
          <w:rFonts w:ascii="Arial;sans-serif" w:hAnsi="Arial;sans-serif"/>
          <w:b w:val="false"/>
          <w:color w:val="2F2F2F"/>
          <w:sz w:val="17"/>
        </w:rPr>
        <w:t xml:space="preserve">patents on said </w:t>
      </w:r>
      <w:r>
        <w:rPr>
          <w:rFonts w:ascii="Arial;sans-serif" w:hAnsi="Arial;sans-serif"/>
          <w:b w:val="false"/>
          <w:color w:val="444444"/>
          <w:sz w:val="17"/>
        </w:rPr>
        <w:t>Inve</w:t>
      </w:r>
      <w:r>
        <w:rPr>
          <w:rFonts w:ascii="Arial;sans-serif" w:hAnsi="Arial;sans-serif"/>
          <w:b w:val="false"/>
          <w:color w:val="181818"/>
          <w:sz w:val="17"/>
        </w:rPr>
        <w:t xml:space="preserve">ntions </w:t>
      </w:r>
      <w:r>
        <w:rPr>
          <w:rFonts w:ascii="Arial;sans-serif" w:hAnsi="Arial;sans-serif"/>
          <w:b w:val="false"/>
          <w:color w:val="444444"/>
          <w:sz w:val="17"/>
        </w:rPr>
        <w:t>i</w:t>
      </w:r>
      <w:r>
        <w:rPr>
          <w:rFonts w:ascii="Arial;sans-serif" w:hAnsi="Arial;sans-serif"/>
          <w:b w:val="false"/>
          <w:color w:val="181818"/>
          <w:sz w:val="17"/>
        </w:rPr>
        <w:t xml:space="preserve">n </w:t>
      </w:r>
      <w:r>
        <w:rPr>
          <w:rFonts w:ascii="Arial;sans-serif" w:hAnsi="Arial;sans-serif"/>
          <w:b w:val="false"/>
          <w:color w:val="2F2F2F"/>
          <w:sz w:val="17"/>
        </w:rPr>
        <w:t xml:space="preserve">any and all countries. </w:t>
      </w:r>
      <w:r>
        <w:rPr>
          <w:rFonts w:ascii="Arial;sans-serif" w:hAnsi="Arial;sans-serif"/>
          <w:b w:val="false"/>
          <w:color w:val="2F2F2F"/>
          <w:sz w:val="19"/>
        </w:rPr>
        <w:t xml:space="preserve">To </w:t>
      </w:r>
      <w:r>
        <w:rPr>
          <w:rFonts w:ascii="Arial;sans-serif" w:hAnsi="Arial;sans-serif"/>
          <w:b w:val="false"/>
          <w:color w:val="2F2F2F"/>
          <w:sz w:val="17"/>
        </w:rPr>
        <w:t xml:space="preserve">that end </w:t>
      </w:r>
      <w:r>
        <w:rPr>
          <w:rFonts w:ascii="Arial;sans-serif" w:hAnsi="Arial;sans-serif"/>
          <w:b w:val="false"/>
          <w:color w:val="181818"/>
          <w:sz w:val="17"/>
        </w:rPr>
        <w:t xml:space="preserve">I </w:t>
      </w:r>
      <w:r>
        <w:rPr>
          <w:rFonts w:ascii="Arial;sans-serif" w:hAnsi="Arial;sans-serif"/>
          <w:b w:val="false"/>
          <w:color w:val="2F2F2F"/>
          <w:sz w:val="17"/>
        </w:rPr>
        <w:t xml:space="preserve">will, without </w:t>
      </w:r>
      <w:r>
        <w:rPr>
          <w:rFonts w:ascii="Arial;sans-serif" w:hAnsi="Arial;sans-serif"/>
          <w:b w:val="false"/>
          <w:color w:val="181818"/>
          <w:sz w:val="17"/>
        </w:rPr>
        <w:t xml:space="preserve">limitation, </w:t>
      </w:r>
      <w:r>
        <w:rPr>
          <w:rFonts w:ascii="Arial;sans-serif" w:hAnsi="Arial;sans-serif"/>
          <w:b w:val="false"/>
          <w:color w:val="2F2F2F"/>
          <w:sz w:val="17"/>
        </w:rPr>
        <w:t xml:space="preserve">assist and </w:t>
      </w:r>
      <w:r>
        <w:rPr>
          <w:rFonts w:ascii="Arial;sans-serif" w:hAnsi="Arial;sans-serif"/>
          <w:b w:val="false"/>
          <w:color w:val="444444"/>
          <w:sz w:val="17"/>
        </w:rPr>
        <w:t>coope</w:t>
      </w:r>
      <w:r>
        <w:rPr>
          <w:rFonts w:ascii="Arial;sans-serif" w:hAnsi="Arial;sans-serif"/>
          <w:b w:val="false"/>
          <w:color w:val="181818"/>
          <w:sz w:val="17"/>
        </w:rPr>
        <w:t>rate in l</w:t>
      </w:r>
      <w:r>
        <w:rPr>
          <w:rFonts w:ascii="Arial;sans-serif" w:hAnsi="Arial;sans-serif"/>
          <w:b w:val="false"/>
          <w:color w:val="444444"/>
          <w:sz w:val="17"/>
        </w:rPr>
        <w:t>ega</w:t>
      </w:r>
      <w:r>
        <w:rPr>
          <w:rFonts w:ascii="Arial;sans-serif" w:hAnsi="Arial;sans-serif"/>
          <w:b w:val="false"/>
          <w:color w:val="181818"/>
          <w:sz w:val="17"/>
        </w:rPr>
        <w:t>l pro</w:t>
      </w:r>
      <w:r>
        <w:rPr>
          <w:rFonts w:ascii="Arial;sans-serif" w:hAnsi="Arial;sans-serif"/>
          <w:b w:val="false"/>
          <w:color w:val="444444"/>
          <w:sz w:val="17"/>
        </w:rPr>
        <w:t xml:space="preserve">ceedings, </w:t>
      </w:r>
      <w:r>
        <w:rPr>
          <w:rFonts w:ascii="Arial;sans-serif" w:hAnsi="Arial;sans-serif"/>
          <w:b w:val="false"/>
          <w:color w:val="2F2F2F"/>
          <w:sz w:val="17"/>
        </w:rPr>
        <w:t xml:space="preserve">and will </w:t>
      </w:r>
      <w:r>
        <w:rPr>
          <w:rFonts w:ascii="Arial;sans-serif" w:hAnsi="Arial;sans-serif"/>
          <w:b w:val="false"/>
          <w:color w:val="444444"/>
          <w:sz w:val="17"/>
        </w:rPr>
        <w:t>exec</w:t>
      </w:r>
      <w:r>
        <w:rPr>
          <w:rFonts w:ascii="Arial;sans-serif" w:hAnsi="Arial;sans-serif"/>
          <w:b w:val="false"/>
          <w:color w:val="181818"/>
          <w:sz w:val="17"/>
        </w:rPr>
        <w:t xml:space="preserve">ute </w:t>
      </w:r>
      <w:r>
        <w:rPr>
          <w:rFonts w:ascii="Arial;sans-serif" w:hAnsi="Arial;sans-serif"/>
          <w:b w:val="false"/>
          <w:color w:val="2F2F2F"/>
          <w:sz w:val="17"/>
        </w:rPr>
        <w:t xml:space="preserve">all documents for </w:t>
      </w:r>
      <w:r>
        <w:rPr>
          <w:rFonts w:ascii="Arial;sans-serif" w:hAnsi="Arial;sans-serif"/>
          <w:b w:val="false"/>
          <w:color w:val="181818"/>
          <w:sz w:val="17"/>
        </w:rPr>
        <w:t>us</w:t>
      </w:r>
      <w:r>
        <w:rPr>
          <w:rFonts w:ascii="Arial;sans-serif" w:hAnsi="Arial;sans-serif"/>
          <w:b w:val="false"/>
          <w:color w:val="444444"/>
          <w:sz w:val="17"/>
        </w:rPr>
        <w:t xml:space="preserve">e </w:t>
      </w:r>
      <w:r>
        <w:rPr>
          <w:rFonts w:ascii="Arial;sans-serif" w:hAnsi="Arial;sans-serif"/>
          <w:b w:val="false"/>
          <w:color w:val="181818"/>
          <w:sz w:val="17"/>
        </w:rPr>
        <w:t xml:space="preserve">in </w:t>
      </w:r>
      <w:r>
        <w:rPr>
          <w:rFonts w:ascii="Arial;sans-serif" w:hAnsi="Arial;sans-serif"/>
          <w:b w:val="false"/>
          <w:color w:val="2F2F2F"/>
          <w:sz w:val="17"/>
        </w:rPr>
        <w:t xml:space="preserve">applying for and for obtaining and maintaining such </w:t>
      </w:r>
      <w:r>
        <w:rPr>
          <w:rFonts w:ascii="Arial;sans-serif" w:hAnsi="Arial;sans-serif"/>
          <w:b w:val="false"/>
          <w:color w:val="181818"/>
          <w:sz w:val="17"/>
        </w:rPr>
        <w:t xml:space="preserve">patents thereon </w:t>
      </w:r>
      <w:r>
        <w:rPr>
          <w:rFonts w:ascii="Arial;sans-serif" w:hAnsi="Arial;sans-serif"/>
          <w:b w:val="false"/>
          <w:color w:val="2F2F2F"/>
          <w:sz w:val="17"/>
        </w:rPr>
        <w:t xml:space="preserve">and enforcing </w:t>
      </w:r>
      <w:r>
        <w:rPr>
          <w:rFonts w:ascii="Arial;sans-serif" w:hAnsi="Arial;sans-serif"/>
          <w:b w:val="false"/>
          <w:color w:val="181818"/>
          <w:sz w:val="17"/>
        </w:rPr>
        <w:t xml:space="preserve">the </w:t>
      </w:r>
      <w:r>
        <w:rPr>
          <w:rFonts w:ascii="Arial;sans-serif" w:hAnsi="Arial;sans-serif"/>
          <w:b w:val="false"/>
          <w:color w:val="2F2F2F"/>
          <w:sz w:val="17"/>
        </w:rPr>
        <w:t xml:space="preserve">same, as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may </w:t>
      </w:r>
      <w:r>
        <w:rPr>
          <w:rFonts w:ascii="Arial;sans-serif" w:hAnsi="Arial;sans-serif"/>
          <w:b w:val="false"/>
          <w:color w:val="2F2F2F"/>
          <w:sz w:val="17"/>
        </w:rPr>
        <w:t xml:space="preserve">desire, </w:t>
      </w:r>
      <w:r>
        <w:rPr>
          <w:rFonts w:ascii="Arial;sans-serif" w:hAnsi="Arial;sans-serif"/>
          <w:b w:val="false"/>
          <w:color w:val="181818"/>
          <w:sz w:val="17"/>
        </w:rPr>
        <w:t xml:space="preserve">together </w:t>
      </w:r>
      <w:r>
        <w:rPr>
          <w:rFonts w:ascii="Arial;sans-serif" w:hAnsi="Arial;sans-serif"/>
          <w:b w:val="false"/>
          <w:color w:val="2F2F2F"/>
          <w:sz w:val="17"/>
        </w:rPr>
        <w:t xml:space="preserve">with any assignments </w:t>
      </w:r>
      <w:r>
        <w:rPr>
          <w:rFonts w:ascii="Arial;sans-serif" w:hAnsi="Arial;sans-serif"/>
          <w:b w:val="false"/>
          <w:color w:val="181818"/>
          <w:sz w:val="17"/>
        </w:rPr>
        <w:t xml:space="preserve">thereof to the </w:t>
      </w:r>
      <w:r>
        <w:rPr>
          <w:rFonts w:ascii="Arial;sans-serif" w:hAnsi="Arial;sans-serif"/>
          <w:b w:val="false"/>
          <w:color w:val="2F2F2F"/>
          <w:sz w:val="17"/>
        </w:rPr>
        <w:t xml:space="preserve">Company or </w:t>
      </w:r>
      <w:r>
        <w:rPr>
          <w:rFonts w:ascii="Arial;sans-serif" w:hAnsi="Arial;sans-serif"/>
          <w:b w:val="false"/>
          <w:color w:val="181818"/>
          <w:sz w:val="17"/>
        </w:rPr>
        <w:t xml:space="preserve">person designated </w:t>
      </w:r>
      <w:r>
        <w:rPr>
          <w:rFonts w:ascii="Arial;sans-serif" w:hAnsi="Arial;sans-serif"/>
          <w:b w:val="false"/>
          <w:color w:val="2F2F2F"/>
          <w:sz w:val="17"/>
        </w:rPr>
        <w:t xml:space="preserve">by </w:t>
      </w:r>
      <w:r>
        <w:rPr>
          <w:rFonts w:ascii="Arial;sans-serif" w:hAnsi="Arial;sans-serif"/>
          <w:b w:val="false"/>
          <w:color w:val="181818"/>
          <w:sz w:val="17"/>
        </w:rPr>
        <w:t xml:space="preserve">it. My </w:t>
      </w:r>
      <w:r>
        <w:rPr>
          <w:rFonts w:ascii="Arial;sans-serif" w:hAnsi="Arial;sans-serif"/>
          <w:b w:val="false"/>
          <w:color w:val="2F2F2F"/>
          <w:sz w:val="17"/>
        </w:rPr>
        <w:t xml:space="preserve">obligation </w:t>
      </w:r>
      <w:r>
        <w:rPr>
          <w:rFonts w:ascii="Arial;sans-serif" w:hAnsi="Arial;sans-serif"/>
          <w:b w:val="false"/>
          <w:color w:val="181818"/>
          <w:sz w:val="17"/>
        </w:rPr>
        <w:t xml:space="preserve">to </w:t>
      </w:r>
      <w:r>
        <w:rPr>
          <w:rFonts w:ascii="Arial;sans-serif" w:hAnsi="Arial;sans-serif"/>
          <w:b w:val="false"/>
          <w:color w:val="2F2F2F"/>
          <w:sz w:val="17"/>
        </w:rPr>
        <w:t xml:space="preserve">assist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in </w:t>
      </w:r>
      <w:r>
        <w:rPr>
          <w:rFonts w:ascii="Arial;sans-serif" w:hAnsi="Arial;sans-serif"/>
          <w:b w:val="false"/>
          <w:color w:val="2F2F2F"/>
          <w:sz w:val="17"/>
        </w:rPr>
        <w:t xml:space="preserve">obtaining and enforcing patents for such </w:t>
      </w:r>
      <w:r>
        <w:rPr>
          <w:rFonts w:ascii="Arial;sans-serif" w:hAnsi="Arial;sans-serif"/>
          <w:b w:val="false"/>
          <w:color w:val="181818"/>
          <w:sz w:val="17"/>
        </w:rPr>
        <w:t xml:space="preserve">Inventions in </w:t>
      </w:r>
      <w:r>
        <w:rPr>
          <w:rFonts w:ascii="Arial;sans-serif" w:hAnsi="Arial;sans-serif"/>
          <w:b w:val="false"/>
          <w:color w:val="2F2F2F"/>
          <w:sz w:val="17"/>
        </w:rPr>
        <w:t xml:space="preserve">any and all </w:t>
      </w:r>
      <w:r>
        <w:rPr>
          <w:rFonts w:ascii="Arial;sans-serif" w:hAnsi="Arial;sans-serif"/>
          <w:b w:val="false"/>
          <w:color w:val="444444"/>
          <w:sz w:val="17"/>
        </w:rPr>
        <w:t>co</w:t>
      </w:r>
      <w:r>
        <w:rPr>
          <w:rFonts w:ascii="Arial;sans-serif" w:hAnsi="Arial;sans-serif"/>
          <w:b w:val="false"/>
          <w:color w:val="181818"/>
          <w:sz w:val="17"/>
        </w:rPr>
        <w:t xml:space="preserve">untries </w:t>
      </w:r>
      <w:r>
        <w:rPr>
          <w:rFonts w:ascii="Arial;sans-serif" w:hAnsi="Arial;sans-serif"/>
          <w:b w:val="false"/>
          <w:color w:val="2F2F2F"/>
          <w:sz w:val="17"/>
        </w:rPr>
        <w:t xml:space="preserve">shall continue </w:t>
      </w:r>
      <w:r>
        <w:rPr>
          <w:rFonts w:ascii="Arial;sans-serif" w:hAnsi="Arial;sans-serif"/>
          <w:b w:val="false"/>
          <w:color w:val="181818"/>
          <w:sz w:val="17"/>
        </w:rPr>
        <w:t xml:space="preserve">beyond the termination </w:t>
      </w:r>
      <w:r>
        <w:rPr>
          <w:rFonts w:ascii="Arial;sans-serif" w:hAnsi="Arial;sans-serif"/>
          <w:b w:val="false"/>
          <w:color w:val="2F2F2F"/>
          <w:sz w:val="17"/>
        </w:rPr>
        <w:t xml:space="preserve">of my employment </w:t>
      </w:r>
      <w:r>
        <w:rPr>
          <w:rFonts w:ascii="Arial;sans-serif" w:hAnsi="Arial;sans-serif"/>
          <w:b w:val="false"/>
          <w:color w:val="181818"/>
          <w:sz w:val="17"/>
        </w:rPr>
        <w:t xml:space="preserve">for </w:t>
      </w:r>
      <w:r>
        <w:rPr>
          <w:rFonts w:ascii="Arial;sans-serif" w:hAnsi="Arial;sans-serif"/>
          <w:b w:val="false"/>
          <w:color w:val="2F2F2F"/>
          <w:sz w:val="17"/>
        </w:rPr>
        <w:t xml:space="preserve">any reason, </w:t>
      </w:r>
      <w:r>
        <w:rPr>
          <w:rFonts w:ascii="Arial;sans-serif" w:hAnsi="Arial;sans-serif"/>
          <w:b w:val="false"/>
          <w:color w:val="181818"/>
          <w:sz w:val="17"/>
        </w:rPr>
        <w:t xml:space="preserve">but the </w:t>
      </w:r>
      <w:r>
        <w:rPr>
          <w:rFonts w:ascii="Arial;sans-serif" w:hAnsi="Arial;sans-serif"/>
          <w:b w:val="false"/>
          <w:color w:val="2F2F2F"/>
          <w:sz w:val="17"/>
        </w:rPr>
        <w:t xml:space="preserve">Company shall compensate </w:t>
      </w:r>
      <w:r>
        <w:rPr>
          <w:rFonts w:ascii="Arial;sans-serif" w:hAnsi="Arial;sans-serif"/>
          <w:b w:val="false"/>
          <w:color w:val="181818"/>
          <w:sz w:val="17"/>
        </w:rPr>
        <w:t xml:space="preserve">me </w:t>
      </w:r>
      <w:r>
        <w:rPr>
          <w:rFonts w:ascii="Arial;sans-serif" w:hAnsi="Arial;sans-serif"/>
          <w:b w:val="false"/>
          <w:color w:val="2F2F2F"/>
          <w:sz w:val="17"/>
        </w:rPr>
        <w:t xml:space="preserve">at </w:t>
      </w:r>
      <w:r>
        <w:rPr>
          <w:rFonts w:ascii="Arial;sans-serif" w:hAnsi="Arial;sans-serif"/>
          <w:b w:val="false"/>
          <w:color w:val="181818"/>
          <w:sz w:val="17"/>
        </w:rPr>
        <w:t xml:space="preserve">the rate </w:t>
      </w:r>
      <w:r>
        <w:rPr>
          <w:rFonts w:ascii="Arial;sans-serif" w:hAnsi="Arial;sans-serif"/>
          <w:b w:val="false"/>
          <w:color w:val="2F2F2F"/>
          <w:sz w:val="17"/>
        </w:rPr>
        <w:t xml:space="preserve">of pay </w:t>
      </w:r>
      <w:r>
        <w:rPr>
          <w:rFonts w:ascii="Arial;sans-serif" w:hAnsi="Arial;sans-serif"/>
          <w:b w:val="false"/>
          <w:color w:val="181818"/>
          <w:sz w:val="17"/>
        </w:rPr>
        <w:t xml:space="preserve">I </w:t>
      </w:r>
      <w:r>
        <w:rPr>
          <w:rFonts w:ascii="Arial;sans-serif" w:hAnsi="Arial;sans-serif"/>
          <w:b w:val="false"/>
          <w:color w:val="2F2F2F"/>
          <w:sz w:val="17"/>
        </w:rPr>
        <w:t xml:space="preserve">was </w:t>
      </w:r>
      <w:r>
        <w:rPr>
          <w:rFonts w:ascii="Arial;sans-serif" w:hAnsi="Arial;sans-serif"/>
          <w:b w:val="false"/>
          <w:color w:val="181818"/>
          <w:sz w:val="17"/>
        </w:rPr>
        <w:t xml:space="preserve">receiving </w:t>
      </w:r>
      <w:r>
        <w:rPr>
          <w:rFonts w:ascii="Arial;sans-serif" w:hAnsi="Arial;sans-serif"/>
          <w:b w:val="false"/>
          <w:color w:val="2F2F2F"/>
          <w:sz w:val="17"/>
        </w:rPr>
        <w:t xml:space="preserve">at the </w:t>
      </w:r>
      <w:r>
        <w:rPr>
          <w:rFonts w:ascii="Arial;sans-serif" w:hAnsi="Arial;sans-serif"/>
          <w:b w:val="false"/>
          <w:color w:val="181818"/>
          <w:sz w:val="17"/>
        </w:rPr>
        <w:t xml:space="preserve">time </w:t>
      </w:r>
      <w:r>
        <w:rPr>
          <w:rFonts w:ascii="Arial;sans-serif" w:hAnsi="Arial;sans-serif"/>
          <w:b w:val="false"/>
          <w:color w:val="2F2F2F"/>
          <w:sz w:val="17"/>
        </w:rPr>
        <w:t xml:space="preserve">of my </w:t>
      </w:r>
      <w:r>
        <w:rPr>
          <w:rFonts w:ascii="Arial;sans-serif" w:hAnsi="Arial;sans-serif"/>
          <w:b w:val="false"/>
          <w:color w:val="181818"/>
          <w:sz w:val="17"/>
        </w:rPr>
        <w:t xml:space="preserve">termination </w:t>
      </w:r>
      <w:r>
        <w:rPr>
          <w:rFonts w:ascii="Arial;sans-serif" w:hAnsi="Arial;sans-serif"/>
          <w:b w:val="false"/>
          <w:color w:val="2F2F2F"/>
          <w:sz w:val="17"/>
        </w:rPr>
        <w:t xml:space="preserve">for </w:t>
      </w:r>
      <w:r>
        <w:rPr>
          <w:rFonts w:ascii="Arial;sans-serif" w:hAnsi="Arial;sans-serif"/>
          <w:b w:val="false"/>
          <w:color w:val="181818"/>
          <w:sz w:val="17"/>
        </w:rPr>
        <w:t xml:space="preserve">time </w:t>
      </w:r>
      <w:r>
        <w:rPr>
          <w:rFonts w:ascii="Arial;sans-serif" w:hAnsi="Arial;sans-serif"/>
          <w:b w:val="false"/>
          <w:color w:val="2F2F2F"/>
          <w:sz w:val="17"/>
        </w:rPr>
        <w:t xml:space="preserve">actually spent </w:t>
      </w:r>
      <w:r>
        <w:rPr>
          <w:rFonts w:ascii="Arial;sans-serif" w:hAnsi="Arial;sans-serif"/>
          <w:b w:val="false"/>
          <w:color w:val="181818"/>
          <w:sz w:val="17"/>
        </w:rPr>
        <w:t xml:space="preserve">by me </w:t>
      </w:r>
      <w:r>
        <w:rPr>
          <w:rFonts w:ascii="Arial;sans-serif" w:hAnsi="Arial;sans-serif"/>
          <w:b w:val="false"/>
          <w:color w:val="2F2F2F"/>
          <w:sz w:val="17"/>
        </w:rPr>
        <w:t xml:space="preserve">at the Company's </w:t>
      </w:r>
      <w:r>
        <w:rPr>
          <w:rFonts w:ascii="Arial;sans-serif" w:hAnsi="Arial;sans-serif"/>
          <w:b w:val="false"/>
          <w:color w:val="181818"/>
          <w:sz w:val="17"/>
        </w:rPr>
        <w:t xml:space="preserve">request </w:t>
      </w:r>
      <w:r>
        <w:rPr>
          <w:rFonts w:ascii="Arial;sans-serif" w:hAnsi="Arial;sans-serif"/>
          <w:b w:val="false"/>
          <w:color w:val="2F2F2F"/>
          <w:sz w:val="17"/>
        </w:rPr>
        <w:t xml:space="preserve">on such assistance. </w:t>
      </w:r>
      <w:r>
        <w:rPr>
          <w:rFonts w:ascii="Arial;sans-serif" w:hAnsi="Arial;sans-serif"/>
          <w:b w:val="false"/>
          <w:color w:val="181818"/>
          <w:sz w:val="17"/>
        </w:rPr>
        <w:t xml:space="preserve">In the </w:t>
      </w:r>
      <w:r>
        <w:rPr>
          <w:rFonts w:ascii="Arial;sans-serif" w:hAnsi="Arial;sans-serif"/>
          <w:b w:val="false"/>
          <w:color w:val="2F2F2F"/>
          <w:sz w:val="17"/>
        </w:rPr>
        <w:t xml:space="preserve">event that </w:t>
      </w:r>
      <w:r>
        <w:rPr>
          <w:rFonts w:ascii="Arial;sans-serif" w:hAnsi="Arial;sans-serif"/>
          <w:b w:val="false"/>
          <w:color w:val="181818"/>
          <w:sz w:val="17"/>
        </w:rPr>
        <w:t xml:space="preserve">the </w:t>
      </w:r>
      <w:r>
        <w:rPr>
          <w:rFonts w:ascii="Arial;sans-serif" w:hAnsi="Arial;sans-serif"/>
          <w:b w:val="false"/>
          <w:color w:val="444444"/>
          <w:sz w:val="17"/>
        </w:rPr>
        <w:t>Compa</w:t>
      </w:r>
      <w:r>
        <w:rPr>
          <w:rFonts w:ascii="Arial;sans-serif" w:hAnsi="Arial;sans-serif"/>
          <w:b w:val="false"/>
          <w:color w:val="181818"/>
          <w:sz w:val="17"/>
        </w:rPr>
        <w:t xml:space="preserve">ny is unable for </w:t>
      </w:r>
      <w:r>
        <w:rPr>
          <w:rFonts w:ascii="Arial;sans-serif" w:hAnsi="Arial;sans-serif"/>
          <w:b w:val="false"/>
          <w:color w:val="2F2F2F"/>
          <w:sz w:val="17"/>
        </w:rPr>
        <w:t xml:space="preserve">any </w:t>
      </w:r>
      <w:r>
        <w:rPr>
          <w:rFonts w:ascii="Arial;sans-serif" w:hAnsi="Arial;sans-serif"/>
          <w:b w:val="false"/>
          <w:color w:val="181818"/>
          <w:sz w:val="17"/>
        </w:rPr>
        <w:t xml:space="preserve">reason </w:t>
      </w:r>
      <w:r>
        <w:rPr>
          <w:rFonts w:ascii="Arial;sans-serif" w:hAnsi="Arial;sans-serif"/>
          <w:b w:val="false"/>
          <w:color w:val="2F2F2F"/>
          <w:sz w:val="17"/>
        </w:rPr>
        <w:t xml:space="preserve">whatsoever </w:t>
      </w:r>
      <w:r>
        <w:rPr>
          <w:rFonts w:ascii="Arial;sans-serif" w:hAnsi="Arial;sans-serif"/>
          <w:b w:val="false"/>
          <w:color w:val="181818"/>
          <w:sz w:val="17"/>
        </w:rPr>
        <w:t xml:space="preserve">to </w:t>
      </w:r>
      <w:r>
        <w:rPr>
          <w:rFonts w:ascii="Arial;sans-serif" w:hAnsi="Arial;sans-serif"/>
          <w:b w:val="false"/>
          <w:color w:val="2F2F2F"/>
          <w:sz w:val="17"/>
        </w:rPr>
        <w:t xml:space="preserve">secure </w:t>
      </w:r>
      <w:r>
        <w:rPr>
          <w:rFonts w:ascii="Arial;sans-serif" w:hAnsi="Arial;sans-serif"/>
          <w:b w:val="false"/>
          <w:color w:val="181818"/>
          <w:sz w:val="17"/>
        </w:rPr>
        <w:t xml:space="preserve">my </w:t>
      </w:r>
      <w:r>
        <w:rPr>
          <w:rFonts w:ascii="Arial;sans-serif" w:hAnsi="Arial;sans-serif"/>
          <w:b w:val="false"/>
          <w:color w:val="2F2F2F"/>
          <w:sz w:val="17"/>
        </w:rPr>
        <w:t xml:space="preserve">signature </w:t>
      </w:r>
      <w:r>
        <w:rPr>
          <w:rFonts w:ascii="Arial;sans-serif" w:hAnsi="Arial;sans-serif"/>
          <w:b w:val="false"/>
          <w:color w:val="181818"/>
          <w:sz w:val="17"/>
        </w:rPr>
        <w:t xml:space="preserve">to </w:t>
      </w:r>
      <w:r>
        <w:rPr>
          <w:rFonts w:ascii="Arial;sans-serif" w:hAnsi="Arial;sans-serif"/>
          <w:b w:val="false"/>
          <w:color w:val="2F2F2F"/>
          <w:sz w:val="17"/>
        </w:rPr>
        <w:t xml:space="preserve">any lawful and necessary </w:t>
      </w:r>
      <w:r>
        <w:rPr>
          <w:rFonts w:ascii="Arial;sans-serif" w:hAnsi="Arial;sans-serif"/>
          <w:b w:val="false"/>
          <w:color w:val="181818"/>
          <w:sz w:val="17"/>
        </w:rPr>
        <w:t>documen</w:t>
      </w:r>
      <w:r>
        <w:rPr>
          <w:rFonts w:ascii="Arial;sans-serif" w:hAnsi="Arial;sans-serif"/>
          <w:b w:val="false"/>
          <w:color w:val="444444"/>
          <w:sz w:val="17"/>
        </w:rPr>
        <w:t xml:space="preserve">t </w:t>
      </w:r>
      <w:r>
        <w:rPr>
          <w:rFonts w:ascii="Arial;sans-serif" w:hAnsi="Arial;sans-serif"/>
          <w:b w:val="false"/>
          <w:color w:val="181818"/>
          <w:sz w:val="17"/>
        </w:rPr>
        <w:t xml:space="preserve">required to </w:t>
      </w:r>
      <w:r>
        <w:rPr>
          <w:rFonts w:ascii="Arial;sans-serif" w:hAnsi="Arial;sans-serif"/>
          <w:b w:val="false"/>
          <w:color w:val="2F2F2F"/>
          <w:sz w:val="17"/>
        </w:rPr>
        <w:t xml:space="preserve">apply for any such patent or to prosecute any </w:t>
      </w:r>
      <w:r>
        <w:rPr>
          <w:rFonts w:ascii="Arial;sans-serif" w:hAnsi="Arial;sans-serif"/>
          <w:b w:val="false"/>
          <w:color w:val="181818"/>
          <w:sz w:val="17"/>
        </w:rPr>
        <w:t xml:space="preserve">patent </w:t>
      </w:r>
      <w:r>
        <w:rPr>
          <w:rFonts w:ascii="Arial;sans-serif" w:hAnsi="Arial;sans-serif"/>
          <w:b w:val="false"/>
          <w:color w:val="2F2F2F"/>
          <w:sz w:val="17"/>
        </w:rPr>
        <w:t xml:space="preserve">application with </w:t>
      </w:r>
      <w:r>
        <w:rPr>
          <w:rFonts w:ascii="Arial;sans-serif" w:hAnsi="Arial;sans-serif"/>
          <w:b w:val="false"/>
          <w:color w:val="181818"/>
          <w:sz w:val="17"/>
        </w:rPr>
        <w:t xml:space="preserve">respect to </w:t>
      </w:r>
      <w:r>
        <w:rPr>
          <w:rFonts w:ascii="Arial;sans-serif" w:hAnsi="Arial;sans-serif"/>
          <w:b w:val="false"/>
          <w:color w:val="2F2F2F"/>
          <w:sz w:val="17"/>
        </w:rPr>
        <w:t xml:space="preserve">such an </w:t>
      </w:r>
      <w:r>
        <w:rPr>
          <w:rFonts w:ascii="Arial;sans-serif" w:hAnsi="Arial;sans-serif"/>
          <w:b w:val="false"/>
          <w:color w:val="181818"/>
          <w:sz w:val="17"/>
        </w:rPr>
        <w:t xml:space="preserve">Invention </w:t>
      </w:r>
      <w:r>
        <w:rPr>
          <w:rFonts w:ascii="Arial;sans-serif" w:hAnsi="Arial;sans-serif"/>
          <w:b w:val="false"/>
          <w:color w:val="2F2F2F"/>
          <w:sz w:val="17"/>
        </w:rPr>
        <w:t xml:space="preserve">(including </w:t>
      </w:r>
      <w:r>
        <w:rPr>
          <w:rFonts w:ascii="Arial;sans-serif" w:hAnsi="Arial;sans-serif"/>
          <w:b w:val="false"/>
          <w:color w:val="181818"/>
          <w:sz w:val="17"/>
        </w:rPr>
        <w:t>renewals</w:t>
      </w:r>
      <w:r>
        <w:rPr>
          <w:rFonts w:ascii="Arial;sans-serif" w:hAnsi="Arial;sans-serif"/>
          <w:b w:val="false"/>
          <w:color w:val="444444"/>
          <w:sz w:val="17"/>
        </w:rPr>
        <w:t xml:space="preserve">, </w:t>
      </w:r>
      <w:r>
        <w:rPr>
          <w:rFonts w:ascii="Arial;sans-serif" w:hAnsi="Arial;sans-serif"/>
          <w:b w:val="false"/>
          <w:color w:val="181818"/>
          <w:sz w:val="17"/>
        </w:rPr>
        <w:t>extensions</w:t>
      </w:r>
      <w:r>
        <w:rPr>
          <w:rFonts w:ascii="Arial;sans-serif" w:hAnsi="Arial;sans-serif"/>
          <w:b w:val="false"/>
          <w:color w:val="444444"/>
          <w:sz w:val="17"/>
        </w:rPr>
        <w:t xml:space="preserve">, </w:t>
      </w:r>
      <w:r>
        <w:rPr>
          <w:rFonts w:ascii="Arial;sans-serif" w:hAnsi="Arial;sans-serif"/>
          <w:b w:val="false"/>
          <w:color w:val="2F2F2F"/>
          <w:sz w:val="17"/>
        </w:rPr>
        <w:t xml:space="preserve">continuations, divisions or continuations </w:t>
      </w:r>
      <w:r>
        <w:rPr>
          <w:rFonts w:ascii="Arial;sans-serif" w:hAnsi="Arial;sans-serif"/>
          <w:b w:val="false"/>
          <w:color w:val="181818"/>
          <w:sz w:val="17"/>
        </w:rPr>
        <w:t xml:space="preserve">in </w:t>
      </w:r>
      <w:r>
        <w:rPr>
          <w:rFonts w:ascii="Arial;sans-serif" w:hAnsi="Arial;sans-serif"/>
          <w:b w:val="false"/>
          <w:color w:val="2F2F2F"/>
          <w:sz w:val="17"/>
        </w:rPr>
        <w:t xml:space="preserve">part </w:t>
      </w:r>
      <w:r>
        <w:rPr>
          <w:rFonts w:ascii="Arial;sans-serif" w:hAnsi="Arial;sans-serif"/>
          <w:b w:val="false"/>
          <w:color w:val="181818"/>
          <w:sz w:val="17"/>
        </w:rPr>
        <w:t>thereof)</w:t>
      </w:r>
      <w:r>
        <w:rPr>
          <w:rFonts w:ascii="Arial;sans-serif" w:hAnsi="Arial;sans-serif"/>
          <w:b w:val="false"/>
          <w:color w:val="444444"/>
          <w:sz w:val="17"/>
        </w:rPr>
        <w:t xml:space="preserve">, </w:t>
      </w:r>
      <w:r>
        <w:rPr>
          <w:rFonts w:ascii="Arial;sans-serif" w:hAnsi="Arial;sans-serif"/>
          <w:b w:val="false"/>
          <w:color w:val="181818"/>
          <w:sz w:val="17"/>
        </w:rPr>
        <w:t>I hereby irr</w:t>
      </w:r>
      <w:r>
        <w:rPr>
          <w:rFonts w:ascii="Arial;sans-serif" w:hAnsi="Arial;sans-serif"/>
          <w:b w:val="false"/>
          <w:color w:val="444444"/>
          <w:sz w:val="17"/>
        </w:rPr>
        <w:t>e</w:t>
      </w:r>
      <w:r>
        <w:rPr>
          <w:rFonts w:ascii="Arial;sans-serif" w:hAnsi="Arial;sans-serif"/>
          <w:b w:val="false"/>
          <w:color w:val="181818"/>
          <w:sz w:val="17"/>
        </w:rPr>
        <w:t>vo</w:t>
      </w:r>
      <w:r>
        <w:rPr>
          <w:rFonts w:ascii="Arial;sans-serif" w:hAnsi="Arial;sans-serif"/>
          <w:b w:val="false"/>
          <w:color w:val="444444"/>
          <w:sz w:val="17"/>
        </w:rPr>
        <w:t xml:space="preserve">cably </w:t>
      </w:r>
      <w:r>
        <w:rPr>
          <w:rFonts w:ascii="Arial;sans-serif" w:hAnsi="Arial;sans-serif"/>
          <w:b w:val="false"/>
          <w:color w:val="181818"/>
          <w:sz w:val="17"/>
        </w:rPr>
        <w:t xml:space="preserve">designate </w:t>
      </w:r>
      <w:r>
        <w:rPr>
          <w:rFonts w:ascii="Arial;sans-serif" w:hAnsi="Arial;sans-serif"/>
          <w:b w:val="false"/>
          <w:color w:val="2F2F2F"/>
          <w:sz w:val="17"/>
        </w:rPr>
        <w:t xml:space="preserve">and appoint </w:t>
      </w:r>
      <w:r>
        <w:rPr>
          <w:rFonts w:ascii="Arial;sans-serif" w:hAnsi="Arial;sans-serif"/>
          <w:b w:val="false"/>
          <w:color w:val="181818"/>
          <w:sz w:val="17"/>
        </w:rPr>
        <w:t xml:space="preserve">the </w:t>
      </w:r>
      <w:r>
        <w:rPr>
          <w:rFonts w:ascii="Arial;sans-serif" w:hAnsi="Arial;sans-serif"/>
          <w:b w:val="false"/>
          <w:color w:val="2F2F2F"/>
          <w:sz w:val="17"/>
        </w:rPr>
        <w:t xml:space="preserve">Company and </w:t>
      </w:r>
      <w:r>
        <w:rPr>
          <w:rFonts w:ascii="Arial;sans-serif" w:hAnsi="Arial;sans-serif"/>
          <w:b w:val="false"/>
          <w:color w:val="181818"/>
          <w:sz w:val="17"/>
        </w:rPr>
        <w:t xml:space="preserve">its duly </w:t>
      </w:r>
      <w:r>
        <w:rPr>
          <w:rFonts w:ascii="Arial;sans-serif" w:hAnsi="Arial;sans-serif"/>
          <w:b w:val="false"/>
          <w:color w:val="2F2F2F"/>
          <w:sz w:val="17"/>
        </w:rPr>
        <w:t xml:space="preserve">authorized officers and agents, as my agents and attorney-in-fact </w:t>
      </w:r>
      <w:r>
        <w:rPr>
          <w:rFonts w:ascii="Arial;sans-serif" w:hAnsi="Arial;sans-serif"/>
          <w:b w:val="false"/>
          <w:color w:val="181818"/>
          <w:sz w:val="17"/>
        </w:rPr>
        <w:t xml:space="preserve">to </w:t>
      </w:r>
      <w:r>
        <w:rPr>
          <w:rFonts w:ascii="Arial;sans-serif" w:hAnsi="Arial;sans-serif"/>
          <w:b w:val="false"/>
          <w:color w:val="2F2F2F"/>
          <w:sz w:val="17"/>
        </w:rPr>
        <w:t xml:space="preserve">act for and </w:t>
      </w:r>
      <w:r>
        <w:rPr>
          <w:rFonts w:ascii="Arial;sans-serif" w:hAnsi="Arial;sans-serif"/>
          <w:b w:val="false"/>
          <w:color w:val="181818"/>
          <w:sz w:val="17"/>
        </w:rPr>
        <w:t xml:space="preserve">in my </w:t>
      </w:r>
      <w:r>
        <w:rPr>
          <w:rFonts w:ascii="Arial;sans-serif" w:hAnsi="Arial;sans-serif"/>
          <w:b w:val="false"/>
          <w:color w:val="2F2F2F"/>
          <w:sz w:val="17"/>
        </w:rPr>
        <w:t xml:space="preserve">behalf and </w:t>
      </w:r>
      <w:r>
        <w:rPr>
          <w:rFonts w:ascii="Arial;sans-serif" w:hAnsi="Arial;sans-serif"/>
          <w:b w:val="false"/>
          <w:color w:val="181818"/>
          <w:sz w:val="17"/>
        </w:rPr>
        <w:t>inst</w:t>
      </w:r>
      <w:r>
        <w:rPr>
          <w:rFonts w:ascii="Arial;sans-serif" w:hAnsi="Arial;sans-serif"/>
          <w:b w:val="false"/>
          <w:color w:val="444444"/>
          <w:sz w:val="17"/>
        </w:rPr>
        <w:t xml:space="preserve">ead </w:t>
      </w:r>
      <w:r>
        <w:rPr>
          <w:rFonts w:ascii="Arial;sans-serif" w:hAnsi="Arial;sans-serif"/>
          <w:b w:val="false"/>
          <w:color w:val="2F2F2F"/>
          <w:sz w:val="17"/>
        </w:rPr>
        <w:t xml:space="preserve">of </w:t>
      </w:r>
      <w:r>
        <w:rPr>
          <w:rFonts w:ascii="Arial;sans-serif" w:hAnsi="Arial;sans-serif"/>
          <w:b w:val="false"/>
          <w:color w:val="181818"/>
          <w:sz w:val="17"/>
        </w:rPr>
        <w:t xml:space="preserve">me, to </w:t>
      </w:r>
      <w:r>
        <w:rPr>
          <w:rFonts w:ascii="Arial;sans-serif" w:hAnsi="Arial;sans-serif"/>
          <w:b w:val="false"/>
          <w:color w:val="2F2F2F"/>
          <w:sz w:val="17"/>
        </w:rPr>
        <w:t xml:space="preserve">execute and </w:t>
      </w:r>
      <w:r>
        <w:rPr>
          <w:rFonts w:ascii="Arial;sans-serif" w:hAnsi="Arial;sans-serif"/>
          <w:b w:val="false"/>
          <w:color w:val="181818"/>
          <w:sz w:val="17"/>
        </w:rPr>
        <w:t xml:space="preserve">file </w:t>
      </w:r>
      <w:r>
        <w:rPr>
          <w:rFonts w:ascii="Arial;sans-serif" w:hAnsi="Arial;sans-serif"/>
          <w:b w:val="false"/>
          <w:color w:val="444444"/>
          <w:sz w:val="17"/>
        </w:rPr>
        <w:t>a</w:t>
      </w:r>
      <w:r>
        <w:rPr>
          <w:rFonts w:ascii="Arial;sans-serif" w:hAnsi="Arial;sans-serif"/>
          <w:b w:val="false"/>
          <w:color w:val="181818"/>
          <w:sz w:val="17"/>
        </w:rPr>
        <w:t xml:space="preserve">ny </w:t>
      </w:r>
      <w:r>
        <w:rPr>
          <w:rFonts w:ascii="Arial;sans-serif" w:hAnsi="Arial;sans-serif"/>
          <w:b w:val="false"/>
          <w:color w:val="2F2F2F"/>
          <w:sz w:val="17"/>
        </w:rPr>
        <w:t xml:space="preserve">such application and </w:t>
      </w:r>
      <w:r>
        <w:rPr>
          <w:rFonts w:ascii="Arial;sans-serif" w:hAnsi="Arial;sans-serif"/>
          <w:b w:val="false"/>
          <w:color w:val="181818"/>
          <w:sz w:val="17"/>
        </w:rPr>
        <w:t xml:space="preserve">to </w:t>
      </w:r>
      <w:r>
        <w:rPr>
          <w:rFonts w:ascii="Arial;sans-serif" w:hAnsi="Arial;sans-serif"/>
          <w:b w:val="false"/>
          <w:color w:val="2F2F2F"/>
          <w:sz w:val="17"/>
        </w:rPr>
        <w:t xml:space="preserve">do all other </w:t>
      </w:r>
      <w:r>
        <w:rPr>
          <w:rFonts w:ascii="Arial;sans-serif" w:hAnsi="Arial;sans-serif"/>
          <w:b w:val="false"/>
          <w:color w:val="181818"/>
          <w:sz w:val="17"/>
        </w:rPr>
        <w:t>lawfully p</w:t>
      </w:r>
      <w:r>
        <w:rPr>
          <w:rFonts w:ascii="Arial;sans-serif" w:hAnsi="Arial;sans-serif"/>
          <w:b w:val="false"/>
          <w:color w:val="444444"/>
          <w:sz w:val="17"/>
        </w:rPr>
        <w:t>e</w:t>
      </w:r>
      <w:r>
        <w:rPr>
          <w:rFonts w:ascii="Arial;sans-serif" w:hAnsi="Arial;sans-serif"/>
          <w:b w:val="false"/>
          <w:color w:val="181818"/>
          <w:sz w:val="17"/>
        </w:rPr>
        <w:t>rmitt</w:t>
      </w:r>
      <w:r>
        <w:rPr>
          <w:rFonts w:ascii="Arial;sans-serif" w:hAnsi="Arial;sans-serif"/>
          <w:b w:val="false"/>
          <w:color w:val="444444"/>
          <w:sz w:val="17"/>
        </w:rPr>
        <w:t xml:space="preserve">ed </w:t>
      </w:r>
      <w:r>
        <w:rPr>
          <w:rFonts w:ascii="Arial;sans-serif" w:hAnsi="Arial;sans-serif"/>
          <w:b w:val="false"/>
          <w:color w:val="2F2F2F"/>
          <w:sz w:val="17"/>
        </w:rPr>
        <w:t xml:space="preserve">acts </w:t>
      </w:r>
      <w:r>
        <w:rPr>
          <w:rFonts w:ascii="Arial;sans-serif" w:hAnsi="Arial;sans-serif"/>
          <w:b w:val="false"/>
          <w:color w:val="181818"/>
          <w:sz w:val="17"/>
        </w:rPr>
        <w:t xml:space="preserve">to </w:t>
      </w:r>
      <w:r>
        <w:rPr>
          <w:rFonts w:ascii="Arial;sans-serif" w:hAnsi="Arial;sans-serif"/>
          <w:b w:val="false"/>
          <w:color w:val="2F2F2F"/>
          <w:sz w:val="17"/>
        </w:rPr>
        <w:t xml:space="preserve">further </w:t>
      </w:r>
      <w:r>
        <w:rPr>
          <w:rFonts w:ascii="Arial;sans-serif" w:hAnsi="Arial;sans-serif"/>
          <w:b w:val="false"/>
          <w:color w:val="181818"/>
          <w:sz w:val="17"/>
        </w:rPr>
        <w:t xml:space="preserve">the prosecution </w:t>
      </w:r>
      <w:r>
        <w:rPr>
          <w:rFonts w:ascii="Arial;sans-serif" w:hAnsi="Arial;sans-serif"/>
          <w:b w:val="false"/>
          <w:color w:val="2F2F2F"/>
          <w:sz w:val="17"/>
        </w:rPr>
        <w:t xml:space="preserve">and </w:t>
      </w:r>
      <w:r>
        <w:rPr>
          <w:rFonts w:ascii="Arial;sans-serif" w:hAnsi="Arial;sans-serif"/>
          <w:b w:val="false"/>
          <w:color w:val="181818"/>
          <w:sz w:val="17"/>
        </w:rPr>
        <w:t>issuan</w:t>
      </w:r>
      <w:r>
        <w:rPr>
          <w:rFonts w:ascii="Arial;sans-serif" w:hAnsi="Arial;sans-serif"/>
          <w:b w:val="false"/>
          <w:color w:val="444444"/>
          <w:sz w:val="17"/>
        </w:rPr>
        <w:t xml:space="preserve">ce </w:t>
      </w:r>
      <w:r>
        <w:rPr>
          <w:rFonts w:ascii="Arial;sans-serif" w:hAnsi="Arial;sans-serif"/>
          <w:b w:val="false"/>
          <w:color w:val="2F2F2F"/>
          <w:sz w:val="17"/>
        </w:rPr>
        <w:t xml:space="preserve">of patents </w:t>
      </w:r>
      <w:r>
        <w:rPr>
          <w:rFonts w:ascii="Arial;sans-serif" w:hAnsi="Arial;sans-serif"/>
          <w:b w:val="false"/>
          <w:color w:val="181818"/>
          <w:sz w:val="17"/>
        </w:rPr>
        <w:t xml:space="preserve">thereon </w:t>
      </w:r>
      <w:r>
        <w:rPr>
          <w:rFonts w:ascii="Arial;sans-serif" w:hAnsi="Arial;sans-serif"/>
          <w:b w:val="false"/>
          <w:color w:val="2F2F2F"/>
          <w:sz w:val="17"/>
        </w:rPr>
        <w:t xml:space="preserve">with </w:t>
      </w:r>
      <w:r>
        <w:rPr>
          <w:rFonts w:ascii="Arial;sans-serif" w:hAnsi="Arial;sans-serif"/>
          <w:b w:val="false"/>
          <w:color w:val="181818"/>
          <w:sz w:val="17"/>
        </w:rPr>
        <w:t xml:space="preserve">the </w:t>
      </w:r>
      <w:r>
        <w:rPr>
          <w:rFonts w:ascii="Arial;sans-serif" w:hAnsi="Arial;sans-serif"/>
          <w:b w:val="false"/>
          <w:color w:val="2F2F2F"/>
          <w:sz w:val="17"/>
        </w:rPr>
        <w:t xml:space="preserve">same </w:t>
      </w:r>
      <w:r>
        <w:rPr>
          <w:rFonts w:ascii="Arial;sans-serif" w:hAnsi="Arial;sans-serif"/>
          <w:b w:val="false"/>
          <w:color w:val="181818"/>
          <w:sz w:val="17"/>
        </w:rPr>
        <w:t xml:space="preserve">legal </w:t>
      </w:r>
      <w:r>
        <w:rPr>
          <w:rFonts w:ascii="Arial;sans-serif" w:hAnsi="Arial;sans-serif"/>
          <w:b w:val="false"/>
          <w:color w:val="2F2F2F"/>
          <w:sz w:val="17"/>
        </w:rPr>
        <w:t xml:space="preserve">force and effect as </w:t>
      </w:r>
      <w:r>
        <w:rPr>
          <w:rFonts w:ascii="Arial;sans-serif" w:hAnsi="Arial;sans-serif"/>
          <w:b w:val="false"/>
          <w:color w:val="181818"/>
          <w:sz w:val="17"/>
        </w:rPr>
        <w:t xml:space="preserve">if </w:t>
      </w:r>
      <w:r>
        <w:rPr>
          <w:rFonts w:ascii="Arial;sans-serif" w:hAnsi="Arial;sans-serif"/>
          <w:b w:val="false"/>
          <w:color w:val="2F2F2F"/>
          <w:sz w:val="17"/>
        </w:rPr>
        <w:t xml:space="preserve">executed by </w:t>
      </w:r>
      <w:r>
        <w:rPr>
          <w:rFonts w:ascii="Arial;sans-serif" w:hAnsi="Arial;sans-serif"/>
          <w:b w:val="false"/>
          <w:color w:val="181818"/>
          <w:sz w:val="17"/>
        </w:rPr>
        <w:t>me.</w:t>
      </w:r>
    </w:p>
    <w:p>
      <w:pPr>
        <w:pStyle w:val="TextBody"/>
        <w:spacing w:before="0" w:after="0"/>
        <w:rPr/>
      </w:pPr>
      <w:r>
        <w:rPr/>
      </w:r>
    </w:p>
    <w:p>
      <w:pPr>
        <w:pStyle w:val="TextBody"/>
        <w:spacing w:before="0" w:after="0"/>
        <w:rPr/>
      </w:pPr>
      <w:r>
        <w:rPr/>
      </w:r>
    </w:p>
    <w:p>
      <w:pPr>
        <w:pStyle w:val="TextBody"/>
        <w:spacing w:before="7" w:after="283"/>
        <w:rPr/>
      </w:pPr>
      <w:r>
        <w:rPr/>
        <w:drawing>
          <wp:inline distT="0" distB="63500" distL="0" distR="0">
            <wp:extent cx="5524500" cy="14605"/>
            <wp:effectExtent l="0" t="0" r="0" b="0"/>
            <wp:docPr id="10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3" descr=""/>
                    <pic:cNvPicPr>
                      <a:picLocks noChangeAspect="1" noChangeArrowheads="1"/>
                    </pic:cNvPicPr>
                  </pic:nvPicPr>
                  <pic:blipFill>
                    <a:blip r:embed="rId15"/>
                    <a:stretch>
                      <a:fillRect/>
                    </a:stretch>
                  </pic:blipFill>
                  <pic:spPr bwMode="auto">
                    <a:xfrm>
                      <a:off x="0" y="0"/>
                      <a:ext cx="5524500" cy="14605"/>
                    </a:xfrm>
                    <a:prstGeom prst="rect">
                      <a:avLst/>
                    </a:prstGeom>
                  </pic:spPr>
                </pic:pic>
              </a:graphicData>
            </a:graphic>
          </wp:inline>
        </w:drawing>
      </w:r>
    </w:p>
    <w:p>
      <w:pPr>
        <w:pStyle w:val="TextBody"/>
        <w:spacing w:lineRule="auto" w:line="240" w:before="33" w:after="283"/>
        <w:rPr/>
      </w:pPr>
      <w:r>
        <w:rPr>
          <w:rFonts w:ascii="Arial;sans-serif" w:hAnsi="Arial;sans-serif"/>
          <w:b w:val="false"/>
          <w:color w:val="181818"/>
          <w:sz w:val="13"/>
        </w:rPr>
        <w:t xml:space="preserve">1. </w:t>
      </w:r>
      <w:r>
        <w:rPr>
          <w:rFonts w:ascii="Arial;sans-serif" w:hAnsi="Arial;sans-serif"/>
          <w:b w:val="false"/>
          <w:color w:val="2F2F2F"/>
          <w:sz w:val="13"/>
        </w:rPr>
        <w:t xml:space="preserve">APPLICABLE TO </w:t>
      </w:r>
      <w:r>
        <w:rPr>
          <w:rFonts w:ascii="Arial;sans-serif" w:hAnsi="Arial;sans-serif"/>
          <w:b w:val="false"/>
          <w:color w:val="444444"/>
          <w:sz w:val="13"/>
        </w:rPr>
        <w:t>CALIFORN</w:t>
      </w:r>
      <w:r>
        <w:rPr>
          <w:rFonts w:ascii="Arial;sans-serif" w:hAnsi="Arial;sans-serif"/>
          <w:b w:val="false"/>
          <w:color w:val="181818"/>
          <w:sz w:val="13"/>
        </w:rPr>
        <w:t>IA-BA</w:t>
      </w:r>
      <w:r>
        <w:rPr>
          <w:rFonts w:ascii="Arial;sans-serif" w:hAnsi="Arial;sans-serif"/>
          <w:b w:val="false"/>
          <w:color w:val="444444"/>
          <w:sz w:val="13"/>
        </w:rPr>
        <w:t xml:space="preserve">SED </w:t>
      </w:r>
      <w:r>
        <w:rPr>
          <w:rFonts w:ascii="Arial;sans-serif" w:hAnsi="Arial;sans-serif"/>
          <w:b w:val="false"/>
          <w:color w:val="2F2F2F"/>
          <w:sz w:val="13"/>
        </w:rPr>
        <w:t>EMPLOYEES ONLY:</w:t>
      </w:r>
    </w:p>
    <w:p>
      <w:pPr>
        <w:pStyle w:val="TextBody"/>
        <w:spacing w:before="3" w:after="283"/>
        <w:rPr/>
      </w:pPr>
      <w:r>
        <w:rPr/>
      </w:r>
    </w:p>
    <w:p>
      <w:pPr>
        <w:pStyle w:val="TextBody"/>
        <w:spacing w:lineRule="auto" w:line="240" w:before="0" w:after="0"/>
        <w:rPr/>
      </w:pPr>
      <w:r>
        <w:rPr>
          <w:rFonts w:ascii="Arial;sans-serif" w:hAnsi="Arial;sans-serif"/>
          <w:b w:val="false"/>
          <w:color w:val="2F2F2F"/>
          <w:sz w:val="13"/>
        </w:rPr>
        <w:t xml:space="preserve">This Agreement does not require assignment of an invention which </w:t>
      </w:r>
      <w:r>
        <w:rPr>
          <w:rFonts w:ascii="Arial;sans-serif" w:hAnsi="Arial;sans-serif"/>
          <w:b w:val="false"/>
          <w:color w:val="444444"/>
          <w:sz w:val="13"/>
        </w:rPr>
        <w:t>a</w:t>
      </w:r>
      <w:r>
        <w:rPr>
          <w:rFonts w:ascii="Arial;sans-serif" w:hAnsi="Arial;sans-serif"/>
          <w:b w:val="false"/>
          <w:color w:val="181818"/>
          <w:sz w:val="13"/>
        </w:rPr>
        <w:t xml:space="preserve">n </w:t>
      </w:r>
      <w:r>
        <w:rPr>
          <w:rFonts w:ascii="Arial;sans-serif" w:hAnsi="Arial;sans-serif"/>
          <w:b w:val="false"/>
          <w:color w:val="2F2F2F"/>
          <w:sz w:val="13"/>
        </w:rPr>
        <w:t xml:space="preserve">employee </w:t>
      </w:r>
      <w:r>
        <w:rPr>
          <w:rFonts w:ascii="Arial;sans-serif" w:hAnsi="Arial;sans-serif"/>
          <w:b w:val="false"/>
          <w:color w:val="444444"/>
          <w:sz w:val="13"/>
        </w:rPr>
        <w:t>canno</w:t>
      </w:r>
      <w:r>
        <w:rPr>
          <w:rFonts w:ascii="Arial;sans-serif" w:hAnsi="Arial;sans-serif"/>
          <w:b w:val="false"/>
          <w:color w:val="181818"/>
          <w:sz w:val="13"/>
        </w:rPr>
        <w:t xml:space="preserve">t </w:t>
      </w:r>
      <w:r>
        <w:rPr>
          <w:rFonts w:ascii="Arial;sans-serif" w:hAnsi="Arial;sans-serif"/>
          <w:b w:val="false"/>
          <w:color w:val="444444"/>
          <w:sz w:val="13"/>
        </w:rPr>
        <w:t xml:space="preserve">be </w:t>
      </w:r>
      <w:r>
        <w:rPr>
          <w:rFonts w:ascii="Arial;sans-serif" w:hAnsi="Arial;sans-serif"/>
          <w:b w:val="false"/>
          <w:color w:val="2F2F2F"/>
          <w:sz w:val="13"/>
        </w:rPr>
        <w:t xml:space="preserve">obligated to assign under </w:t>
      </w:r>
      <w:r>
        <w:rPr>
          <w:rFonts w:ascii="Arial;sans-serif" w:hAnsi="Arial;sans-serif"/>
          <w:b w:val="false"/>
          <w:color w:val="444444"/>
          <w:sz w:val="13"/>
        </w:rPr>
        <w:t>Section</w:t>
      </w:r>
    </w:p>
    <w:p>
      <w:pPr>
        <w:pStyle w:val="TextBody"/>
        <w:spacing w:lineRule="auto" w:line="302" w:before="9" w:after="283"/>
        <w:ind w:left="0" w:right="0" w:firstLine="4"/>
        <w:rPr/>
      </w:pPr>
      <w:r>
        <w:rPr>
          <w:rFonts w:ascii="Arial;sans-serif" w:hAnsi="Arial;sans-serif"/>
          <w:b w:val="false"/>
          <w:color w:val="2F2F2F"/>
          <w:sz w:val="13"/>
        </w:rPr>
        <w:t xml:space="preserve">2870 of the </w:t>
      </w:r>
      <w:r>
        <w:rPr>
          <w:rFonts w:ascii="Arial;sans-serif" w:hAnsi="Arial;sans-serif"/>
          <w:b w:val="false"/>
          <w:color w:val="444444"/>
          <w:sz w:val="13"/>
        </w:rPr>
        <w:t xml:space="preserve">California </w:t>
      </w:r>
      <w:r>
        <w:rPr>
          <w:rFonts w:ascii="Arial;sans-serif" w:hAnsi="Arial;sans-serif"/>
          <w:b w:val="false"/>
          <w:color w:val="2F2F2F"/>
          <w:sz w:val="13"/>
        </w:rPr>
        <w:t xml:space="preserve">Labor </w:t>
      </w:r>
      <w:r>
        <w:rPr>
          <w:rFonts w:ascii="Arial;sans-serif" w:hAnsi="Arial;sans-serif"/>
          <w:b w:val="false"/>
          <w:color w:val="444444"/>
          <w:sz w:val="13"/>
        </w:rPr>
        <w:t xml:space="preserve">Code </w:t>
      </w:r>
      <w:r>
        <w:rPr>
          <w:rFonts w:ascii="Arial;sans-serif" w:hAnsi="Arial;sans-serif"/>
          <w:b w:val="false"/>
          <w:color w:val="181818"/>
          <w:sz w:val="13"/>
        </w:rPr>
        <w:t>{</w:t>
      </w:r>
      <w:r>
        <w:rPr>
          <w:rFonts w:ascii="Arial;sans-serif" w:hAnsi="Arial;sans-serif"/>
          <w:b w:val="false"/>
          <w:color w:val="444444"/>
          <w:sz w:val="13"/>
        </w:rPr>
        <w:t xml:space="preserve">hereafter </w:t>
      </w:r>
      <w:r>
        <w:rPr>
          <w:rFonts w:ascii="Arial;sans-serif" w:hAnsi="Arial;sans-serif"/>
          <w:b w:val="false"/>
          <w:color w:val="2F2F2F"/>
          <w:sz w:val="13"/>
        </w:rPr>
        <w:t xml:space="preserve">called </w:t>
      </w:r>
      <w:r>
        <w:rPr>
          <w:rFonts w:ascii="Arial;sans-serif" w:hAnsi="Arial;sans-serif"/>
          <w:b w:val="false"/>
          <w:color w:val="565656"/>
          <w:sz w:val="13"/>
        </w:rPr>
        <w:t xml:space="preserve">"Section </w:t>
      </w:r>
      <w:r>
        <w:rPr>
          <w:rFonts w:ascii="Arial;sans-serif" w:hAnsi="Arial;sans-serif"/>
          <w:b w:val="false"/>
          <w:color w:val="2F2F2F"/>
          <w:sz w:val="13"/>
        </w:rPr>
        <w:t xml:space="preserve">2870") (quoted below). However, </w:t>
      </w:r>
      <w:r>
        <w:rPr>
          <w:rFonts w:ascii="Arial;sans-serif" w:hAnsi="Arial;sans-serif"/>
          <w:b w:val="false"/>
          <w:color w:val="444444"/>
          <w:sz w:val="13"/>
        </w:rPr>
        <w:t xml:space="preserve">I will </w:t>
      </w:r>
      <w:r>
        <w:rPr>
          <w:rFonts w:ascii="Arial;sans-serif" w:hAnsi="Arial;sans-serif"/>
          <w:b w:val="false"/>
          <w:color w:val="2F2F2F"/>
          <w:sz w:val="13"/>
        </w:rPr>
        <w:t xml:space="preserve">disclose any </w:t>
      </w:r>
      <w:r>
        <w:rPr>
          <w:rFonts w:ascii="Arial;sans-serif" w:hAnsi="Arial;sans-serif"/>
          <w:b w:val="false"/>
          <w:color w:val="181818"/>
          <w:sz w:val="13"/>
        </w:rPr>
        <w:t>In</w:t>
      </w:r>
      <w:r>
        <w:rPr>
          <w:rFonts w:ascii="Arial;sans-serif" w:hAnsi="Arial;sans-serif"/>
          <w:b w:val="false"/>
          <w:color w:val="444444"/>
          <w:sz w:val="13"/>
        </w:rPr>
        <w:t>vent</w:t>
      </w:r>
      <w:r>
        <w:rPr>
          <w:rFonts w:ascii="Arial;sans-serif" w:hAnsi="Arial;sans-serif"/>
          <w:b w:val="false"/>
          <w:color w:val="181818"/>
          <w:sz w:val="13"/>
        </w:rPr>
        <w:t>ion</w:t>
      </w:r>
      <w:r>
        <w:rPr>
          <w:rFonts w:ascii="Arial;sans-serif" w:hAnsi="Arial;sans-serif"/>
          <w:b w:val="false"/>
          <w:color w:val="444444"/>
          <w:sz w:val="13"/>
        </w:rPr>
        <w:t xml:space="preserve">s </w:t>
      </w:r>
      <w:r>
        <w:rPr>
          <w:rFonts w:ascii="Arial;sans-serif" w:hAnsi="Arial;sans-serif"/>
          <w:b w:val="false"/>
          <w:color w:val="2F2F2F"/>
          <w:sz w:val="13"/>
        </w:rPr>
        <w:t xml:space="preserve">as required by </w:t>
      </w:r>
      <w:r>
        <w:rPr>
          <w:rFonts w:ascii="Arial;sans-serif" w:hAnsi="Arial;sans-serif"/>
          <w:b w:val="false"/>
          <w:color w:val="444444"/>
          <w:sz w:val="13"/>
        </w:rPr>
        <w:t>Sec</w:t>
      </w:r>
      <w:r>
        <w:rPr>
          <w:rFonts w:ascii="Arial;sans-serif" w:hAnsi="Arial;sans-serif"/>
          <w:b w:val="false"/>
          <w:color w:val="181818"/>
          <w:sz w:val="13"/>
        </w:rPr>
        <w:t xml:space="preserve">tion </w:t>
      </w:r>
      <w:r>
        <w:rPr>
          <w:rFonts w:ascii="Arial;sans-serif" w:hAnsi="Arial;sans-serif"/>
          <w:b w:val="false"/>
          <w:color w:val="2F2F2F"/>
          <w:sz w:val="13"/>
        </w:rPr>
        <w:t xml:space="preserve">9 hereof regardless </w:t>
      </w:r>
      <w:r>
        <w:rPr>
          <w:rFonts w:ascii="Arial;sans-serif" w:hAnsi="Arial;sans-serif"/>
          <w:b w:val="false"/>
          <w:color w:val="444444"/>
          <w:sz w:val="13"/>
        </w:rPr>
        <w:t>o</w:t>
      </w:r>
      <w:r>
        <w:rPr>
          <w:rFonts w:ascii="Arial;sans-serif" w:hAnsi="Arial;sans-serif"/>
          <w:b w:val="false"/>
          <w:color w:val="181818"/>
          <w:sz w:val="13"/>
        </w:rPr>
        <w:t xml:space="preserve">f </w:t>
      </w:r>
      <w:r>
        <w:rPr>
          <w:rFonts w:ascii="Arial;sans-serif" w:hAnsi="Arial;sans-serif"/>
          <w:b w:val="false"/>
          <w:color w:val="444444"/>
          <w:sz w:val="13"/>
        </w:rPr>
        <w:t xml:space="preserve">whether </w:t>
      </w:r>
      <w:r>
        <w:rPr>
          <w:rFonts w:ascii="Arial;sans-serif" w:hAnsi="Arial;sans-serif"/>
          <w:b w:val="false"/>
          <w:color w:val="2F2F2F"/>
          <w:sz w:val="13"/>
        </w:rPr>
        <w:t xml:space="preserve">I believe the </w:t>
      </w:r>
      <w:r>
        <w:rPr>
          <w:rFonts w:ascii="Arial;sans-serif" w:hAnsi="Arial;sans-serif"/>
          <w:b w:val="false"/>
          <w:color w:val="181818"/>
          <w:sz w:val="13"/>
        </w:rPr>
        <w:t>In</w:t>
      </w:r>
      <w:r>
        <w:rPr>
          <w:rFonts w:ascii="Arial;sans-serif" w:hAnsi="Arial;sans-serif"/>
          <w:b w:val="false"/>
          <w:color w:val="444444"/>
          <w:sz w:val="13"/>
        </w:rPr>
        <w:t>ve</w:t>
      </w:r>
      <w:r>
        <w:rPr>
          <w:rFonts w:ascii="Arial;sans-serif" w:hAnsi="Arial;sans-serif"/>
          <w:b w:val="false"/>
          <w:color w:val="181818"/>
          <w:sz w:val="13"/>
        </w:rPr>
        <w:t xml:space="preserve">ntion </w:t>
      </w:r>
      <w:r>
        <w:rPr>
          <w:rFonts w:ascii="Arial;sans-serif" w:hAnsi="Arial;sans-serif"/>
          <w:b w:val="false"/>
          <w:color w:val="2F2F2F"/>
          <w:sz w:val="13"/>
        </w:rPr>
        <w:t xml:space="preserve">is protected by </w:t>
      </w:r>
      <w:r>
        <w:rPr>
          <w:rFonts w:ascii="Arial;sans-serif" w:hAnsi="Arial;sans-serif"/>
          <w:b w:val="false"/>
          <w:color w:val="444444"/>
          <w:sz w:val="13"/>
        </w:rPr>
        <w:t xml:space="preserve">Section 2870, </w:t>
      </w:r>
      <w:r>
        <w:rPr>
          <w:rFonts w:ascii="Arial;sans-serif" w:hAnsi="Arial;sans-serif"/>
          <w:b w:val="false"/>
          <w:color w:val="181818"/>
          <w:sz w:val="13"/>
        </w:rPr>
        <w:t>i</w:t>
      </w:r>
      <w:r>
        <w:rPr>
          <w:rFonts w:ascii="Arial;sans-serif" w:hAnsi="Arial;sans-serif"/>
          <w:b w:val="false"/>
          <w:color w:val="444444"/>
          <w:sz w:val="13"/>
        </w:rPr>
        <w:t xml:space="preserve">n order </w:t>
      </w:r>
      <w:r>
        <w:rPr>
          <w:rFonts w:ascii="Arial;sans-serif" w:hAnsi="Arial;sans-serif"/>
          <w:b w:val="false"/>
          <w:color w:val="2F2F2F"/>
          <w:sz w:val="13"/>
        </w:rPr>
        <w:t xml:space="preserve">lo permit the </w:t>
      </w:r>
      <w:r>
        <w:rPr>
          <w:rFonts w:ascii="Arial;sans-serif" w:hAnsi="Arial;sans-serif"/>
          <w:b w:val="false"/>
          <w:color w:val="444444"/>
          <w:sz w:val="13"/>
        </w:rPr>
        <w:t xml:space="preserve">Company </w:t>
      </w:r>
      <w:r>
        <w:rPr>
          <w:rFonts w:ascii="Arial;sans-serif" w:hAnsi="Arial;sans-serif"/>
          <w:b w:val="false"/>
          <w:color w:val="2F2F2F"/>
          <w:sz w:val="13"/>
        </w:rPr>
        <w:t xml:space="preserve">to engage </w:t>
      </w:r>
      <w:r>
        <w:rPr>
          <w:rFonts w:ascii="Arial;sans-serif" w:hAnsi="Arial;sans-serif"/>
          <w:b w:val="false"/>
          <w:color w:val="181818"/>
          <w:sz w:val="13"/>
        </w:rPr>
        <w:t>i</w:t>
      </w:r>
      <w:r>
        <w:rPr>
          <w:rFonts w:ascii="Arial;sans-serif" w:hAnsi="Arial;sans-serif"/>
          <w:b w:val="false"/>
          <w:color w:val="565656"/>
          <w:sz w:val="13"/>
        </w:rPr>
        <w:t xml:space="preserve">n </w:t>
      </w:r>
      <w:r>
        <w:rPr>
          <w:rFonts w:ascii="Arial;sans-serif" w:hAnsi="Arial;sans-serif"/>
          <w:b w:val="false"/>
          <w:color w:val="444444"/>
          <w:sz w:val="13"/>
        </w:rPr>
        <w:t xml:space="preserve">a </w:t>
      </w:r>
      <w:r>
        <w:rPr>
          <w:rFonts w:ascii="Arial;sans-serif" w:hAnsi="Arial;sans-serif"/>
          <w:b w:val="false"/>
          <w:color w:val="2F2F2F"/>
          <w:sz w:val="13"/>
        </w:rPr>
        <w:t xml:space="preserve">review process to determine such </w:t>
      </w:r>
      <w:r>
        <w:rPr>
          <w:rFonts w:ascii="Arial;sans-serif" w:hAnsi="Arial;sans-serif"/>
          <w:b w:val="false"/>
          <w:color w:val="181818"/>
          <w:sz w:val="13"/>
        </w:rPr>
        <w:t>i</w:t>
      </w:r>
      <w:r>
        <w:rPr>
          <w:rFonts w:ascii="Arial;sans-serif" w:hAnsi="Arial;sans-serif"/>
          <w:b w:val="false"/>
          <w:color w:val="444444"/>
          <w:sz w:val="13"/>
        </w:rPr>
        <w:t xml:space="preserve">ssues as may </w:t>
      </w:r>
      <w:r>
        <w:rPr>
          <w:rFonts w:ascii="Arial;sans-serif" w:hAnsi="Arial;sans-serif"/>
          <w:b w:val="false"/>
          <w:color w:val="2F2F2F"/>
          <w:sz w:val="13"/>
        </w:rPr>
        <w:t xml:space="preserve">arise. </w:t>
      </w:r>
      <w:r>
        <w:rPr>
          <w:rFonts w:ascii="Arial;sans-serif" w:hAnsi="Arial;sans-serif"/>
          <w:b w:val="false"/>
          <w:color w:val="444444"/>
          <w:sz w:val="13"/>
        </w:rPr>
        <w:t>S</w:t>
      </w:r>
      <w:r>
        <w:rPr>
          <w:rFonts w:ascii="Arial;sans-serif" w:hAnsi="Arial;sans-serif"/>
          <w:b w:val="false"/>
          <w:color w:val="181818"/>
          <w:sz w:val="13"/>
        </w:rPr>
        <w:t>u</w:t>
      </w:r>
      <w:r>
        <w:rPr>
          <w:rFonts w:ascii="Arial;sans-serif" w:hAnsi="Arial;sans-serif"/>
          <w:b w:val="false"/>
          <w:color w:val="444444"/>
          <w:sz w:val="13"/>
        </w:rPr>
        <w:t xml:space="preserve">ch </w:t>
      </w:r>
      <w:r>
        <w:rPr>
          <w:rFonts w:ascii="Arial;sans-serif" w:hAnsi="Arial;sans-serif"/>
          <w:b w:val="false"/>
          <w:color w:val="2F2F2F"/>
          <w:sz w:val="13"/>
        </w:rPr>
        <w:t xml:space="preserve">disclosure shall be received </w:t>
      </w:r>
      <w:r>
        <w:rPr>
          <w:rFonts w:ascii="Arial;sans-serif" w:hAnsi="Arial;sans-serif"/>
          <w:b w:val="false"/>
          <w:color w:val="181818"/>
          <w:sz w:val="13"/>
        </w:rPr>
        <w:t>i</w:t>
      </w:r>
      <w:r>
        <w:rPr>
          <w:rFonts w:ascii="Arial;sans-serif" w:hAnsi="Arial;sans-serif"/>
          <w:b w:val="false"/>
          <w:color w:val="444444"/>
          <w:sz w:val="13"/>
        </w:rPr>
        <w:t xml:space="preserve">n confidence </w:t>
      </w:r>
      <w:r>
        <w:rPr>
          <w:rFonts w:ascii="Arial;sans-serif" w:hAnsi="Arial;sans-serif"/>
          <w:b w:val="false"/>
          <w:color w:val="2F2F2F"/>
          <w:sz w:val="13"/>
        </w:rPr>
        <w:t xml:space="preserve">by the </w:t>
      </w:r>
      <w:r>
        <w:rPr>
          <w:rFonts w:ascii="Arial;sans-serif" w:hAnsi="Arial;sans-serif"/>
          <w:b w:val="false"/>
          <w:color w:val="444444"/>
          <w:sz w:val="13"/>
        </w:rPr>
        <w:t>Compa</w:t>
      </w:r>
      <w:r>
        <w:rPr>
          <w:rFonts w:ascii="Arial;sans-serif" w:hAnsi="Arial;sans-serif"/>
          <w:b w:val="false"/>
          <w:color w:val="181818"/>
          <w:sz w:val="13"/>
        </w:rPr>
        <w:t>ny</w:t>
      </w:r>
      <w:r>
        <w:rPr>
          <w:rFonts w:ascii="Arial;sans-serif" w:hAnsi="Arial;sans-serif"/>
          <w:b w:val="false"/>
          <w:color w:val="565656"/>
          <w:sz w:val="13"/>
        </w:rPr>
        <w:t>.</w:t>
      </w:r>
    </w:p>
    <w:p>
      <w:pPr>
        <w:pStyle w:val="TextBody"/>
        <w:spacing w:before="0" w:after="0"/>
        <w:rPr/>
      </w:pPr>
      <w:r>
        <w:rPr/>
      </w:r>
    </w:p>
    <w:p>
      <w:pPr>
        <w:pStyle w:val="TextBody"/>
        <w:spacing w:lineRule="auto" w:line="300" w:before="0" w:after="0"/>
        <w:ind w:left="0" w:right="0" w:firstLine="2"/>
        <w:rPr/>
      </w:pPr>
      <w:r>
        <w:rPr>
          <w:rFonts w:ascii="Arial;sans-serif" w:hAnsi="Arial;sans-serif"/>
          <w:b w:val="false"/>
          <w:color w:val="444444"/>
          <w:sz w:val="13"/>
        </w:rPr>
        <w:t xml:space="preserve">California </w:t>
      </w:r>
      <w:r>
        <w:rPr>
          <w:rFonts w:ascii="Arial;sans-serif" w:hAnsi="Arial;sans-serif"/>
          <w:b w:val="false"/>
          <w:color w:val="2F2F2F"/>
          <w:sz w:val="13"/>
        </w:rPr>
        <w:t xml:space="preserve">Labor </w:t>
      </w:r>
      <w:r>
        <w:rPr>
          <w:rFonts w:ascii="Arial;sans-serif" w:hAnsi="Arial;sans-serif"/>
          <w:b w:val="false"/>
          <w:color w:val="444444"/>
          <w:sz w:val="13"/>
        </w:rPr>
        <w:t xml:space="preserve">Code§ 2870. </w:t>
      </w:r>
      <w:r>
        <w:rPr>
          <w:rFonts w:ascii="Arial;sans-serif" w:hAnsi="Arial;sans-serif"/>
          <w:b w:val="false"/>
          <w:color w:val="2F2F2F"/>
          <w:sz w:val="13"/>
        </w:rPr>
        <w:t xml:space="preserve">(a) Any </w:t>
      </w:r>
      <w:r>
        <w:rPr>
          <w:rFonts w:ascii="Arial;sans-serif" w:hAnsi="Arial;sans-serif"/>
          <w:b w:val="false"/>
          <w:color w:val="444444"/>
          <w:sz w:val="13"/>
        </w:rPr>
        <w:t>provis</w:t>
      </w:r>
      <w:r>
        <w:rPr>
          <w:rFonts w:ascii="Arial;sans-serif" w:hAnsi="Arial;sans-serif"/>
          <w:b w:val="false"/>
          <w:color w:val="181818"/>
          <w:sz w:val="13"/>
        </w:rPr>
        <w:t>i</w:t>
      </w:r>
      <w:r>
        <w:rPr>
          <w:rFonts w:ascii="Arial;sans-serif" w:hAnsi="Arial;sans-serif"/>
          <w:b w:val="false"/>
          <w:color w:val="444444"/>
          <w:sz w:val="13"/>
        </w:rPr>
        <w:t xml:space="preserve">on </w:t>
      </w:r>
      <w:r>
        <w:rPr>
          <w:rFonts w:ascii="Arial;sans-serif" w:hAnsi="Arial;sans-serif"/>
          <w:b w:val="false"/>
          <w:color w:val="2F2F2F"/>
          <w:sz w:val="13"/>
        </w:rPr>
        <w:t xml:space="preserve">in an employment </w:t>
      </w:r>
      <w:r>
        <w:rPr>
          <w:rFonts w:ascii="Arial;sans-serif" w:hAnsi="Arial;sans-serif"/>
          <w:b w:val="false"/>
          <w:color w:val="444444"/>
          <w:sz w:val="13"/>
        </w:rPr>
        <w:t xml:space="preserve">agreement </w:t>
      </w:r>
      <w:r>
        <w:rPr>
          <w:rFonts w:ascii="Arial;sans-serif" w:hAnsi="Arial;sans-serif"/>
          <w:b w:val="false"/>
          <w:color w:val="2F2F2F"/>
          <w:sz w:val="13"/>
        </w:rPr>
        <w:t xml:space="preserve">which </w:t>
      </w:r>
      <w:r>
        <w:rPr>
          <w:rFonts w:ascii="Arial;sans-serif" w:hAnsi="Arial;sans-serif"/>
          <w:b w:val="false"/>
          <w:color w:val="444444"/>
          <w:sz w:val="13"/>
        </w:rPr>
        <w:t xml:space="preserve">provides </w:t>
      </w:r>
      <w:r>
        <w:rPr>
          <w:rFonts w:ascii="Arial;sans-serif" w:hAnsi="Arial;sans-serif"/>
          <w:b w:val="false"/>
          <w:color w:val="181818"/>
          <w:sz w:val="13"/>
        </w:rPr>
        <w:t>th</w:t>
      </w:r>
      <w:r>
        <w:rPr>
          <w:rFonts w:ascii="Arial;sans-serif" w:hAnsi="Arial;sans-serif"/>
          <w:b w:val="false"/>
          <w:color w:val="444444"/>
          <w:sz w:val="13"/>
        </w:rPr>
        <w:t xml:space="preserve">at </w:t>
      </w:r>
      <w:r>
        <w:rPr>
          <w:rFonts w:ascii="Arial;sans-serif" w:hAnsi="Arial;sans-serif"/>
          <w:b w:val="false"/>
          <w:color w:val="2F2F2F"/>
          <w:sz w:val="13"/>
        </w:rPr>
        <w:t xml:space="preserve">an </w:t>
      </w:r>
      <w:r>
        <w:rPr>
          <w:rFonts w:ascii="Arial;sans-serif" w:hAnsi="Arial;sans-serif"/>
          <w:b w:val="false"/>
          <w:color w:val="444444"/>
          <w:sz w:val="13"/>
        </w:rPr>
        <w:t>emp</w:t>
      </w:r>
      <w:r>
        <w:rPr>
          <w:rFonts w:ascii="Arial;sans-serif" w:hAnsi="Arial;sans-serif"/>
          <w:b w:val="false"/>
          <w:color w:val="181818"/>
          <w:sz w:val="13"/>
        </w:rPr>
        <w:t>l</w:t>
      </w:r>
      <w:r>
        <w:rPr>
          <w:rFonts w:ascii="Arial;sans-serif" w:hAnsi="Arial;sans-serif"/>
          <w:b w:val="false"/>
          <w:color w:val="444444"/>
          <w:sz w:val="13"/>
        </w:rPr>
        <w:t xml:space="preserve">oyee shall </w:t>
      </w:r>
      <w:r>
        <w:rPr>
          <w:rFonts w:ascii="Arial;sans-serif" w:hAnsi="Arial;sans-serif"/>
          <w:b w:val="false"/>
          <w:color w:val="2F2F2F"/>
          <w:sz w:val="13"/>
        </w:rPr>
        <w:t>ass</w:t>
      </w:r>
      <w:r>
        <w:rPr>
          <w:rFonts w:ascii="Arial;sans-serif" w:hAnsi="Arial;sans-serif"/>
          <w:b w:val="false"/>
          <w:color w:val="6B6B6B"/>
          <w:sz w:val="13"/>
        </w:rPr>
        <w:t>i</w:t>
      </w:r>
      <w:r>
        <w:rPr>
          <w:rFonts w:ascii="Arial;sans-serif" w:hAnsi="Arial;sans-serif"/>
          <w:b w:val="false"/>
          <w:color w:val="444444"/>
          <w:sz w:val="13"/>
        </w:rPr>
        <w:t xml:space="preserve">gn, </w:t>
      </w:r>
      <w:r>
        <w:rPr>
          <w:rFonts w:ascii="Arial;sans-serif" w:hAnsi="Arial;sans-serif"/>
          <w:b w:val="false"/>
          <w:color w:val="2F2F2F"/>
          <w:sz w:val="13"/>
        </w:rPr>
        <w:t xml:space="preserve">or </w:t>
      </w:r>
      <w:r>
        <w:rPr>
          <w:rFonts w:ascii="Arial;sans-serif" w:hAnsi="Arial;sans-serif"/>
          <w:b w:val="false"/>
          <w:color w:val="565656"/>
          <w:sz w:val="13"/>
        </w:rPr>
        <w:t xml:space="preserve">offer </w:t>
      </w:r>
      <w:r>
        <w:rPr>
          <w:rFonts w:ascii="Arial;sans-serif" w:hAnsi="Arial;sans-serif"/>
          <w:b w:val="false"/>
          <w:color w:val="444444"/>
          <w:sz w:val="13"/>
        </w:rPr>
        <w:t xml:space="preserve">to assign, </w:t>
      </w:r>
      <w:r>
        <w:rPr>
          <w:rFonts w:ascii="Arial;sans-serif" w:hAnsi="Arial;sans-serif"/>
          <w:b w:val="false"/>
          <w:color w:val="2F2F2F"/>
          <w:sz w:val="13"/>
        </w:rPr>
        <w:t xml:space="preserve">any </w:t>
      </w:r>
      <w:r>
        <w:rPr>
          <w:rFonts w:ascii="Arial;sans-serif" w:hAnsi="Arial;sans-serif"/>
          <w:b w:val="false"/>
          <w:color w:val="444444"/>
          <w:sz w:val="13"/>
        </w:rPr>
        <w:t xml:space="preserve">of </w:t>
      </w:r>
      <w:r>
        <w:rPr>
          <w:rFonts w:ascii="Arial;sans-serif" w:hAnsi="Arial;sans-serif"/>
          <w:b w:val="false"/>
          <w:color w:val="2F2F2F"/>
          <w:sz w:val="13"/>
        </w:rPr>
        <w:t xml:space="preserve">his </w:t>
      </w:r>
      <w:r>
        <w:rPr>
          <w:rFonts w:ascii="Arial;sans-serif" w:hAnsi="Arial;sans-serif"/>
          <w:b w:val="false"/>
          <w:color w:val="444444"/>
          <w:sz w:val="13"/>
        </w:rPr>
        <w:t>o</w:t>
      </w:r>
      <w:r>
        <w:rPr>
          <w:rFonts w:ascii="Arial;sans-serif" w:hAnsi="Arial;sans-serif"/>
          <w:b w:val="false"/>
          <w:color w:val="181818"/>
          <w:sz w:val="13"/>
        </w:rPr>
        <w:t xml:space="preserve">r </w:t>
      </w:r>
      <w:r>
        <w:rPr>
          <w:rFonts w:ascii="Arial;sans-serif" w:hAnsi="Arial;sans-serif"/>
          <w:b w:val="false"/>
          <w:color w:val="2F2F2F"/>
          <w:sz w:val="13"/>
        </w:rPr>
        <w:t xml:space="preserve">her rights </w:t>
      </w:r>
      <w:r>
        <w:rPr>
          <w:rFonts w:ascii="Arial;sans-serif" w:hAnsi="Arial;sans-serif"/>
          <w:b w:val="false"/>
          <w:color w:val="444444"/>
          <w:sz w:val="13"/>
        </w:rPr>
        <w:t xml:space="preserve">in an </w:t>
      </w:r>
      <w:r>
        <w:rPr>
          <w:rFonts w:ascii="Arial;sans-serif" w:hAnsi="Arial;sans-serif"/>
          <w:b w:val="false"/>
          <w:color w:val="2F2F2F"/>
          <w:sz w:val="13"/>
        </w:rPr>
        <w:t xml:space="preserve">Invention to his </w:t>
      </w:r>
      <w:r>
        <w:rPr>
          <w:rFonts w:ascii="Arial;sans-serif" w:hAnsi="Arial;sans-serif"/>
          <w:b w:val="false"/>
          <w:color w:val="444444"/>
          <w:sz w:val="13"/>
        </w:rPr>
        <w:t xml:space="preserve">or </w:t>
      </w:r>
      <w:r>
        <w:rPr>
          <w:rFonts w:ascii="Arial;sans-serif" w:hAnsi="Arial;sans-serif"/>
          <w:b w:val="false"/>
          <w:color w:val="2F2F2F"/>
          <w:sz w:val="13"/>
        </w:rPr>
        <w:t xml:space="preserve">her employer </w:t>
      </w:r>
      <w:r>
        <w:rPr>
          <w:rFonts w:ascii="Arial;sans-serif" w:hAnsi="Arial;sans-serif"/>
          <w:b w:val="false"/>
          <w:color w:val="444444"/>
          <w:sz w:val="13"/>
        </w:rPr>
        <w:t>sha</w:t>
      </w:r>
      <w:r>
        <w:rPr>
          <w:rFonts w:ascii="Arial;sans-serif" w:hAnsi="Arial;sans-serif"/>
          <w:b w:val="false"/>
          <w:color w:val="181818"/>
          <w:sz w:val="13"/>
        </w:rPr>
        <w:t xml:space="preserve">ll </w:t>
      </w:r>
      <w:r>
        <w:rPr>
          <w:rFonts w:ascii="Arial;sans-serif" w:hAnsi="Arial;sans-serif"/>
          <w:b w:val="false"/>
          <w:color w:val="2F2F2F"/>
          <w:sz w:val="13"/>
        </w:rPr>
        <w:t xml:space="preserve">not </w:t>
      </w:r>
      <w:r>
        <w:rPr>
          <w:rFonts w:ascii="Arial;sans-serif" w:hAnsi="Arial;sans-serif"/>
          <w:b w:val="false"/>
          <w:color w:val="444444"/>
          <w:sz w:val="13"/>
        </w:rPr>
        <w:t>app</w:t>
      </w:r>
      <w:r>
        <w:rPr>
          <w:rFonts w:ascii="Arial;sans-serif" w:hAnsi="Arial;sans-serif"/>
          <w:b w:val="false"/>
          <w:color w:val="181818"/>
          <w:sz w:val="13"/>
        </w:rPr>
        <w:t>l</w:t>
      </w:r>
      <w:r>
        <w:rPr>
          <w:rFonts w:ascii="Arial;sans-serif" w:hAnsi="Arial;sans-serif"/>
          <w:b w:val="false"/>
          <w:color w:val="444444"/>
          <w:sz w:val="13"/>
        </w:rPr>
        <w:t xml:space="preserve">y </w:t>
      </w:r>
      <w:r>
        <w:rPr>
          <w:rFonts w:ascii="Arial;sans-serif" w:hAnsi="Arial;sans-serif"/>
          <w:b w:val="false"/>
          <w:color w:val="181818"/>
          <w:sz w:val="13"/>
        </w:rPr>
        <w:t>t</w:t>
      </w:r>
      <w:r>
        <w:rPr>
          <w:rFonts w:ascii="Arial;sans-serif" w:hAnsi="Arial;sans-serif"/>
          <w:b w:val="false"/>
          <w:color w:val="444444"/>
          <w:sz w:val="13"/>
        </w:rPr>
        <w:t xml:space="preserve">o an </w:t>
      </w:r>
      <w:r>
        <w:rPr>
          <w:rFonts w:ascii="Arial;sans-serif" w:hAnsi="Arial;sans-serif"/>
          <w:b w:val="false"/>
          <w:color w:val="181818"/>
          <w:sz w:val="13"/>
        </w:rPr>
        <w:t>inv</w:t>
      </w:r>
      <w:r>
        <w:rPr>
          <w:rFonts w:ascii="Arial;sans-serif" w:hAnsi="Arial;sans-serif"/>
          <w:b w:val="false"/>
          <w:color w:val="444444"/>
          <w:sz w:val="13"/>
        </w:rPr>
        <w:t xml:space="preserve">ention that </w:t>
      </w:r>
      <w:r>
        <w:rPr>
          <w:rFonts w:ascii="Arial;sans-serif" w:hAnsi="Arial;sans-serif"/>
          <w:b w:val="false"/>
          <w:color w:val="2F2F2F"/>
          <w:sz w:val="13"/>
        </w:rPr>
        <w:t xml:space="preserve">the </w:t>
      </w:r>
      <w:r>
        <w:rPr>
          <w:rFonts w:ascii="Arial;sans-serif" w:hAnsi="Arial;sans-serif"/>
          <w:b w:val="false"/>
          <w:color w:val="444444"/>
          <w:sz w:val="13"/>
        </w:rPr>
        <w:t xml:space="preserve">employee </w:t>
      </w:r>
      <w:r>
        <w:rPr>
          <w:rFonts w:ascii="Arial;sans-serif" w:hAnsi="Arial;sans-serif"/>
          <w:b w:val="false"/>
          <w:color w:val="2F2F2F"/>
          <w:sz w:val="13"/>
        </w:rPr>
        <w:t xml:space="preserve">developed </w:t>
      </w:r>
      <w:r>
        <w:rPr>
          <w:rFonts w:ascii="Arial;sans-serif" w:hAnsi="Arial;sans-serif"/>
          <w:b w:val="false"/>
          <w:color w:val="444444"/>
          <w:sz w:val="13"/>
        </w:rPr>
        <w:t>enti</w:t>
      </w:r>
      <w:r>
        <w:rPr>
          <w:rFonts w:ascii="Arial;sans-serif" w:hAnsi="Arial;sans-serif"/>
          <w:b w:val="false"/>
          <w:color w:val="181818"/>
          <w:sz w:val="13"/>
        </w:rPr>
        <w:t>r</w:t>
      </w:r>
      <w:r>
        <w:rPr>
          <w:rFonts w:ascii="Arial;sans-serif" w:hAnsi="Arial;sans-serif"/>
          <w:b w:val="false"/>
          <w:color w:val="444444"/>
          <w:sz w:val="13"/>
        </w:rPr>
        <w:t xml:space="preserve">ely on </w:t>
      </w:r>
      <w:r>
        <w:rPr>
          <w:rFonts w:ascii="Arial;sans-serif" w:hAnsi="Arial;sans-serif"/>
          <w:b w:val="false"/>
          <w:color w:val="2F2F2F"/>
          <w:sz w:val="13"/>
        </w:rPr>
        <w:t xml:space="preserve">his </w:t>
      </w:r>
      <w:r>
        <w:rPr>
          <w:rFonts w:ascii="Arial;sans-serif" w:hAnsi="Arial;sans-serif"/>
          <w:b w:val="false"/>
          <w:color w:val="444444"/>
          <w:sz w:val="13"/>
        </w:rPr>
        <w:t xml:space="preserve">or </w:t>
      </w:r>
      <w:r>
        <w:rPr>
          <w:rFonts w:ascii="Arial;sans-serif" w:hAnsi="Arial;sans-serif"/>
          <w:b w:val="false"/>
          <w:color w:val="2F2F2F"/>
          <w:sz w:val="13"/>
        </w:rPr>
        <w:t xml:space="preserve">her own </w:t>
      </w:r>
      <w:r>
        <w:rPr>
          <w:rFonts w:ascii="Arial;sans-serif" w:hAnsi="Arial;sans-serif"/>
          <w:b w:val="false"/>
          <w:color w:val="181818"/>
          <w:sz w:val="13"/>
        </w:rPr>
        <w:t>ti</w:t>
      </w:r>
      <w:r>
        <w:rPr>
          <w:rFonts w:ascii="Arial;sans-serif" w:hAnsi="Arial;sans-serif"/>
          <w:b w:val="false"/>
          <w:color w:val="444444"/>
          <w:sz w:val="13"/>
        </w:rPr>
        <w:t xml:space="preserve">me </w:t>
      </w:r>
      <w:r>
        <w:rPr>
          <w:rFonts w:ascii="Arial;sans-serif" w:hAnsi="Arial;sans-serif"/>
          <w:b w:val="false"/>
          <w:color w:val="2F2F2F"/>
          <w:sz w:val="13"/>
        </w:rPr>
        <w:t xml:space="preserve">without using </w:t>
      </w:r>
      <w:r>
        <w:rPr>
          <w:rFonts w:ascii="Arial;sans-serif" w:hAnsi="Arial;sans-serif"/>
          <w:b w:val="false"/>
          <w:color w:val="181818"/>
          <w:sz w:val="13"/>
        </w:rPr>
        <w:t>th</w:t>
      </w:r>
      <w:r>
        <w:rPr>
          <w:rFonts w:ascii="Arial;sans-serif" w:hAnsi="Arial;sans-serif"/>
          <w:b w:val="false"/>
          <w:color w:val="444444"/>
          <w:sz w:val="13"/>
        </w:rPr>
        <w:t>e employer's eq</w:t>
      </w:r>
      <w:r>
        <w:rPr>
          <w:rFonts w:ascii="Arial;sans-serif" w:hAnsi="Arial;sans-serif"/>
          <w:b w:val="false"/>
          <w:color w:val="181818"/>
          <w:sz w:val="13"/>
        </w:rPr>
        <w:t>ui</w:t>
      </w:r>
      <w:r>
        <w:rPr>
          <w:rFonts w:ascii="Arial;sans-serif" w:hAnsi="Arial;sans-serif"/>
          <w:b w:val="false"/>
          <w:color w:val="444444"/>
          <w:sz w:val="13"/>
        </w:rPr>
        <w:t>pment, supp</w:t>
      </w:r>
      <w:r>
        <w:rPr>
          <w:rFonts w:ascii="Arial;sans-serif" w:hAnsi="Arial;sans-serif"/>
          <w:b w:val="false"/>
          <w:color w:val="181818"/>
          <w:sz w:val="13"/>
        </w:rPr>
        <w:t>li</w:t>
      </w:r>
      <w:r>
        <w:rPr>
          <w:rFonts w:ascii="Arial;sans-serif" w:hAnsi="Arial;sans-serif"/>
          <w:b w:val="false"/>
          <w:color w:val="444444"/>
          <w:sz w:val="13"/>
        </w:rPr>
        <w:t xml:space="preserve">es, </w:t>
      </w:r>
      <w:r>
        <w:rPr>
          <w:rFonts w:ascii="Arial;sans-serif" w:hAnsi="Arial;sans-serif"/>
          <w:b w:val="false"/>
          <w:color w:val="2F2F2F"/>
          <w:sz w:val="13"/>
        </w:rPr>
        <w:t xml:space="preserve">facilities, </w:t>
      </w:r>
      <w:r>
        <w:rPr>
          <w:rFonts w:ascii="Arial;sans-serif" w:hAnsi="Arial;sans-serif"/>
          <w:b w:val="false"/>
          <w:color w:val="565656"/>
          <w:sz w:val="13"/>
        </w:rPr>
        <w:t xml:space="preserve">or </w:t>
      </w:r>
      <w:r>
        <w:rPr>
          <w:rFonts w:ascii="Arial;sans-serif" w:hAnsi="Arial;sans-serif"/>
          <w:b w:val="false"/>
          <w:color w:val="2F2F2F"/>
          <w:sz w:val="13"/>
        </w:rPr>
        <w:t xml:space="preserve">trade </w:t>
      </w:r>
      <w:r>
        <w:rPr>
          <w:rFonts w:ascii="Arial;sans-serif" w:hAnsi="Arial;sans-serif"/>
          <w:b w:val="false"/>
          <w:color w:val="444444"/>
          <w:sz w:val="13"/>
        </w:rPr>
        <w:t>secre</w:t>
      </w:r>
      <w:r>
        <w:rPr>
          <w:rFonts w:ascii="Arial;sans-serif" w:hAnsi="Arial;sans-serif"/>
          <w:b w:val="false"/>
          <w:color w:val="181818"/>
          <w:sz w:val="13"/>
        </w:rPr>
        <w:t xml:space="preserve">t </w:t>
      </w:r>
      <w:r>
        <w:rPr>
          <w:rFonts w:ascii="Arial;sans-serif" w:hAnsi="Arial;sans-serif"/>
          <w:b w:val="false"/>
          <w:color w:val="444444"/>
          <w:sz w:val="13"/>
        </w:rPr>
        <w:t xml:space="preserve">information except </w:t>
      </w:r>
      <w:r>
        <w:rPr>
          <w:rFonts w:ascii="Arial;sans-serif" w:hAnsi="Arial;sans-serif"/>
          <w:b w:val="false"/>
          <w:color w:val="2F2F2F"/>
          <w:sz w:val="13"/>
        </w:rPr>
        <w:t xml:space="preserve">for </w:t>
      </w:r>
      <w:r>
        <w:rPr>
          <w:rFonts w:ascii="Arial;sans-serif" w:hAnsi="Arial;sans-serif"/>
          <w:b w:val="false"/>
          <w:color w:val="181818"/>
          <w:sz w:val="13"/>
        </w:rPr>
        <w:t>t</w:t>
      </w:r>
      <w:r>
        <w:rPr>
          <w:rFonts w:ascii="Arial;sans-serif" w:hAnsi="Arial;sans-serif"/>
          <w:b w:val="false"/>
          <w:color w:val="444444"/>
          <w:sz w:val="13"/>
        </w:rPr>
        <w:t xml:space="preserve">hose </w:t>
      </w:r>
      <w:r>
        <w:rPr>
          <w:rFonts w:ascii="Arial;sans-serif" w:hAnsi="Arial;sans-serif"/>
          <w:b w:val="false"/>
          <w:color w:val="2F2F2F"/>
          <w:sz w:val="13"/>
        </w:rPr>
        <w:t xml:space="preserve">inventions </w:t>
      </w:r>
      <w:r>
        <w:rPr>
          <w:rFonts w:ascii="Arial;sans-serif" w:hAnsi="Arial;sans-serif"/>
          <w:b w:val="false"/>
          <w:color w:val="181818"/>
          <w:sz w:val="13"/>
        </w:rPr>
        <w:t>t</w:t>
      </w:r>
      <w:r>
        <w:rPr>
          <w:rFonts w:ascii="Arial;sans-serif" w:hAnsi="Arial;sans-serif"/>
          <w:b w:val="false"/>
          <w:color w:val="444444"/>
          <w:sz w:val="13"/>
        </w:rPr>
        <w:t xml:space="preserve">hat </w:t>
      </w:r>
      <w:r>
        <w:rPr>
          <w:rFonts w:ascii="Arial;sans-serif" w:hAnsi="Arial;sans-serif"/>
          <w:b w:val="false"/>
          <w:color w:val="2F2F2F"/>
          <w:sz w:val="13"/>
        </w:rPr>
        <w:t xml:space="preserve">either: (1) </w:t>
      </w:r>
      <w:r>
        <w:rPr>
          <w:rFonts w:ascii="Arial;sans-serif" w:hAnsi="Arial;sans-serif"/>
          <w:b w:val="false"/>
          <w:color w:val="444444"/>
          <w:sz w:val="13"/>
        </w:rPr>
        <w:t xml:space="preserve">Relate at </w:t>
      </w:r>
      <w:r>
        <w:rPr>
          <w:rFonts w:ascii="Arial;sans-serif" w:hAnsi="Arial;sans-serif"/>
          <w:b w:val="false"/>
          <w:color w:val="181818"/>
          <w:sz w:val="13"/>
        </w:rPr>
        <w:t>t</w:t>
      </w:r>
      <w:r>
        <w:rPr>
          <w:rFonts w:ascii="Arial;sans-serif" w:hAnsi="Arial;sans-serif"/>
          <w:b w:val="false"/>
          <w:color w:val="444444"/>
          <w:sz w:val="13"/>
        </w:rPr>
        <w:t xml:space="preserve">he </w:t>
      </w:r>
      <w:r>
        <w:rPr>
          <w:rFonts w:ascii="Arial;sans-serif" w:hAnsi="Arial;sans-serif"/>
          <w:b w:val="false"/>
          <w:color w:val="181818"/>
          <w:sz w:val="13"/>
        </w:rPr>
        <w:t>lim</w:t>
      </w:r>
      <w:r>
        <w:rPr>
          <w:rFonts w:ascii="Arial;sans-serif" w:hAnsi="Arial;sans-serif"/>
          <w:b w:val="false"/>
          <w:color w:val="565656"/>
          <w:sz w:val="13"/>
        </w:rPr>
        <w:t xml:space="preserve">e </w:t>
      </w:r>
      <w:r>
        <w:rPr>
          <w:rFonts w:ascii="Arial;sans-serif" w:hAnsi="Arial;sans-serif"/>
          <w:b w:val="false"/>
          <w:color w:val="444444"/>
          <w:sz w:val="13"/>
        </w:rPr>
        <w:t xml:space="preserve">of conception or reduction </w:t>
      </w:r>
      <w:r>
        <w:rPr>
          <w:rFonts w:ascii="Arial;sans-serif" w:hAnsi="Arial;sans-serif"/>
          <w:b w:val="false"/>
          <w:color w:val="2F2F2F"/>
          <w:sz w:val="13"/>
        </w:rPr>
        <w:t>to p</w:t>
      </w:r>
      <w:r>
        <w:rPr>
          <w:rFonts w:ascii="Arial;sans-serif" w:hAnsi="Arial;sans-serif"/>
          <w:b w:val="false"/>
          <w:color w:val="565656"/>
          <w:sz w:val="13"/>
        </w:rPr>
        <w:t>rac</w:t>
      </w:r>
      <w:r>
        <w:rPr>
          <w:rFonts w:ascii="Arial;sans-serif" w:hAnsi="Arial;sans-serif"/>
          <w:b w:val="false"/>
          <w:color w:val="2F2F2F"/>
          <w:sz w:val="13"/>
        </w:rPr>
        <w:t>t</w:t>
      </w:r>
      <w:r>
        <w:rPr>
          <w:rFonts w:ascii="Arial;sans-serif" w:hAnsi="Arial;sans-serif"/>
          <w:b w:val="false"/>
          <w:color w:val="6B6B6B"/>
          <w:sz w:val="13"/>
        </w:rPr>
        <w:t>i</w:t>
      </w:r>
      <w:r>
        <w:rPr>
          <w:rFonts w:ascii="Arial;sans-serif" w:hAnsi="Arial;sans-serif"/>
          <w:b w:val="false"/>
          <w:color w:val="444444"/>
          <w:sz w:val="13"/>
        </w:rPr>
        <w:t xml:space="preserve">ce of </w:t>
      </w:r>
      <w:r>
        <w:rPr>
          <w:rFonts w:ascii="Arial;sans-serif" w:hAnsi="Arial;sans-serif"/>
          <w:b w:val="false"/>
          <w:color w:val="2F2F2F"/>
          <w:sz w:val="13"/>
        </w:rPr>
        <w:t xml:space="preserve">the </w:t>
      </w:r>
      <w:r>
        <w:rPr>
          <w:rFonts w:ascii="Arial;sans-serif" w:hAnsi="Arial;sans-serif"/>
          <w:b w:val="false"/>
          <w:color w:val="181818"/>
          <w:sz w:val="13"/>
        </w:rPr>
        <w:t>i</w:t>
      </w:r>
      <w:r>
        <w:rPr>
          <w:rFonts w:ascii="Arial;sans-serif" w:hAnsi="Arial;sans-serif"/>
          <w:b w:val="false"/>
          <w:color w:val="444444"/>
          <w:sz w:val="13"/>
        </w:rPr>
        <w:t>nvent</w:t>
      </w:r>
      <w:r>
        <w:rPr>
          <w:rFonts w:ascii="Arial;sans-serif" w:hAnsi="Arial;sans-serif"/>
          <w:b w:val="false"/>
          <w:color w:val="181818"/>
          <w:sz w:val="13"/>
        </w:rPr>
        <w:t>i</w:t>
      </w:r>
      <w:r>
        <w:rPr>
          <w:rFonts w:ascii="Arial;sans-serif" w:hAnsi="Arial;sans-serif"/>
          <w:b w:val="false"/>
          <w:color w:val="444444"/>
          <w:sz w:val="13"/>
        </w:rPr>
        <w:t xml:space="preserve">on to </w:t>
      </w:r>
      <w:r>
        <w:rPr>
          <w:rFonts w:ascii="Arial;sans-serif" w:hAnsi="Arial;sans-serif"/>
          <w:b w:val="false"/>
          <w:color w:val="2F2F2F"/>
          <w:sz w:val="13"/>
        </w:rPr>
        <w:t xml:space="preserve">the </w:t>
      </w:r>
      <w:r>
        <w:rPr>
          <w:rFonts w:ascii="Arial;sans-serif" w:hAnsi="Arial;sans-serif"/>
          <w:b w:val="false"/>
          <w:color w:val="444444"/>
          <w:sz w:val="13"/>
        </w:rPr>
        <w:t>employer's business, or actual or demonstrably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8" w:after="283"/>
        <w:rPr/>
      </w:pPr>
      <w:r>
        <w:rPr/>
      </w:r>
    </w:p>
    <w:p>
      <w:pPr>
        <w:pStyle w:val="TextBody"/>
        <w:spacing w:lineRule="auto" w:line="302" w:before="0" w:after="0"/>
        <w:ind w:left="0" w:right="0" w:firstLine="3"/>
        <w:rPr/>
      </w:pPr>
      <w:r>
        <w:rPr>
          <w:rFonts w:ascii="Arial;sans-serif" w:hAnsi="Arial;sans-serif"/>
          <w:b w:val="false"/>
          <w:color w:val="2A2A2A"/>
          <w:sz w:val="13"/>
        </w:rPr>
        <w:t xml:space="preserve">anticipated research </w:t>
      </w:r>
      <w:r>
        <w:rPr>
          <w:rFonts w:ascii="Arial;sans-serif" w:hAnsi="Arial;sans-serif"/>
          <w:b w:val="false"/>
          <w:color w:val="3B3B3B"/>
          <w:sz w:val="13"/>
        </w:rPr>
        <w:t xml:space="preserve">or development of the </w:t>
      </w:r>
      <w:r>
        <w:rPr>
          <w:rFonts w:ascii="Arial;sans-serif" w:hAnsi="Arial;sans-serif"/>
          <w:b w:val="false"/>
          <w:color w:val="2A2A2A"/>
          <w:sz w:val="13"/>
        </w:rPr>
        <w:t xml:space="preserve">employer; </w:t>
      </w:r>
      <w:r>
        <w:rPr>
          <w:rFonts w:ascii="Arial;sans-serif" w:hAnsi="Arial;sans-serif"/>
          <w:b w:val="false"/>
          <w:color w:val="3B3B3B"/>
          <w:sz w:val="13"/>
        </w:rPr>
        <w:t xml:space="preserve">or </w:t>
      </w:r>
      <w:r>
        <w:rPr>
          <w:rFonts w:ascii="Arial;sans-serif" w:hAnsi="Arial;sans-serif"/>
          <w:b w:val="false"/>
          <w:color w:val="2A2A2A"/>
          <w:sz w:val="13"/>
        </w:rPr>
        <w:t xml:space="preserve">(2) Result from </w:t>
      </w:r>
      <w:r>
        <w:rPr>
          <w:rFonts w:ascii="Arial;sans-serif" w:hAnsi="Arial;sans-serif"/>
          <w:b w:val="false"/>
          <w:color w:val="3B3B3B"/>
          <w:sz w:val="13"/>
        </w:rPr>
        <w:t xml:space="preserve">any </w:t>
      </w:r>
      <w:r>
        <w:rPr>
          <w:rFonts w:ascii="Arial;sans-serif" w:hAnsi="Arial;sans-serif"/>
          <w:b w:val="false"/>
          <w:color w:val="2A2A2A"/>
          <w:sz w:val="13"/>
        </w:rPr>
        <w:t xml:space="preserve">work performed </w:t>
      </w:r>
      <w:r>
        <w:rPr>
          <w:rFonts w:ascii="Arial;sans-serif" w:hAnsi="Arial;sans-serif"/>
          <w:b w:val="false"/>
          <w:color w:val="3B3B3B"/>
          <w:sz w:val="13"/>
        </w:rPr>
        <w:t xml:space="preserve">by the employee </w:t>
      </w:r>
      <w:r>
        <w:rPr>
          <w:rFonts w:ascii="Arial;sans-serif" w:hAnsi="Arial;sans-serif"/>
          <w:b w:val="false"/>
          <w:color w:val="2A2A2A"/>
          <w:sz w:val="13"/>
        </w:rPr>
        <w:t xml:space="preserve">for </w:t>
      </w:r>
      <w:r>
        <w:rPr>
          <w:rFonts w:ascii="Arial;sans-serif" w:hAnsi="Arial;sans-serif"/>
          <w:b w:val="false"/>
          <w:color w:val="3B3B3B"/>
          <w:sz w:val="13"/>
        </w:rPr>
        <w:t xml:space="preserve">the employer. </w:t>
      </w:r>
      <w:r>
        <w:rPr>
          <w:rFonts w:ascii="Arial;sans-serif" w:hAnsi="Arial;sans-serif"/>
          <w:b w:val="false"/>
          <w:color w:val="2A2A2A"/>
          <w:sz w:val="13"/>
        </w:rPr>
        <w:t xml:space="preserve">(b) </w:t>
      </w:r>
      <w:r>
        <w:rPr>
          <w:rFonts w:ascii="Arial;sans-serif" w:hAnsi="Arial;sans-serif"/>
          <w:b w:val="false"/>
          <w:color w:val="5B5B5B"/>
          <w:sz w:val="13"/>
        </w:rPr>
        <w:t xml:space="preserve">To </w:t>
      </w:r>
      <w:r>
        <w:rPr>
          <w:rFonts w:ascii="Arial;sans-serif" w:hAnsi="Arial;sans-serif"/>
          <w:b w:val="false"/>
          <w:color w:val="2A2A2A"/>
          <w:sz w:val="13"/>
        </w:rPr>
        <w:t xml:space="preserve">the </w:t>
      </w:r>
      <w:r>
        <w:rPr>
          <w:rFonts w:ascii="Arial;sans-serif" w:hAnsi="Arial;sans-serif"/>
          <w:b w:val="false"/>
          <w:color w:val="3B3B3B"/>
          <w:sz w:val="13"/>
        </w:rPr>
        <w:t xml:space="preserve">extent a </w:t>
      </w:r>
      <w:r>
        <w:rPr>
          <w:rFonts w:ascii="Arial;sans-serif" w:hAnsi="Arial;sans-serif"/>
          <w:b w:val="false"/>
          <w:color w:val="2A2A2A"/>
          <w:sz w:val="13"/>
        </w:rPr>
        <w:t xml:space="preserve">provision </w:t>
      </w:r>
      <w:r>
        <w:rPr>
          <w:rFonts w:ascii="Arial;sans-serif" w:hAnsi="Arial;sans-serif"/>
          <w:b w:val="false"/>
          <w:color w:val="161616"/>
          <w:sz w:val="13"/>
        </w:rPr>
        <w:t xml:space="preserve">in </w:t>
      </w:r>
      <w:r>
        <w:rPr>
          <w:rFonts w:ascii="Arial;sans-serif" w:hAnsi="Arial;sans-serif"/>
          <w:b w:val="false"/>
          <w:color w:val="3B3B3B"/>
          <w:sz w:val="13"/>
        </w:rPr>
        <w:t xml:space="preserve">an employment agreement </w:t>
      </w:r>
      <w:r>
        <w:rPr>
          <w:rFonts w:ascii="Arial;sans-serif" w:hAnsi="Arial;sans-serif"/>
          <w:b w:val="false"/>
          <w:color w:val="2A2A2A"/>
          <w:sz w:val="13"/>
        </w:rPr>
        <w:t xml:space="preserve">purports to </w:t>
      </w:r>
      <w:r>
        <w:rPr>
          <w:rFonts w:ascii="Arial;sans-serif" w:hAnsi="Arial;sans-serif"/>
          <w:b w:val="false"/>
          <w:color w:val="3B3B3B"/>
          <w:sz w:val="13"/>
        </w:rPr>
        <w:t xml:space="preserve">require an employee </w:t>
      </w:r>
      <w:r>
        <w:rPr>
          <w:rFonts w:ascii="Arial;sans-serif" w:hAnsi="Arial;sans-serif"/>
          <w:b w:val="false"/>
          <w:color w:val="2A2A2A"/>
          <w:sz w:val="13"/>
        </w:rPr>
        <w:t xml:space="preserve">to </w:t>
      </w:r>
      <w:r>
        <w:rPr>
          <w:rFonts w:ascii="Arial;sans-serif" w:hAnsi="Arial;sans-serif"/>
          <w:b w:val="false"/>
          <w:color w:val="3B3B3B"/>
          <w:sz w:val="13"/>
        </w:rPr>
        <w:t xml:space="preserve">assign an </w:t>
      </w:r>
      <w:r>
        <w:rPr>
          <w:rFonts w:ascii="Arial;sans-serif" w:hAnsi="Arial;sans-serif"/>
          <w:b w:val="false"/>
          <w:color w:val="2A2A2A"/>
          <w:sz w:val="13"/>
        </w:rPr>
        <w:t xml:space="preserve">invention </w:t>
      </w:r>
      <w:r>
        <w:rPr>
          <w:rFonts w:ascii="Arial;sans-serif" w:hAnsi="Arial;sans-serif"/>
          <w:b w:val="false"/>
          <w:color w:val="3B3B3B"/>
          <w:sz w:val="13"/>
        </w:rPr>
        <w:t xml:space="preserve">otherwise excluded </w:t>
      </w:r>
      <w:r>
        <w:rPr>
          <w:rFonts w:ascii="Arial;sans-serif" w:hAnsi="Arial;sans-serif"/>
          <w:b w:val="false"/>
          <w:color w:val="2A2A2A"/>
          <w:sz w:val="13"/>
        </w:rPr>
        <w:t xml:space="preserve">from being required to be </w:t>
      </w:r>
      <w:r>
        <w:rPr>
          <w:rFonts w:ascii="Arial;sans-serif" w:hAnsi="Arial;sans-serif"/>
          <w:b w:val="false"/>
          <w:color w:val="3B3B3B"/>
          <w:sz w:val="13"/>
        </w:rPr>
        <w:t xml:space="preserve">assigned </w:t>
      </w:r>
      <w:r>
        <w:rPr>
          <w:rFonts w:ascii="Arial;sans-serif" w:hAnsi="Arial;sans-serif"/>
          <w:b w:val="false"/>
          <w:color w:val="2A2A2A"/>
          <w:sz w:val="13"/>
        </w:rPr>
        <w:t xml:space="preserve">under </w:t>
      </w:r>
      <w:r>
        <w:rPr>
          <w:rFonts w:ascii="Arial;sans-serif" w:hAnsi="Arial;sans-serif"/>
          <w:b w:val="false"/>
          <w:color w:val="3B3B3B"/>
          <w:sz w:val="13"/>
        </w:rPr>
        <w:t xml:space="preserve">subdivision </w:t>
      </w:r>
      <w:r>
        <w:rPr>
          <w:rFonts w:ascii="Arial;sans-serif" w:hAnsi="Arial;sans-serif"/>
          <w:b w:val="false"/>
          <w:color w:val="2A2A2A"/>
          <w:sz w:val="13"/>
        </w:rPr>
        <w:t xml:space="preserve">(a), the provision is </w:t>
      </w:r>
      <w:r>
        <w:rPr>
          <w:rFonts w:ascii="Arial;sans-serif" w:hAnsi="Arial;sans-serif"/>
          <w:b w:val="false"/>
          <w:color w:val="3B3B3B"/>
          <w:sz w:val="13"/>
        </w:rPr>
        <w:t xml:space="preserve">against </w:t>
      </w:r>
      <w:r>
        <w:rPr>
          <w:rFonts w:ascii="Arial;sans-serif" w:hAnsi="Arial;sans-serif"/>
          <w:b w:val="false"/>
          <w:color w:val="2A2A2A"/>
          <w:sz w:val="13"/>
        </w:rPr>
        <w:t xml:space="preserve">the </w:t>
      </w:r>
      <w:r>
        <w:rPr>
          <w:rFonts w:ascii="Arial;sans-serif" w:hAnsi="Arial;sans-serif"/>
          <w:b w:val="false"/>
          <w:color w:val="3B3B3B"/>
          <w:sz w:val="13"/>
        </w:rPr>
        <w:t xml:space="preserve">public </w:t>
      </w:r>
      <w:r>
        <w:rPr>
          <w:rFonts w:ascii="Arial;sans-serif" w:hAnsi="Arial;sans-serif"/>
          <w:b w:val="false"/>
          <w:color w:val="2A2A2A"/>
          <w:sz w:val="13"/>
        </w:rPr>
        <w:t xml:space="preserve">policy </w:t>
      </w:r>
      <w:r>
        <w:rPr>
          <w:rFonts w:ascii="Arial;sans-serif" w:hAnsi="Arial;sans-serif"/>
          <w:b w:val="false"/>
          <w:color w:val="3B3B3B"/>
          <w:sz w:val="13"/>
        </w:rPr>
        <w:t xml:space="preserve">of </w:t>
      </w:r>
      <w:r>
        <w:rPr>
          <w:rFonts w:ascii="Arial;sans-serif" w:hAnsi="Arial;sans-serif"/>
          <w:b w:val="false"/>
          <w:color w:val="161616"/>
          <w:sz w:val="13"/>
        </w:rPr>
        <w:t xml:space="preserve">this </w:t>
      </w:r>
      <w:r>
        <w:rPr>
          <w:rFonts w:ascii="Arial;sans-serif" w:hAnsi="Arial;sans-serif"/>
          <w:b w:val="false"/>
          <w:color w:val="3B3B3B"/>
          <w:sz w:val="13"/>
        </w:rPr>
        <w:t xml:space="preserve">state and </w:t>
      </w:r>
      <w:r>
        <w:rPr>
          <w:rFonts w:ascii="Arial;sans-serif" w:hAnsi="Arial;sans-serif"/>
          <w:b w:val="false"/>
          <w:color w:val="161616"/>
          <w:sz w:val="13"/>
        </w:rPr>
        <w:t xml:space="preserve">is </w:t>
      </w:r>
      <w:r>
        <w:rPr>
          <w:rFonts w:ascii="Arial;sans-serif" w:hAnsi="Arial;sans-serif"/>
          <w:b w:val="false"/>
          <w:color w:val="3B3B3B"/>
          <w:sz w:val="13"/>
        </w:rPr>
        <w:t>unenforceable.</w:t>
      </w:r>
    </w:p>
    <w:p>
      <w:pPr>
        <w:pStyle w:val="TextBody"/>
        <w:spacing w:before="10" w:after="283"/>
        <w:rPr/>
      </w:pPr>
      <w:r>
        <w:rPr/>
      </w:r>
    </w:p>
    <w:p>
      <w:pPr>
        <w:pStyle w:val="TextBody"/>
        <w:spacing w:lineRule="auto" w:line="295" w:before="0" w:after="0"/>
        <w:ind w:left="0" w:right="0" w:hanging="337"/>
        <w:rPr/>
      </w:pPr>
      <w:r>
        <w:rPr>
          <w:rFonts w:ascii="Arial;sans-serif" w:hAnsi="Arial;sans-serif"/>
          <w:b w:val="false"/>
          <w:color w:val="161616"/>
          <w:sz w:val="17"/>
        </w:rPr>
        <w:t>12.</w:t>
      </w:r>
      <w:r>
        <w:rPr>
          <w:color w:val="000000"/>
        </w:rPr>
        <w:t>    </w:t>
      </w:r>
      <w:r>
        <w:rPr>
          <w:rFonts w:ascii="Arial;sans-serif" w:hAnsi="Arial;sans-serif"/>
          <w:b w:val="false"/>
          <w:color w:val="2A2A2A"/>
          <w:sz w:val="17"/>
        </w:rPr>
        <w:t xml:space="preserve">Any copyrightable </w:t>
      </w:r>
      <w:r>
        <w:rPr>
          <w:rFonts w:ascii="Arial;sans-serif" w:hAnsi="Arial;sans-serif"/>
          <w:b w:val="false"/>
          <w:color w:val="161616"/>
          <w:sz w:val="17"/>
        </w:rPr>
        <w:t xml:space="preserve">works, including, </w:t>
      </w:r>
      <w:r>
        <w:rPr>
          <w:rFonts w:ascii="Arial;sans-serif" w:hAnsi="Arial;sans-serif"/>
          <w:b w:val="false"/>
          <w:color w:val="2A2A2A"/>
          <w:sz w:val="17"/>
        </w:rPr>
        <w:t xml:space="preserve">without </w:t>
      </w:r>
      <w:r>
        <w:rPr>
          <w:rFonts w:ascii="Arial;sans-serif" w:hAnsi="Arial;sans-serif"/>
          <w:b w:val="false"/>
          <w:color w:val="161616"/>
          <w:sz w:val="17"/>
        </w:rPr>
        <w:t xml:space="preserve">limitation, literary </w:t>
      </w:r>
      <w:r>
        <w:rPr>
          <w:rFonts w:ascii="Arial;sans-serif" w:hAnsi="Arial;sans-serif"/>
          <w:b w:val="false"/>
          <w:color w:val="2A2A2A"/>
          <w:sz w:val="17"/>
        </w:rPr>
        <w:t xml:space="preserve">works, computer programs, artistic works (including design, graphs, drawings, </w:t>
      </w:r>
      <w:r>
        <w:rPr>
          <w:rFonts w:ascii="Arial;sans-serif" w:hAnsi="Arial;sans-serif"/>
          <w:b w:val="false"/>
          <w:color w:val="161616"/>
          <w:sz w:val="17"/>
        </w:rPr>
        <w:t xml:space="preserve">blueprints </w:t>
      </w:r>
      <w:r>
        <w:rPr>
          <w:rFonts w:ascii="Arial;sans-serif" w:hAnsi="Arial;sans-serif"/>
          <w:b w:val="false"/>
          <w:color w:val="2A2A2A"/>
          <w:sz w:val="17"/>
        </w:rPr>
        <w:t xml:space="preserve">and other works), </w:t>
      </w:r>
      <w:r>
        <w:rPr>
          <w:rFonts w:ascii="Arial;sans-serif" w:hAnsi="Arial;sans-serif"/>
          <w:b w:val="false"/>
          <w:color w:val="161616"/>
          <w:sz w:val="17"/>
        </w:rPr>
        <w:t xml:space="preserve">recordings, </w:t>
      </w:r>
      <w:r>
        <w:rPr>
          <w:rFonts w:ascii="Arial;sans-serif" w:hAnsi="Arial;sans-serif"/>
          <w:b w:val="false"/>
          <w:color w:val="2A2A2A"/>
          <w:sz w:val="17"/>
        </w:rPr>
        <w:t xml:space="preserve">slides, </w:t>
      </w:r>
      <w:r>
        <w:rPr>
          <w:rFonts w:ascii="Arial;sans-serif" w:hAnsi="Arial;sans-serif"/>
          <w:b w:val="false"/>
          <w:color w:val="161616"/>
          <w:sz w:val="17"/>
        </w:rPr>
        <w:t xml:space="preserve">motion pictures </w:t>
      </w:r>
      <w:r>
        <w:rPr>
          <w:rFonts w:ascii="Arial;sans-serif" w:hAnsi="Arial;sans-serif"/>
          <w:b w:val="false"/>
          <w:color w:val="2A2A2A"/>
          <w:sz w:val="17"/>
        </w:rPr>
        <w:t xml:space="preserve">and other audio </w:t>
      </w:r>
      <w:r>
        <w:rPr>
          <w:rFonts w:ascii="Arial;sans-serif" w:hAnsi="Arial;sans-serif"/>
          <w:b w:val="false"/>
          <w:color w:val="161616"/>
          <w:sz w:val="17"/>
        </w:rPr>
        <w:t xml:space="preserve">-visual </w:t>
      </w:r>
      <w:r>
        <w:rPr>
          <w:rFonts w:ascii="Arial;sans-serif" w:hAnsi="Arial;sans-serif"/>
          <w:b w:val="false"/>
          <w:color w:val="2A2A2A"/>
          <w:sz w:val="17"/>
        </w:rPr>
        <w:t xml:space="preserve">works </w:t>
      </w:r>
      <w:r>
        <w:rPr>
          <w:rFonts w:ascii="Arial;sans-serif" w:hAnsi="Arial;sans-serif"/>
          <w:b w:val="false"/>
          <w:color w:val="161616"/>
          <w:sz w:val="17"/>
        </w:rPr>
        <w:t xml:space="preserve">that I may </w:t>
      </w:r>
      <w:r>
        <w:rPr>
          <w:rFonts w:ascii="Arial;sans-serif" w:hAnsi="Arial;sans-serif"/>
          <w:b w:val="false"/>
          <w:color w:val="2A2A2A"/>
          <w:sz w:val="17"/>
        </w:rPr>
        <w:t xml:space="preserve">produce </w:t>
      </w:r>
      <w:r>
        <w:rPr>
          <w:rFonts w:ascii="Arial;sans-serif" w:hAnsi="Arial;sans-serif"/>
          <w:b w:val="false"/>
          <w:color w:val="161616"/>
          <w:sz w:val="17"/>
        </w:rPr>
        <w:t xml:space="preserve">in the </w:t>
      </w:r>
      <w:r>
        <w:rPr>
          <w:rFonts w:ascii="Arial;sans-serif" w:hAnsi="Arial;sans-serif"/>
          <w:b w:val="false"/>
          <w:color w:val="2A2A2A"/>
          <w:sz w:val="17"/>
        </w:rPr>
        <w:t xml:space="preserve">course of my </w:t>
      </w:r>
      <w:r>
        <w:rPr>
          <w:rFonts w:ascii="Arial;sans-serif" w:hAnsi="Arial;sans-serif"/>
          <w:b w:val="false"/>
          <w:color w:val="3B3B3B"/>
          <w:sz w:val="17"/>
        </w:rPr>
        <w:t xml:space="preserve">employment </w:t>
      </w:r>
      <w:r>
        <w:rPr>
          <w:rFonts w:ascii="Arial;sans-serif" w:hAnsi="Arial;sans-serif"/>
          <w:b w:val="false"/>
          <w:color w:val="2A2A2A"/>
          <w:sz w:val="17"/>
        </w:rPr>
        <w:t xml:space="preserve">by the Company </w:t>
      </w:r>
      <w:r>
        <w:rPr>
          <w:rFonts w:ascii="Arial;sans-serif" w:hAnsi="Arial;sans-serif"/>
          <w:b w:val="false"/>
          <w:color w:val="3B3B3B"/>
          <w:sz w:val="17"/>
        </w:rPr>
        <w:t xml:space="preserve">shall </w:t>
      </w:r>
      <w:r>
        <w:rPr>
          <w:rFonts w:ascii="Arial;sans-serif" w:hAnsi="Arial;sans-serif"/>
          <w:b w:val="false"/>
          <w:color w:val="161616"/>
          <w:sz w:val="17"/>
        </w:rPr>
        <w:t xml:space="preserve">be </w:t>
      </w:r>
      <w:r>
        <w:rPr>
          <w:rFonts w:ascii="Arial;sans-serif" w:hAnsi="Arial;sans-serif"/>
          <w:b w:val="false"/>
          <w:color w:val="2A2A2A"/>
          <w:sz w:val="17"/>
        </w:rPr>
        <w:t xml:space="preserve">"works </w:t>
      </w:r>
      <w:r>
        <w:rPr>
          <w:rFonts w:ascii="Arial;sans-serif" w:hAnsi="Arial;sans-serif"/>
          <w:b w:val="false"/>
          <w:color w:val="161616"/>
          <w:sz w:val="17"/>
        </w:rPr>
        <w:t xml:space="preserve">made </w:t>
      </w:r>
      <w:r>
        <w:rPr>
          <w:rFonts w:ascii="Arial;sans-serif" w:hAnsi="Arial;sans-serif"/>
          <w:b w:val="false"/>
          <w:color w:val="2A2A2A"/>
          <w:sz w:val="17"/>
        </w:rPr>
        <w:t xml:space="preserve">for </w:t>
      </w:r>
      <w:r>
        <w:rPr>
          <w:rFonts w:ascii="Arial;sans-serif" w:hAnsi="Arial;sans-serif"/>
          <w:b w:val="false"/>
          <w:color w:val="161616"/>
          <w:sz w:val="17"/>
        </w:rPr>
        <w:t xml:space="preserve">hire," to the </w:t>
      </w:r>
      <w:r>
        <w:rPr>
          <w:rFonts w:ascii="Arial;sans-serif" w:hAnsi="Arial;sans-serif"/>
          <w:b w:val="false"/>
          <w:color w:val="2A2A2A"/>
          <w:sz w:val="17"/>
        </w:rPr>
        <w:t xml:space="preserve">maximum extent permitted by </w:t>
      </w:r>
      <w:r>
        <w:rPr>
          <w:rFonts w:ascii="Arial;sans-serif" w:hAnsi="Arial;sans-serif"/>
          <w:b w:val="false"/>
          <w:color w:val="161616"/>
          <w:sz w:val="17"/>
        </w:rPr>
        <w:t xml:space="preserve">law. </w:t>
      </w:r>
      <w:r>
        <w:rPr>
          <w:rFonts w:ascii="Arial;sans-serif" w:hAnsi="Arial;sans-serif"/>
          <w:b w:val="false"/>
          <w:color w:val="2A2A2A"/>
          <w:sz w:val="17"/>
        </w:rPr>
        <w:t xml:space="preserve">Any works </w:t>
      </w:r>
      <w:r>
        <w:rPr>
          <w:rFonts w:ascii="Arial;sans-serif" w:hAnsi="Arial;sans-serif"/>
          <w:b w:val="false"/>
          <w:color w:val="3B3B3B"/>
          <w:sz w:val="17"/>
        </w:rPr>
        <w:t xml:space="preserve">of </w:t>
      </w:r>
      <w:r>
        <w:rPr>
          <w:rFonts w:ascii="Arial;sans-serif" w:hAnsi="Arial;sans-serif"/>
          <w:b w:val="false"/>
          <w:color w:val="2A2A2A"/>
          <w:sz w:val="17"/>
        </w:rPr>
        <w:t xml:space="preserve">authorship </w:t>
      </w:r>
      <w:r>
        <w:rPr>
          <w:rFonts w:ascii="Arial;sans-serif" w:hAnsi="Arial;sans-serif"/>
          <w:b w:val="false"/>
          <w:color w:val="161616"/>
          <w:sz w:val="17"/>
        </w:rPr>
        <w:t xml:space="preserve">that I may </w:t>
      </w:r>
      <w:r>
        <w:rPr>
          <w:rFonts w:ascii="Arial;sans-serif" w:hAnsi="Arial;sans-serif"/>
          <w:b w:val="false"/>
          <w:color w:val="2A2A2A"/>
          <w:sz w:val="17"/>
        </w:rPr>
        <w:t xml:space="preserve">prepare </w:t>
      </w:r>
      <w:r>
        <w:rPr>
          <w:rFonts w:ascii="Arial;sans-serif" w:hAnsi="Arial;sans-serif"/>
          <w:b w:val="false"/>
          <w:color w:val="3B3B3B"/>
          <w:sz w:val="17"/>
        </w:rPr>
        <w:t xml:space="preserve">alone </w:t>
      </w:r>
      <w:r>
        <w:rPr>
          <w:rFonts w:ascii="Arial;sans-serif" w:hAnsi="Arial;sans-serif"/>
          <w:b w:val="false"/>
          <w:color w:val="2A2A2A"/>
          <w:sz w:val="17"/>
        </w:rPr>
        <w:t xml:space="preserve">or with others during </w:t>
      </w:r>
      <w:r>
        <w:rPr>
          <w:rFonts w:ascii="Arial;sans-serif" w:hAnsi="Arial;sans-serif"/>
          <w:b w:val="false"/>
          <w:color w:val="161616"/>
          <w:sz w:val="17"/>
        </w:rPr>
        <w:t xml:space="preserve">my </w:t>
      </w:r>
      <w:r>
        <w:rPr>
          <w:rFonts w:ascii="Arial;sans-serif" w:hAnsi="Arial;sans-serif"/>
          <w:b w:val="false"/>
          <w:color w:val="2A2A2A"/>
          <w:sz w:val="17"/>
        </w:rPr>
        <w:t xml:space="preserve">employment with the </w:t>
      </w:r>
      <w:r>
        <w:rPr>
          <w:rFonts w:ascii="Arial;sans-serif" w:hAnsi="Arial;sans-serif"/>
          <w:b w:val="false"/>
          <w:color w:val="3B3B3B"/>
          <w:sz w:val="17"/>
        </w:rPr>
        <w:t xml:space="preserve">Company, </w:t>
      </w:r>
      <w:r>
        <w:rPr>
          <w:rFonts w:ascii="Arial;sans-serif" w:hAnsi="Arial;sans-serif"/>
          <w:b w:val="false"/>
          <w:color w:val="2A2A2A"/>
          <w:sz w:val="17"/>
        </w:rPr>
        <w:t xml:space="preserve">so far as </w:t>
      </w:r>
      <w:r>
        <w:rPr>
          <w:rFonts w:ascii="Arial;sans-serif" w:hAnsi="Arial;sans-serif"/>
          <w:b w:val="false"/>
          <w:color w:val="161616"/>
          <w:sz w:val="17"/>
        </w:rPr>
        <w:t xml:space="preserve">they relate to the </w:t>
      </w:r>
      <w:r>
        <w:rPr>
          <w:rFonts w:ascii="Arial;sans-serif" w:hAnsi="Arial;sans-serif"/>
          <w:b w:val="false"/>
          <w:color w:val="3B3B3B"/>
          <w:sz w:val="17"/>
        </w:rPr>
        <w:t xml:space="preserve">actual </w:t>
      </w:r>
      <w:r>
        <w:rPr>
          <w:rFonts w:ascii="Arial;sans-serif" w:hAnsi="Arial;sans-serif"/>
          <w:b w:val="false"/>
          <w:color w:val="2A2A2A"/>
          <w:sz w:val="17"/>
        </w:rPr>
        <w:t xml:space="preserve">or anticipated business of </w:t>
      </w:r>
      <w:r>
        <w:rPr>
          <w:rFonts w:ascii="Arial;sans-serif" w:hAnsi="Arial;sans-serif"/>
          <w:b w:val="false"/>
          <w:color w:val="161616"/>
          <w:sz w:val="17"/>
        </w:rPr>
        <w:t xml:space="preserve">the </w:t>
      </w:r>
      <w:r>
        <w:rPr>
          <w:rFonts w:ascii="Arial;sans-serif" w:hAnsi="Arial;sans-serif"/>
          <w:b w:val="false"/>
          <w:color w:val="2A2A2A"/>
          <w:sz w:val="17"/>
        </w:rPr>
        <w:t xml:space="preserve">Company, or processes, </w:t>
      </w:r>
      <w:r>
        <w:rPr>
          <w:rFonts w:ascii="Arial;sans-serif" w:hAnsi="Arial;sans-serif"/>
          <w:b w:val="false"/>
          <w:color w:val="161616"/>
          <w:sz w:val="17"/>
        </w:rPr>
        <w:t xml:space="preserve">personnel, financial information, </w:t>
      </w:r>
      <w:r>
        <w:rPr>
          <w:rFonts w:ascii="Arial;sans-serif" w:hAnsi="Arial;sans-serif"/>
          <w:b w:val="false"/>
          <w:color w:val="2A2A2A"/>
          <w:sz w:val="17"/>
        </w:rPr>
        <w:t xml:space="preserve">apparatus, </w:t>
      </w:r>
      <w:r>
        <w:rPr>
          <w:rFonts w:ascii="Arial;sans-serif" w:hAnsi="Arial;sans-serif"/>
          <w:b w:val="false"/>
          <w:color w:val="161616"/>
          <w:sz w:val="17"/>
        </w:rPr>
        <w:t xml:space="preserve">products, researches </w:t>
      </w:r>
      <w:r>
        <w:rPr>
          <w:rFonts w:ascii="Arial;sans-serif" w:hAnsi="Arial;sans-serif"/>
          <w:b w:val="false"/>
          <w:color w:val="2A2A2A"/>
          <w:sz w:val="17"/>
        </w:rPr>
        <w:t xml:space="preserve">or </w:t>
      </w:r>
      <w:r>
        <w:rPr>
          <w:rFonts w:ascii="Arial;sans-serif" w:hAnsi="Arial;sans-serif"/>
          <w:b w:val="false"/>
          <w:color w:val="161616"/>
          <w:sz w:val="17"/>
        </w:rPr>
        <w:t xml:space="preserve">research programs </w:t>
      </w:r>
      <w:r>
        <w:rPr>
          <w:rFonts w:ascii="Arial;sans-serif" w:hAnsi="Arial;sans-serif"/>
          <w:b w:val="false"/>
          <w:color w:val="2A2A2A"/>
          <w:sz w:val="17"/>
        </w:rPr>
        <w:t xml:space="preserve">of </w:t>
      </w:r>
      <w:r>
        <w:rPr>
          <w:rFonts w:ascii="Arial;sans-serif" w:hAnsi="Arial;sans-serif"/>
          <w:b w:val="false"/>
          <w:color w:val="161616"/>
          <w:sz w:val="17"/>
        </w:rPr>
        <w:t xml:space="preserve">the </w:t>
      </w:r>
      <w:r>
        <w:rPr>
          <w:rFonts w:ascii="Arial;sans-serif" w:hAnsi="Arial;sans-serif"/>
          <w:b w:val="false"/>
          <w:color w:val="2A2A2A"/>
          <w:sz w:val="17"/>
        </w:rPr>
        <w:t xml:space="preserve">Company, shall be </w:t>
      </w:r>
      <w:r>
        <w:rPr>
          <w:rFonts w:ascii="Arial;sans-serif" w:hAnsi="Arial;sans-serif"/>
          <w:b w:val="false"/>
          <w:color w:val="161616"/>
          <w:sz w:val="17"/>
        </w:rPr>
        <w:t xml:space="preserve">regarded </w:t>
      </w:r>
      <w:r>
        <w:rPr>
          <w:rFonts w:ascii="Arial;sans-serif" w:hAnsi="Arial;sans-serif"/>
          <w:b w:val="false"/>
          <w:color w:val="2A2A2A"/>
          <w:sz w:val="17"/>
        </w:rPr>
        <w:t xml:space="preserve">as </w:t>
      </w:r>
      <w:r>
        <w:rPr>
          <w:rFonts w:ascii="Arial;sans-serif" w:hAnsi="Arial;sans-serif"/>
          <w:b w:val="false"/>
          <w:color w:val="161616"/>
          <w:sz w:val="17"/>
        </w:rPr>
        <w:t xml:space="preserve">prepared </w:t>
      </w:r>
      <w:r>
        <w:rPr>
          <w:rFonts w:ascii="Arial;sans-serif" w:hAnsi="Arial;sans-serif"/>
          <w:b w:val="false"/>
          <w:color w:val="2A2A2A"/>
          <w:sz w:val="17"/>
        </w:rPr>
        <w:t xml:space="preserve">by </w:t>
      </w:r>
      <w:r>
        <w:rPr>
          <w:rFonts w:ascii="Arial;sans-serif" w:hAnsi="Arial;sans-serif"/>
          <w:b w:val="false"/>
          <w:color w:val="161616"/>
          <w:sz w:val="17"/>
        </w:rPr>
        <w:t xml:space="preserve">me </w:t>
      </w:r>
      <w:r>
        <w:rPr>
          <w:rFonts w:ascii="Arial;sans-serif" w:hAnsi="Arial;sans-serif"/>
          <w:b w:val="false"/>
          <w:color w:val="2A2A2A"/>
          <w:sz w:val="17"/>
        </w:rPr>
        <w:t xml:space="preserve">within </w:t>
      </w:r>
      <w:r>
        <w:rPr>
          <w:rFonts w:ascii="Arial;sans-serif" w:hAnsi="Arial;sans-serif"/>
          <w:b w:val="false"/>
          <w:color w:val="161616"/>
          <w:sz w:val="17"/>
        </w:rPr>
        <w:t xml:space="preserve">the </w:t>
      </w:r>
      <w:r>
        <w:rPr>
          <w:rFonts w:ascii="Arial;sans-serif" w:hAnsi="Arial;sans-serif"/>
          <w:b w:val="false"/>
          <w:color w:val="2A2A2A"/>
          <w:sz w:val="17"/>
        </w:rPr>
        <w:t xml:space="preserve">scope of </w:t>
      </w:r>
      <w:r>
        <w:rPr>
          <w:rFonts w:ascii="Arial;sans-serif" w:hAnsi="Arial;sans-serif"/>
          <w:b w:val="false"/>
          <w:color w:val="161616"/>
          <w:sz w:val="17"/>
        </w:rPr>
        <w:t xml:space="preserve">my </w:t>
      </w:r>
      <w:r>
        <w:rPr>
          <w:rFonts w:ascii="Arial;sans-serif" w:hAnsi="Arial;sans-serif"/>
          <w:b w:val="false"/>
          <w:color w:val="2A2A2A"/>
          <w:sz w:val="17"/>
        </w:rPr>
        <w:t xml:space="preserve">employment, and, </w:t>
      </w:r>
      <w:r>
        <w:rPr>
          <w:rFonts w:ascii="Arial;sans-serif" w:hAnsi="Arial;sans-serif"/>
          <w:b w:val="false"/>
          <w:color w:val="161616"/>
          <w:sz w:val="17"/>
        </w:rPr>
        <w:t xml:space="preserve">unless </w:t>
      </w:r>
      <w:r>
        <w:rPr>
          <w:rFonts w:ascii="Arial;sans-serif" w:hAnsi="Arial;sans-serif"/>
          <w:b w:val="false"/>
          <w:color w:val="2A2A2A"/>
          <w:sz w:val="17"/>
        </w:rPr>
        <w:t xml:space="preserve">otherwise agreed </w:t>
      </w:r>
      <w:r>
        <w:rPr>
          <w:rFonts w:ascii="Arial;sans-serif" w:hAnsi="Arial;sans-serif"/>
          <w:b w:val="false"/>
          <w:color w:val="161616"/>
          <w:sz w:val="17"/>
        </w:rPr>
        <w:t xml:space="preserve">to in </w:t>
      </w:r>
      <w:r>
        <w:rPr>
          <w:rFonts w:ascii="Arial;sans-serif" w:hAnsi="Arial;sans-serif"/>
          <w:b w:val="false"/>
          <w:color w:val="2A2A2A"/>
          <w:sz w:val="17"/>
        </w:rPr>
        <w:t xml:space="preserve">a written </w:t>
      </w:r>
      <w:r>
        <w:rPr>
          <w:rFonts w:ascii="Arial;sans-serif" w:hAnsi="Arial;sans-serif"/>
          <w:b w:val="false"/>
          <w:color w:val="161616"/>
          <w:sz w:val="17"/>
        </w:rPr>
        <w:t xml:space="preserve">instrument </w:t>
      </w:r>
      <w:r>
        <w:rPr>
          <w:rFonts w:ascii="Arial;sans-serif" w:hAnsi="Arial;sans-serif"/>
          <w:b w:val="false"/>
          <w:color w:val="2A2A2A"/>
          <w:sz w:val="17"/>
        </w:rPr>
        <w:t xml:space="preserve">signed </w:t>
      </w:r>
      <w:r>
        <w:rPr>
          <w:rFonts w:ascii="Arial;sans-serif" w:hAnsi="Arial;sans-serif"/>
          <w:b w:val="false"/>
          <w:color w:val="161616"/>
          <w:sz w:val="17"/>
        </w:rPr>
        <w:t xml:space="preserve">by </w:t>
      </w:r>
      <w:r>
        <w:rPr>
          <w:rFonts w:ascii="Arial;sans-serif" w:hAnsi="Arial;sans-serif"/>
          <w:b w:val="false"/>
          <w:color w:val="2A2A2A"/>
          <w:sz w:val="17"/>
        </w:rPr>
        <w:t xml:space="preserve">an officer of </w:t>
      </w:r>
      <w:r>
        <w:rPr>
          <w:rFonts w:ascii="Arial;sans-serif" w:hAnsi="Arial;sans-serif"/>
          <w:b w:val="false"/>
          <w:color w:val="161616"/>
          <w:sz w:val="17"/>
        </w:rPr>
        <w:t xml:space="preserve">the </w:t>
      </w:r>
      <w:r>
        <w:rPr>
          <w:rFonts w:ascii="Arial;sans-serif" w:hAnsi="Arial;sans-serif"/>
          <w:b w:val="false"/>
          <w:color w:val="2A2A2A"/>
          <w:sz w:val="17"/>
        </w:rPr>
        <w:t xml:space="preserve">Company, shall be owned by </w:t>
      </w:r>
      <w:r>
        <w:rPr>
          <w:rFonts w:ascii="Arial;sans-serif" w:hAnsi="Arial;sans-serif"/>
          <w:b w:val="false"/>
          <w:color w:val="161616"/>
          <w:sz w:val="17"/>
        </w:rPr>
        <w:t xml:space="preserve">the </w:t>
      </w:r>
      <w:r>
        <w:rPr>
          <w:rFonts w:ascii="Arial;sans-serif" w:hAnsi="Arial;sans-serif"/>
          <w:b w:val="false"/>
          <w:color w:val="3B3B3B"/>
          <w:sz w:val="17"/>
        </w:rPr>
        <w:t xml:space="preserve">Company, </w:t>
      </w:r>
      <w:r>
        <w:rPr>
          <w:rFonts w:ascii="Arial;sans-serif" w:hAnsi="Arial;sans-serif"/>
          <w:b w:val="false"/>
          <w:color w:val="2A2A2A"/>
          <w:sz w:val="17"/>
        </w:rPr>
        <w:t xml:space="preserve">including, without </w:t>
      </w:r>
      <w:r>
        <w:rPr>
          <w:rFonts w:ascii="Arial;sans-serif" w:hAnsi="Arial;sans-serif"/>
          <w:b w:val="false"/>
          <w:color w:val="161616"/>
          <w:sz w:val="17"/>
        </w:rPr>
        <w:t xml:space="preserve">limitation </w:t>
      </w:r>
      <w:r>
        <w:rPr>
          <w:rFonts w:ascii="Arial;sans-serif" w:hAnsi="Arial;sans-serif"/>
          <w:b w:val="false"/>
          <w:color w:val="2A2A2A"/>
          <w:sz w:val="17"/>
        </w:rPr>
        <w:t xml:space="preserve">any </w:t>
      </w:r>
      <w:r>
        <w:rPr>
          <w:rFonts w:ascii="Arial;sans-serif" w:hAnsi="Arial;sans-serif"/>
          <w:b w:val="false"/>
          <w:color w:val="3B3B3B"/>
          <w:sz w:val="17"/>
        </w:rPr>
        <w:t xml:space="preserve">copyright(s) </w:t>
      </w:r>
      <w:r>
        <w:rPr>
          <w:rFonts w:ascii="Arial;sans-serif" w:hAnsi="Arial;sans-serif"/>
          <w:b w:val="false"/>
          <w:color w:val="161616"/>
          <w:sz w:val="17"/>
        </w:rPr>
        <w:t xml:space="preserve">in </w:t>
      </w:r>
      <w:r>
        <w:rPr>
          <w:rFonts w:ascii="Arial;sans-serif" w:hAnsi="Arial;sans-serif"/>
          <w:b w:val="false"/>
          <w:color w:val="2A2A2A"/>
          <w:sz w:val="17"/>
        </w:rPr>
        <w:t xml:space="preserve">such works of authorship and </w:t>
      </w:r>
      <w:r>
        <w:rPr>
          <w:rFonts w:ascii="Arial;sans-serif" w:hAnsi="Arial;sans-serif"/>
          <w:b w:val="false"/>
          <w:color w:val="161616"/>
          <w:sz w:val="17"/>
        </w:rPr>
        <w:t xml:space="preserve">I hereby </w:t>
      </w:r>
      <w:r>
        <w:rPr>
          <w:rFonts w:ascii="Arial;sans-serif" w:hAnsi="Arial;sans-serif"/>
          <w:b w:val="false"/>
          <w:color w:val="2A2A2A"/>
          <w:sz w:val="17"/>
        </w:rPr>
        <w:t xml:space="preserve">assign to </w:t>
      </w:r>
      <w:r>
        <w:rPr>
          <w:rFonts w:ascii="Arial;sans-serif" w:hAnsi="Arial;sans-serif"/>
          <w:b w:val="false"/>
          <w:color w:val="161616"/>
          <w:sz w:val="17"/>
        </w:rPr>
        <w:t xml:space="preserve">the </w:t>
      </w:r>
      <w:r>
        <w:rPr>
          <w:rFonts w:ascii="Arial;sans-serif" w:hAnsi="Arial;sans-serif"/>
          <w:b w:val="false"/>
          <w:color w:val="2A2A2A"/>
          <w:sz w:val="17"/>
        </w:rPr>
        <w:t xml:space="preserve">Company any and all rights </w:t>
      </w:r>
      <w:r>
        <w:rPr>
          <w:rFonts w:ascii="Arial;sans-serif" w:hAnsi="Arial;sans-serif"/>
          <w:b w:val="false"/>
          <w:color w:val="161616"/>
          <w:sz w:val="17"/>
        </w:rPr>
        <w:t xml:space="preserve">I </w:t>
      </w:r>
      <w:r>
        <w:rPr>
          <w:rFonts w:ascii="Arial;sans-serif" w:hAnsi="Arial;sans-serif"/>
          <w:b w:val="false"/>
          <w:color w:val="2A2A2A"/>
          <w:sz w:val="17"/>
        </w:rPr>
        <w:t xml:space="preserve">may </w:t>
      </w:r>
      <w:r>
        <w:rPr>
          <w:rFonts w:ascii="Arial;sans-serif" w:hAnsi="Arial;sans-serif"/>
          <w:b w:val="false"/>
          <w:color w:val="161616"/>
          <w:sz w:val="17"/>
        </w:rPr>
        <w:t xml:space="preserve">have in </w:t>
      </w:r>
      <w:r>
        <w:rPr>
          <w:rFonts w:ascii="Arial;sans-serif" w:hAnsi="Arial;sans-serif"/>
          <w:b w:val="false"/>
          <w:color w:val="2A2A2A"/>
          <w:sz w:val="17"/>
        </w:rPr>
        <w:t xml:space="preserve">such works of authorship and </w:t>
      </w:r>
      <w:r>
        <w:rPr>
          <w:rFonts w:ascii="Arial;sans-serif" w:hAnsi="Arial;sans-serif"/>
          <w:b w:val="false"/>
          <w:color w:val="161616"/>
          <w:sz w:val="17"/>
        </w:rPr>
        <w:t xml:space="preserve">in </w:t>
      </w:r>
      <w:r>
        <w:rPr>
          <w:rFonts w:ascii="Arial;sans-serif" w:hAnsi="Arial;sans-serif"/>
          <w:b w:val="false"/>
          <w:color w:val="2A2A2A"/>
          <w:sz w:val="17"/>
        </w:rPr>
        <w:t>any and a</w:t>
      </w:r>
      <w:r>
        <w:rPr>
          <w:rFonts w:ascii="Arial;sans-serif" w:hAnsi="Arial;sans-serif"/>
          <w:b w:val="false"/>
          <w:color w:val="010101"/>
          <w:sz w:val="17"/>
        </w:rPr>
        <w:t xml:space="preserve">ll </w:t>
      </w:r>
      <w:r>
        <w:rPr>
          <w:rFonts w:ascii="Arial;sans-serif" w:hAnsi="Arial;sans-serif"/>
          <w:b w:val="false"/>
          <w:color w:val="2A2A2A"/>
          <w:sz w:val="17"/>
        </w:rPr>
        <w:t xml:space="preserve">copyrights therein and copyright </w:t>
      </w:r>
      <w:r>
        <w:rPr>
          <w:rFonts w:ascii="Arial;sans-serif" w:hAnsi="Arial;sans-serif"/>
          <w:b w:val="false"/>
          <w:color w:val="161616"/>
          <w:sz w:val="17"/>
        </w:rPr>
        <w:t xml:space="preserve">registrations thereof. I </w:t>
      </w:r>
      <w:r>
        <w:rPr>
          <w:rFonts w:ascii="Arial;sans-serif" w:hAnsi="Arial;sans-serif"/>
          <w:b w:val="false"/>
          <w:color w:val="2A2A2A"/>
          <w:sz w:val="17"/>
        </w:rPr>
        <w:t xml:space="preserve">will execute </w:t>
      </w:r>
      <w:r>
        <w:rPr>
          <w:rFonts w:ascii="Arial;sans-serif" w:hAnsi="Arial;sans-serif"/>
          <w:b w:val="false"/>
          <w:color w:val="161616"/>
          <w:sz w:val="17"/>
        </w:rPr>
        <w:t xml:space="preserve">promptly </w:t>
      </w:r>
      <w:r>
        <w:rPr>
          <w:rFonts w:ascii="Arial;sans-serif" w:hAnsi="Arial;sans-serif"/>
          <w:b w:val="false"/>
          <w:color w:val="2A2A2A"/>
          <w:sz w:val="17"/>
        </w:rPr>
        <w:t xml:space="preserve">when </w:t>
      </w:r>
      <w:r>
        <w:rPr>
          <w:rFonts w:ascii="Arial;sans-serif" w:hAnsi="Arial;sans-serif"/>
          <w:b w:val="false"/>
          <w:color w:val="161616"/>
          <w:sz w:val="17"/>
        </w:rPr>
        <w:t xml:space="preserve">requested </w:t>
      </w:r>
      <w:r>
        <w:rPr>
          <w:rFonts w:ascii="Arial;sans-serif" w:hAnsi="Arial;sans-serif"/>
          <w:b w:val="false"/>
          <w:color w:val="2A2A2A"/>
          <w:sz w:val="17"/>
        </w:rPr>
        <w:t xml:space="preserve">by </w:t>
      </w:r>
      <w:r>
        <w:rPr>
          <w:rFonts w:ascii="Arial;sans-serif" w:hAnsi="Arial;sans-serif"/>
          <w:b w:val="false"/>
          <w:color w:val="161616"/>
          <w:sz w:val="17"/>
        </w:rPr>
        <w:t xml:space="preserve">the </w:t>
      </w:r>
      <w:r>
        <w:rPr>
          <w:rFonts w:ascii="Arial;sans-serif" w:hAnsi="Arial;sans-serif"/>
          <w:b w:val="false"/>
          <w:color w:val="3B3B3B"/>
          <w:sz w:val="17"/>
        </w:rPr>
        <w:t xml:space="preserve">Company </w:t>
      </w:r>
      <w:r>
        <w:rPr>
          <w:rFonts w:ascii="Arial;sans-serif" w:hAnsi="Arial;sans-serif"/>
          <w:b w:val="false"/>
          <w:color w:val="161616"/>
          <w:sz w:val="17"/>
        </w:rPr>
        <w:t xml:space="preserve">to </w:t>
      </w:r>
      <w:r>
        <w:rPr>
          <w:rFonts w:ascii="Arial;sans-serif" w:hAnsi="Arial;sans-serif"/>
          <w:b w:val="false"/>
          <w:color w:val="2A2A2A"/>
          <w:sz w:val="17"/>
        </w:rPr>
        <w:t xml:space="preserve">do so any assignment </w:t>
      </w:r>
      <w:r>
        <w:rPr>
          <w:rFonts w:ascii="Arial;sans-serif" w:hAnsi="Arial;sans-serif"/>
          <w:b w:val="false"/>
          <w:color w:val="161616"/>
          <w:sz w:val="17"/>
        </w:rPr>
        <w:t xml:space="preserve">documents that the </w:t>
      </w:r>
      <w:r>
        <w:rPr>
          <w:rFonts w:ascii="Arial;sans-serif" w:hAnsi="Arial;sans-serif"/>
          <w:b w:val="false"/>
          <w:color w:val="2A2A2A"/>
          <w:sz w:val="17"/>
        </w:rPr>
        <w:t xml:space="preserve">Company deems </w:t>
      </w:r>
      <w:r>
        <w:rPr>
          <w:rFonts w:ascii="Arial;sans-serif" w:hAnsi="Arial;sans-serif"/>
          <w:b w:val="false"/>
          <w:color w:val="161616"/>
          <w:sz w:val="17"/>
        </w:rPr>
        <w:t xml:space="preserve">necessary </w:t>
      </w:r>
      <w:r>
        <w:rPr>
          <w:rFonts w:ascii="Arial;sans-serif" w:hAnsi="Arial;sans-serif"/>
          <w:b w:val="false"/>
          <w:color w:val="2A2A2A"/>
          <w:sz w:val="17"/>
        </w:rPr>
        <w:t xml:space="preserve">or appropriate </w:t>
      </w:r>
      <w:r>
        <w:rPr>
          <w:rFonts w:ascii="Arial;sans-serif" w:hAnsi="Arial;sans-serif"/>
          <w:b w:val="false"/>
          <w:color w:val="161616"/>
          <w:sz w:val="17"/>
        </w:rPr>
        <w:t xml:space="preserve">to </w:t>
      </w:r>
      <w:r>
        <w:rPr>
          <w:rFonts w:ascii="Arial;sans-serif" w:hAnsi="Arial;sans-serif"/>
          <w:b w:val="false"/>
          <w:color w:val="2A2A2A"/>
          <w:sz w:val="17"/>
        </w:rPr>
        <w:t xml:space="preserve">serve as </w:t>
      </w:r>
      <w:r>
        <w:rPr>
          <w:rFonts w:ascii="Arial;sans-serif" w:hAnsi="Arial;sans-serif"/>
          <w:b w:val="false"/>
          <w:color w:val="161616"/>
          <w:sz w:val="17"/>
        </w:rPr>
        <w:t xml:space="preserve">further </w:t>
      </w:r>
      <w:r>
        <w:rPr>
          <w:rFonts w:ascii="Arial;sans-serif" w:hAnsi="Arial;sans-serif"/>
          <w:b w:val="false"/>
          <w:color w:val="2A2A2A"/>
          <w:sz w:val="17"/>
        </w:rPr>
        <w:t xml:space="preserve">evidence of </w:t>
      </w:r>
      <w:r>
        <w:rPr>
          <w:rFonts w:ascii="Arial;sans-serif" w:hAnsi="Arial;sans-serif"/>
          <w:b w:val="false"/>
          <w:color w:val="161616"/>
          <w:sz w:val="17"/>
        </w:rPr>
        <w:t xml:space="preserve">this </w:t>
      </w:r>
      <w:r>
        <w:rPr>
          <w:rFonts w:ascii="Arial;sans-serif" w:hAnsi="Arial;sans-serif"/>
          <w:b w:val="false"/>
          <w:color w:val="2A2A2A"/>
          <w:sz w:val="17"/>
        </w:rPr>
        <w:t xml:space="preserve">assignment. </w:t>
      </w:r>
      <w:r>
        <w:rPr>
          <w:rFonts w:ascii="Arial;sans-serif" w:hAnsi="Arial;sans-serif"/>
          <w:b w:val="false"/>
          <w:color w:val="3B3B3B"/>
          <w:sz w:val="17"/>
        </w:rPr>
        <w:t xml:space="preserve">I </w:t>
      </w:r>
      <w:r>
        <w:rPr>
          <w:rFonts w:ascii="Arial;sans-serif" w:hAnsi="Arial;sans-serif"/>
          <w:b w:val="false"/>
          <w:color w:val="2A2A2A"/>
          <w:sz w:val="17"/>
        </w:rPr>
        <w:t xml:space="preserve">will, without </w:t>
      </w:r>
      <w:r>
        <w:rPr>
          <w:rFonts w:ascii="Arial;sans-serif" w:hAnsi="Arial;sans-serif"/>
          <w:b w:val="false"/>
          <w:color w:val="161616"/>
          <w:sz w:val="17"/>
        </w:rPr>
        <w:t xml:space="preserve">limitation, </w:t>
      </w:r>
      <w:r>
        <w:rPr>
          <w:rFonts w:ascii="Arial;sans-serif" w:hAnsi="Arial;sans-serif"/>
          <w:b w:val="false"/>
          <w:color w:val="2A2A2A"/>
          <w:sz w:val="17"/>
        </w:rPr>
        <w:t xml:space="preserve">assist and cooperate </w:t>
      </w:r>
      <w:r>
        <w:rPr>
          <w:rFonts w:ascii="Arial;sans-serif" w:hAnsi="Arial;sans-serif"/>
          <w:b w:val="false"/>
          <w:color w:val="161616"/>
          <w:sz w:val="17"/>
        </w:rPr>
        <w:t xml:space="preserve">in legal </w:t>
      </w:r>
      <w:r>
        <w:rPr>
          <w:rFonts w:ascii="Arial;sans-serif" w:hAnsi="Arial;sans-serif"/>
          <w:b w:val="false"/>
          <w:color w:val="2A2A2A"/>
          <w:sz w:val="17"/>
        </w:rPr>
        <w:t xml:space="preserve">proceedings, and will execute all </w:t>
      </w:r>
      <w:r>
        <w:rPr>
          <w:rFonts w:ascii="Arial;sans-serif" w:hAnsi="Arial;sans-serif"/>
          <w:b w:val="false"/>
          <w:color w:val="161616"/>
          <w:sz w:val="17"/>
        </w:rPr>
        <w:t xml:space="preserve">documents </w:t>
      </w:r>
      <w:r>
        <w:rPr>
          <w:rFonts w:ascii="Arial;sans-serif" w:hAnsi="Arial;sans-serif"/>
          <w:b w:val="false"/>
          <w:color w:val="2A2A2A"/>
          <w:sz w:val="17"/>
        </w:rPr>
        <w:t xml:space="preserve">for </w:t>
      </w:r>
      <w:r>
        <w:rPr>
          <w:rFonts w:ascii="Arial;sans-serif" w:hAnsi="Arial;sans-serif"/>
          <w:b w:val="false"/>
          <w:color w:val="161616"/>
          <w:sz w:val="17"/>
        </w:rPr>
        <w:t xml:space="preserve">use in </w:t>
      </w:r>
      <w:r>
        <w:rPr>
          <w:rFonts w:ascii="Arial;sans-serif" w:hAnsi="Arial;sans-serif"/>
          <w:b w:val="false"/>
          <w:color w:val="2A2A2A"/>
          <w:sz w:val="17"/>
        </w:rPr>
        <w:t xml:space="preserve">applying for and for obtaining and </w:t>
      </w:r>
      <w:r>
        <w:rPr>
          <w:rFonts w:ascii="Arial;sans-serif" w:hAnsi="Arial;sans-serif"/>
          <w:b w:val="false"/>
          <w:color w:val="161616"/>
          <w:sz w:val="17"/>
        </w:rPr>
        <w:t xml:space="preserve">maintaining </w:t>
      </w:r>
      <w:r>
        <w:rPr>
          <w:rFonts w:ascii="Arial;sans-serif" w:hAnsi="Arial;sans-serif"/>
          <w:b w:val="false"/>
          <w:color w:val="2A2A2A"/>
          <w:sz w:val="17"/>
        </w:rPr>
        <w:t xml:space="preserve">copyrights </w:t>
      </w:r>
      <w:r>
        <w:rPr>
          <w:rFonts w:ascii="Arial;sans-serif" w:hAnsi="Arial;sans-serif"/>
          <w:b w:val="false"/>
          <w:color w:val="161616"/>
          <w:sz w:val="17"/>
        </w:rPr>
        <w:t xml:space="preserve">in </w:t>
      </w:r>
      <w:r>
        <w:rPr>
          <w:rFonts w:ascii="Arial;sans-serif" w:hAnsi="Arial;sans-serif"/>
          <w:b w:val="false"/>
          <w:color w:val="2A2A2A"/>
          <w:sz w:val="17"/>
        </w:rPr>
        <w:t xml:space="preserve">work of authorship, and </w:t>
      </w:r>
      <w:r>
        <w:rPr>
          <w:rFonts w:ascii="Arial;sans-serif" w:hAnsi="Arial;sans-serif"/>
          <w:b w:val="false"/>
          <w:color w:val="161616"/>
          <w:sz w:val="17"/>
        </w:rPr>
        <w:t xml:space="preserve">in </w:t>
      </w:r>
      <w:r>
        <w:rPr>
          <w:rFonts w:ascii="Arial;sans-serif" w:hAnsi="Arial;sans-serif"/>
          <w:b w:val="false"/>
          <w:color w:val="2A2A2A"/>
          <w:sz w:val="17"/>
        </w:rPr>
        <w:t xml:space="preserve">enforcing </w:t>
      </w:r>
      <w:r>
        <w:rPr>
          <w:rFonts w:ascii="Arial;sans-serif" w:hAnsi="Arial;sans-serif"/>
          <w:b w:val="false"/>
          <w:color w:val="161616"/>
          <w:sz w:val="17"/>
        </w:rPr>
        <w:t xml:space="preserve">the </w:t>
      </w:r>
      <w:r>
        <w:rPr>
          <w:rFonts w:ascii="Arial;sans-serif" w:hAnsi="Arial;sans-serif"/>
          <w:b w:val="false"/>
          <w:color w:val="2A2A2A"/>
          <w:sz w:val="17"/>
        </w:rPr>
        <w:t xml:space="preserve">same, as </w:t>
      </w:r>
      <w:r>
        <w:rPr>
          <w:rFonts w:ascii="Arial;sans-serif" w:hAnsi="Arial;sans-serif"/>
          <w:b w:val="false"/>
          <w:color w:val="161616"/>
          <w:sz w:val="17"/>
        </w:rPr>
        <w:t xml:space="preserve">the </w:t>
      </w:r>
      <w:r>
        <w:rPr>
          <w:rFonts w:ascii="Arial;sans-serif" w:hAnsi="Arial;sans-serif"/>
          <w:b w:val="false"/>
          <w:color w:val="2A2A2A"/>
          <w:sz w:val="17"/>
        </w:rPr>
        <w:t xml:space="preserve">Company </w:t>
      </w:r>
      <w:r>
        <w:rPr>
          <w:rFonts w:ascii="Arial;sans-serif" w:hAnsi="Arial;sans-serif"/>
          <w:b w:val="false"/>
          <w:color w:val="161616"/>
          <w:sz w:val="17"/>
        </w:rPr>
        <w:t xml:space="preserve">may desire, together </w:t>
      </w:r>
      <w:r>
        <w:rPr>
          <w:rFonts w:ascii="Arial;sans-serif" w:hAnsi="Arial;sans-serif"/>
          <w:b w:val="false"/>
          <w:color w:val="2A2A2A"/>
          <w:sz w:val="17"/>
        </w:rPr>
        <w:t xml:space="preserve">with any assignments </w:t>
      </w:r>
      <w:r>
        <w:rPr>
          <w:rFonts w:ascii="Arial;sans-serif" w:hAnsi="Arial;sans-serif"/>
          <w:b w:val="false"/>
          <w:color w:val="161616"/>
          <w:sz w:val="17"/>
        </w:rPr>
        <w:t xml:space="preserve">thereof </w:t>
      </w:r>
      <w:r>
        <w:rPr>
          <w:rFonts w:ascii="Arial;sans-serif" w:hAnsi="Arial;sans-serif"/>
          <w:b w:val="false"/>
          <w:color w:val="2A2A2A"/>
          <w:sz w:val="17"/>
        </w:rPr>
        <w:t xml:space="preserve">to </w:t>
      </w:r>
      <w:r>
        <w:rPr>
          <w:rFonts w:ascii="Arial;sans-serif" w:hAnsi="Arial;sans-serif"/>
          <w:b w:val="false"/>
          <w:color w:val="161616"/>
          <w:sz w:val="17"/>
        </w:rPr>
        <w:t xml:space="preserve">the </w:t>
      </w:r>
      <w:r>
        <w:rPr>
          <w:rFonts w:ascii="Arial;sans-serif" w:hAnsi="Arial;sans-serif"/>
          <w:b w:val="false"/>
          <w:color w:val="2A2A2A"/>
          <w:sz w:val="17"/>
        </w:rPr>
        <w:t xml:space="preserve">Company or </w:t>
      </w:r>
      <w:r>
        <w:rPr>
          <w:rFonts w:ascii="Arial;sans-serif" w:hAnsi="Arial;sans-serif"/>
          <w:b w:val="false"/>
          <w:color w:val="161616"/>
          <w:sz w:val="17"/>
        </w:rPr>
        <w:t xml:space="preserve">person designated </w:t>
      </w:r>
      <w:r>
        <w:rPr>
          <w:rFonts w:ascii="Arial;sans-serif" w:hAnsi="Arial;sans-serif"/>
          <w:b w:val="false"/>
          <w:color w:val="2A2A2A"/>
          <w:sz w:val="17"/>
        </w:rPr>
        <w:t xml:space="preserve">by </w:t>
      </w:r>
      <w:r>
        <w:rPr>
          <w:rFonts w:ascii="Arial;sans-serif" w:hAnsi="Arial;sans-serif"/>
          <w:b w:val="false"/>
          <w:color w:val="161616"/>
          <w:sz w:val="17"/>
        </w:rPr>
        <w:t xml:space="preserve">it. </w:t>
      </w:r>
      <w:r>
        <w:rPr>
          <w:rFonts w:ascii="Arial;sans-serif" w:hAnsi="Arial;sans-serif"/>
          <w:b w:val="false"/>
          <w:color w:val="2A2A2A"/>
          <w:sz w:val="17"/>
        </w:rPr>
        <w:t xml:space="preserve">My obligation </w:t>
      </w:r>
      <w:r>
        <w:rPr>
          <w:rFonts w:ascii="Arial;sans-serif" w:hAnsi="Arial;sans-serif"/>
          <w:b w:val="false"/>
          <w:color w:val="161616"/>
          <w:sz w:val="17"/>
        </w:rPr>
        <w:t xml:space="preserve">to </w:t>
      </w:r>
      <w:r>
        <w:rPr>
          <w:rFonts w:ascii="Arial;sans-serif" w:hAnsi="Arial;sans-serif"/>
          <w:b w:val="false"/>
          <w:color w:val="2A2A2A"/>
          <w:sz w:val="17"/>
        </w:rPr>
        <w:t xml:space="preserve">assist </w:t>
      </w:r>
      <w:r>
        <w:rPr>
          <w:rFonts w:ascii="Arial;sans-serif" w:hAnsi="Arial;sans-serif"/>
          <w:b w:val="false"/>
          <w:color w:val="161616"/>
          <w:sz w:val="17"/>
        </w:rPr>
        <w:t xml:space="preserve">the </w:t>
      </w:r>
      <w:r>
        <w:rPr>
          <w:rFonts w:ascii="Arial;sans-serif" w:hAnsi="Arial;sans-serif"/>
          <w:b w:val="false"/>
          <w:color w:val="2A2A2A"/>
          <w:sz w:val="17"/>
        </w:rPr>
        <w:t xml:space="preserve">Company </w:t>
      </w:r>
      <w:r>
        <w:rPr>
          <w:rFonts w:ascii="Arial;sans-serif" w:hAnsi="Arial;sans-serif"/>
          <w:b w:val="false"/>
          <w:color w:val="161616"/>
          <w:sz w:val="17"/>
        </w:rPr>
        <w:t xml:space="preserve">in </w:t>
      </w:r>
      <w:r>
        <w:rPr>
          <w:rFonts w:ascii="Arial;sans-serif" w:hAnsi="Arial;sans-serif"/>
          <w:b w:val="false"/>
          <w:color w:val="2A2A2A"/>
          <w:sz w:val="17"/>
        </w:rPr>
        <w:t xml:space="preserve">obtaining and enforcing copyrights </w:t>
      </w:r>
      <w:r>
        <w:rPr>
          <w:rFonts w:ascii="Arial;sans-serif" w:hAnsi="Arial;sans-serif"/>
          <w:b w:val="false"/>
          <w:color w:val="161616"/>
          <w:sz w:val="17"/>
        </w:rPr>
        <w:t xml:space="preserve">in </w:t>
      </w:r>
      <w:r>
        <w:rPr>
          <w:rFonts w:ascii="Arial;sans-serif" w:hAnsi="Arial;sans-serif"/>
          <w:b w:val="false"/>
          <w:color w:val="2A2A2A"/>
          <w:sz w:val="17"/>
        </w:rPr>
        <w:t xml:space="preserve">works of authorship, </w:t>
      </w:r>
      <w:r>
        <w:rPr>
          <w:rFonts w:ascii="Arial;sans-serif" w:hAnsi="Arial;sans-serif"/>
          <w:b w:val="false"/>
          <w:color w:val="161616"/>
          <w:sz w:val="17"/>
        </w:rPr>
        <w:t xml:space="preserve">in </w:t>
      </w:r>
      <w:r>
        <w:rPr>
          <w:rFonts w:ascii="Arial;sans-serif" w:hAnsi="Arial;sans-serif"/>
          <w:b w:val="false"/>
          <w:color w:val="2A2A2A"/>
          <w:sz w:val="17"/>
        </w:rPr>
        <w:t xml:space="preserve">any and all countries </w:t>
      </w:r>
      <w:r>
        <w:rPr>
          <w:rFonts w:ascii="Arial;sans-serif" w:hAnsi="Arial;sans-serif"/>
          <w:b w:val="false"/>
          <w:color w:val="3B3B3B"/>
          <w:sz w:val="17"/>
        </w:rPr>
        <w:t xml:space="preserve">shall </w:t>
      </w:r>
      <w:r>
        <w:rPr>
          <w:rFonts w:ascii="Arial;sans-serif" w:hAnsi="Arial;sans-serif"/>
          <w:b w:val="false"/>
          <w:color w:val="2A2A2A"/>
          <w:sz w:val="17"/>
        </w:rPr>
        <w:t xml:space="preserve">continue beyond </w:t>
      </w:r>
      <w:r>
        <w:rPr>
          <w:rFonts w:ascii="Arial;sans-serif" w:hAnsi="Arial;sans-serif"/>
          <w:b w:val="false"/>
          <w:color w:val="161616"/>
          <w:sz w:val="17"/>
        </w:rPr>
        <w:t xml:space="preserve">the termination </w:t>
      </w:r>
      <w:r>
        <w:rPr>
          <w:rFonts w:ascii="Arial;sans-serif" w:hAnsi="Arial;sans-serif"/>
          <w:b w:val="false"/>
          <w:color w:val="2A2A2A"/>
          <w:sz w:val="17"/>
        </w:rPr>
        <w:t xml:space="preserve">of </w:t>
      </w:r>
      <w:r>
        <w:rPr>
          <w:rFonts w:ascii="Arial;sans-serif" w:hAnsi="Arial;sans-serif"/>
          <w:b w:val="false"/>
          <w:color w:val="161616"/>
          <w:sz w:val="17"/>
        </w:rPr>
        <w:t xml:space="preserve">my </w:t>
      </w:r>
      <w:r>
        <w:rPr>
          <w:rFonts w:ascii="Arial;sans-serif" w:hAnsi="Arial;sans-serif"/>
          <w:b w:val="false"/>
          <w:color w:val="2A2A2A"/>
          <w:sz w:val="17"/>
        </w:rPr>
        <w:t xml:space="preserve">employment for any </w:t>
      </w:r>
      <w:r>
        <w:rPr>
          <w:rFonts w:ascii="Arial;sans-serif" w:hAnsi="Arial;sans-serif"/>
          <w:b w:val="false"/>
          <w:color w:val="161616"/>
          <w:sz w:val="17"/>
        </w:rPr>
        <w:t xml:space="preserve">reason, </w:t>
      </w:r>
      <w:r>
        <w:rPr>
          <w:rFonts w:ascii="Arial;sans-serif" w:hAnsi="Arial;sans-serif"/>
          <w:b w:val="false"/>
          <w:color w:val="2A2A2A"/>
          <w:sz w:val="17"/>
        </w:rPr>
        <w:t xml:space="preserve">but </w:t>
      </w:r>
      <w:r>
        <w:rPr>
          <w:rFonts w:ascii="Arial;sans-serif" w:hAnsi="Arial;sans-serif"/>
          <w:b w:val="false"/>
          <w:color w:val="161616"/>
          <w:sz w:val="17"/>
        </w:rPr>
        <w:t xml:space="preserve">the </w:t>
      </w:r>
      <w:r>
        <w:rPr>
          <w:rFonts w:ascii="Arial;sans-serif" w:hAnsi="Arial;sans-serif"/>
          <w:b w:val="false"/>
          <w:color w:val="2A2A2A"/>
          <w:sz w:val="17"/>
        </w:rPr>
        <w:t xml:space="preserve">Company shall compensate </w:t>
      </w:r>
      <w:r>
        <w:rPr>
          <w:rFonts w:ascii="Arial;sans-serif" w:hAnsi="Arial;sans-serif"/>
          <w:b w:val="false"/>
          <w:color w:val="161616"/>
          <w:sz w:val="17"/>
        </w:rPr>
        <w:t xml:space="preserve">me </w:t>
      </w:r>
      <w:r>
        <w:rPr>
          <w:rFonts w:ascii="Arial;sans-serif" w:hAnsi="Arial;sans-serif"/>
          <w:b w:val="false"/>
          <w:color w:val="2A2A2A"/>
          <w:sz w:val="17"/>
        </w:rPr>
        <w:t xml:space="preserve">at the </w:t>
      </w:r>
      <w:r>
        <w:rPr>
          <w:rFonts w:ascii="Arial;sans-serif" w:hAnsi="Arial;sans-serif"/>
          <w:b w:val="false"/>
          <w:color w:val="161616"/>
          <w:sz w:val="17"/>
        </w:rPr>
        <w:t xml:space="preserve">rate </w:t>
      </w:r>
      <w:r>
        <w:rPr>
          <w:rFonts w:ascii="Arial;sans-serif" w:hAnsi="Arial;sans-serif"/>
          <w:b w:val="false"/>
          <w:color w:val="2A2A2A"/>
          <w:sz w:val="17"/>
        </w:rPr>
        <w:t xml:space="preserve">of </w:t>
      </w:r>
      <w:r>
        <w:rPr>
          <w:rFonts w:ascii="Arial;sans-serif" w:hAnsi="Arial;sans-serif"/>
          <w:b w:val="false"/>
          <w:color w:val="161616"/>
          <w:sz w:val="17"/>
        </w:rPr>
        <w:t xml:space="preserve">pay </w:t>
      </w:r>
      <w:r>
        <w:rPr>
          <w:rFonts w:ascii="Arial;sans-serif" w:hAnsi="Arial;sans-serif"/>
          <w:b w:val="false"/>
          <w:color w:val="010101"/>
          <w:sz w:val="17"/>
        </w:rPr>
        <w:t xml:space="preserve">I </w:t>
      </w:r>
      <w:r>
        <w:rPr>
          <w:rFonts w:ascii="Arial;sans-serif" w:hAnsi="Arial;sans-serif"/>
          <w:b w:val="false"/>
          <w:color w:val="2A2A2A"/>
          <w:sz w:val="17"/>
        </w:rPr>
        <w:t xml:space="preserve">was </w:t>
      </w:r>
      <w:r>
        <w:rPr>
          <w:rFonts w:ascii="Arial;sans-serif" w:hAnsi="Arial;sans-serif"/>
          <w:b w:val="false"/>
          <w:color w:val="161616"/>
          <w:sz w:val="17"/>
        </w:rPr>
        <w:t xml:space="preserve">receiving </w:t>
      </w:r>
      <w:r>
        <w:rPr>
          <w:rFonts w:ascii="Arial;sans-serif" w:hAnsi="Arial;sans-serif"/>
          <w:b w:val="false"/>
          <w:color w:val="2A2A2A"/>
          <w:sz w:val="17"/>
        </w:rPr>
        <w:t xml:space="preserve">at </w:t>
      </w:r>
      <w:r>
        <w:rPr>
          <w:rFonts w:ascii="Arial;sans-serif" w:hAnsi="Arial;sans-serif"/>
          <w:b w:val="false"/>
          <w:color w:val="161616"/>
          <w:sz w:val="17"/>
        </w:rPr>
        <w:t xml:space="preserve">the time </w:t>
      </w:r>
      <w:r>
        <w:rPr>
          <w:rFonts w:ascii="Arial;sans-serif" w:hAnsi="Arial;sans-serif"/>
          <w:b w:val="false"/>
          <w:color w:val="2A2A2A"/>
          <w:sz w:val="17"/>
        </w:rPr>
        <w:t xml:space="preserve">of </w:t>
      </w:r>
      <w:r>
        <w:rPr>
          <w:rFonts w:ascii="Arial;sans-serif" w:hAnsi="Arial;sans-serif"/>
          <w:b w:val="false"/>
          <w:color w:val="161616"/>
          <w:sz w:val="17"/>
        </w:rPr>
        <w:t xml:space="preserve">my </w:t>
      </w:r>
      <w:r>
        <w:rPr>
          <w:rFonts w:ascii="Arial;sans-serif" w:hAnsi="Arial;sans-serif"/>
          <w:b w:val="false"/>
          <w:color w:val="2A2A2A"/>
          <w:sz w:val="17"/>
        </w:rPr>
        <w:t xml:space="preserve">termination for </w:t>
      </w:r>
      <w:r>
        <w:rPr>
          <w:rFonts w:ascii="Arial;sans-serif" w:hAnsi="Arial;sans-serif"/>
          <w:b w:val="false"/>
          <w:color w:val="161616"/>
          <w:sz w:val="17"/>
        </w:rPr>
        <w:t xml:space="preserve">time </w:t>
      </w:r>
      <w:r>
        <w:rPr>
          <w:rFonts w:ascii="Arial;sans-serif" w:hAnsi="Arial;sans-serif"/>
          <w:b w:val="false"/>
          <w:color w:val="2A2A2A"/>
          <w:sz w:val="17"/>
        </w:rPr>
        <w:t xml:space="preserve">actually </w:t>
      </w:r>
      <w:r>
        <w:rPr>
          <w:rFonts w:ascii="Arial;sans-serif" w:hAnsi="Arial;sans-serif"/>
          <w:b w:val="false"/>
          <w:color w:val="3B3B3B"/>
          <w:sz w:val="17"/>
        </w:rPr>
        <w:t xml:space="preserve">spent </w:t>
      </w:r>
      <w:r>
        <w:rPr>
          <w:rFonts w:ascii="Arial;sans-serif" w:hAnsi="Arial;sans-serif"/>
          <w:b w:val="false"/>
          <w:color w:val="2A2A2A"/>
          <w:sz w:val="17"/>
        </w:rPr>
        <w:t xml:space="preserve">by </w:t>
      </w:r>
      <w:r>
        <w:rPr>
          <w:rFonts w:ascii="Arial;sans-serif" w:hAnsi="Arial;sans-serif"/>
          <w:b w:val="false"/>
          <w:color w:val="161616"/>
          <w:sz w:val="17"/>
        </w:rPr>
        <w:t xml:space="preserve">me </w:t>
      </w:r>
      <w:r>
        <w:rPr>
          <w:rFonts w:ascii="Arial;sans-serif" w:hAnsi="Arial;sans-serif"/>
          <w:b w:val="false"/>
          <w:color w:val="3B3B3B"/>
          <w:sz w:val="17"/>
        </w:rPr>
        <w:t xml:space="preserve">at </w:t>
      </w:r>
      <w:r>
        <w:rPr>
          <w:rFonts w:ascii="Arial;sans-serif" w:hAnsi="Arial;sans-serif"/>
          <w:b w:val="false"/>
          <w:color w:val="161616"/>
          <w:sz w:val="17"/>
        </w:rPr>
        <w:t xml:space="preserve">the </w:t>
      </w:r>
      <w:r>
        <w:rPr>
          <w:rFonts w:ascii="Arial;sans-serif" w:hAnsi="Arial;sans-serif"/>
          <w:b w:val="false"/>
          <w:color w:val="2A2A2A"/>
          <w:sz w:val="17"/>
        </w:rPr>
        <w:t xml:space="preserve">Company's </w:t>
      </w:r>
      <w:r>
        <w:rPr>
          <w:rFonts w:ascii="Arial;sans-serif" w:hAnsi="Arial;sans-serif"/>
          <w:b w:val="false"/>
          <w:color w:val="161616"/>
          <w:sz w:val="17"/>
        </w:rPr>
        <w:t xml:space="preserve">request </w:t>
      </w:r>
      <w:r>
        <w:rPr>
          <w:rFonts w:ascii="Arial;sans-serif" w:hAnsi="Arial;sans-serif"/>
          <w:b w:val="false"/>
          <w:color w:val="2A2A2A"/>
          <w:sz w:val="17"/>
        </w:rPr>
        <w:t xml:space="preserve">on </w:t>
      </w:r>
      <w:r>
        <w:rPr>
          <w:rFonts w:ascii="Arial;sans-serif" w:hAnsi="Arial;sans-serif"/>
          <w:b w:val="false"/>
          <w:color w:val="3B3B3B"/>
          <w:sz w:val="17"/>
        </w:rPr>
        <w:t xml:space="preserve">such assistance. </w:t>
      </w:r>
      <w:r>
        <w:rPr>
          <w:rFonts w:ascii="Arial;sans-serif" w:hAnsi="Arial;sans-serif"/>
          <w:b w:val="false"/>
          <w:color w:val="2A2A2A"/>
          <w:sz w:val="17"/>
        </w:rPr>
        <w:t xml:space="preserve">In </w:t>
      </w:r>
      <w:r>
        <w:rPr>
          <w:rFonts w:ascii="Arial;sans-serif" w:hAnsi="Arial;sans-serif"/>
          <w:b w:val="false"/>
          <w:color w:val="161616"/>
          <w:sz w:val="17"/>
        </w:rPr>
        <w:t xml:space="preserve">the </w:t>
      </w:r>
      <w:r>
        <w:rPr>
          <w:rFonts w:ascii="Arial;sans-serif" w:hAnsi="Arial;sans-serif"/>
          <w:b w:val="false"/>
          <w:color w:val="3B3B3B"/>
          <w:sz w:val="17"/>
        </w:rPr>
        <w:t xml:space="preserve">event </w:t>
      </w:r>
      <w:r>
        <w:rPr>
          <w:rFonts w:ascii="Arial;sans-serif" w:hAnsi="Arial;sans-serif"/>
          <w:b w:val="false"/>
          <w:color w:val="161616"/>
          <w:sz w:val="17"/>
        </w:rPr>
        <w:t xml:space="preserve">that </w:t>
      </w:r>
      <w:r>
        <w:rPr>
          <w:rFonts w:ascii="Arial;sans-serif" w:hAnsi="Arial;sans-serif"/>
          <w:b w:val="false"/>
          <w:color w:val="2A2A2A"/>
          <w:sz w:val="17"/>
        </w:rPr>
        <w:t xml:space="preserve">the Company is unable for </w:t>
      </w:r>
      <w:r>
        <w:rPr>
          <w:rFonts w:ascii="Arial;sans-serif" w:hAnsi="Arial;sans-serif"/>
          <w:b w:val="false"/>
          <w:color w:val="3B3B3B"/>
          <w:sz w:val="17"/>
        </w:rPr>
        <w:t xml:space="preserve">any </w:t>
      </w:r>
      <w:r>
        <w:rPr>
          <w:rFonts w:ascii="Arial;sans-serif" w:hAnsi="Arial;sans-serif"/>
          <w:b w:val="false"/>
          <w:color w:val="2A2A2A"/>
          <w:sz w:val="17"/>
        </w:rPr>
        <w:t xml:space="preserve">reason whatsoever </w:t>
      </w:r>
      <w:r>
        <w:rPr>
          <w:rFonts w:ascii="Arial;sans-serif" w:hAnsi="Arial;sans-serif"/>
          <w:b w:val="false"/>
          <w:color w:val="161616"/>
          <w:sz w:val="17"/>
        </w:rPr>
        <w:t xml:space="preserve">to </w:t>
      </w:r>
      <w:r>
        <w:rPr>
          <w:rFonts w:ascii="Arial;sans-serif" w:hAnsi="Arial;sans-serif"/>
          <w:b w:val="false"/>
          <w:color w:val="3B3B3B"/>
          <w:sz w:val="17"/>
        </w:rPr>
        <w:t xml:space="preserve">secure </w:t>
      </w:r>
      <w:r>
        <w:rPr>
          <w:rFonts w:ascii="Arial;sans-serif" w:hAnsi="Arial;sans-serif"/>
          <w:b w:val="false"/>
          <w:color w:val="161616"/>
          <w:sz w:val="17"/>
        </w:rPr>
        <w:t xml:space="preserve">my </w:t>
      </w:r>
      <w:r>
        <w:rPr>
          <w:rFonts w:ascii="Arial;sans-serif" w:hAnsi="Arial;sans-serif"/>
          <w:b w:val="false"/>
          <w:color w:val="3B3B3B"/>
          <w:sz w:val="17"/>
        </w:rPr>
        <w:t xml:space="preserve">signature </w:t>
      </w:r>
      <w:r>
        <w:rPr>
          <w:rFonts w:ascii="Arial;sans-serif" w:hAnsi="Arial;sans-serif"/>
          <w:b w:val="false"/>
          <w:color w:val="2A2A2A"/>
          <w:sz w:val="17"/>
        </w:rPr>
        <w:t xml:space="preserve">to any </w:t>
      </w:r>
      <w:r>
        <w:rPr>
          <w:rFonts w:ascii="Arial;sans-serif" w:hAnsi="Arial;sans-serif"/>
          <w:b w:val="false"/>
          <w:color w:val="161616"/>
          <w:sz w:val="17"/>
        </w:rPr>
        <w:t xml:space="preserve">lawful </w:t>
      </w:r>
      <w:r>
        <w:rPr>
          <w:rFonts w:ascii="Arial;sans-serif" w:hAnsi="Arial;sans-serif"/>
          <w:b w:val="false"/>
          <w:color w:val="3B3B3B"/>
          <w:sz w:val="17"/>
        </w:rPr>
        <w:t xml:space="preserve">and </w:t>
      </w:r>
      <w:r>
        <w:rPr>
          <w:rFonts w:ascii="Arial;sans-serif" w:hAnsi="Arial;sans-serif"/>
          <w:b w:val="false"/>
          <w:color w:val="2A2A2A"/>
          <w:sz w:val="17"/>
        </w:rPr>
        <w:t xml:space="preserve">necessary </w:t>
      </w:r>
      <w:r>
        <w:rPr>
          <w:rFonts w:ascii="Arial;sans-serif" w:hAnsi="Arial;sans-serif"/>
          <w:b w:val="false"/>
          <w:color w:val="161616"/>
          <w:sz w:val="17"/>
        </w:rPr>
        <w:t xml:space="preserve">document required to </w:t>
      </w:r>
      <w:r>
        <w:rPr>
          <w:rFonts w:ascii="Arial;sans-serif" w:hAnsi="Arial;sans-serif"/>
          <w:b w:val="false"/>
          <w:color w:val="3B3B3B"/>
          <w:sz w:val="17"/>
        </w:rPr>
        <w:t xml:space="preserve">apply </w:t>
      </w:r>
      <w:r>
        <w:rPr>
          <w:rFonts w:ascii="Arial;sans-serif" w:hAnsi="Arial;sans-serif"/>
          <w:b w:val="false"/>
          <w:color w:val="2A2A2A"/>
          <w:sz w:val="17"/>
        </w:rPr>
        <w:t xml:space="preserve">for any </w:t>
      </w:r>
      <w:r>
        <w:rPr>
          <w:rFonts w:ascii="Arial;sans-serif" w:hAnsi="Arial;sans-serif"/>
          <w:b w:val="false"/>
          <w:color w:val="3B3B3B"/>
          <w:sz w:val="17"/>
        </w:rPr>
        <w:t xml:space="preserve">such </w:t>
      </w:r>
      <w:r>
        <w:rPr>
          <w:rFonts w:ascii="Arial;sans-serif" w:hAnsi="Arial;sans-serif"/>
          <w:b w:val="false"/>
          <w:color w:val="2A2A2A"/>
          <w:sz w:val="17"/>
        </w:rPr>
        <w:t xml:space="preserve">copyright or </w:t>
      </w:r>
      <w:r>
        <w:rPr>
          <w:rFonts w:ascii="Arial;sans-serif" w:hAnsi="Arial;sans-serif"/>
          <w:b w:val="false"/>
          <w:color w:val="161616"/>
          <w:sz w:val="17"/>
        </w:rPr>
        <w:t xml:space="preserve">to </w:t>
      </w:r>
      <w:r>
        <w:rPr>
          <w:rFonts w:ascii="Arial;sans-serif" w:hAnsi="Arial;sans-serif"/>
          <w:b w:val="false"/>
          <w:color w:val="2A2A2A"/>
          <w:sz w:val="17"/>
        </w:rPr>
        <w:t xml:space="preserve">prosecute any </w:t>
      </w:r>
      <w:r>
        <w:rPr>
          <w:rFonts w:ascii="Arial;sans-serif" w:hAnsi="Arial;sans-serif"/>
          <w:b w:val="false"/>
          <w:color w:val="3B3B3B"/>
          <w:sz w:val="17"/>
        </w:rPr>
        <w:t xml:space="preserve">copyright </w:t>
      </w:r>
      <w:r>
        <w:rPr>
          <w:rFonts w:ascii="Arial;sans-serif" w:hAnsi="Arial;sans-serif"/>
          <w:b w:val="false"/>
          <w:color w:val="161616"/>
          <w:sz w:val="17"/>
        </w:rPr>
        <w:t xml:space="preserve">registration </w:t>
      </w:r>
      <w:r>
        <w:rPr>
          <w:rFonts w:ascii="Arial;sans-serif" w:hAnsi="Arial;sans-serif"/>
          <w:b w:val="false"/>
          <w:color w:val="2A2A2A"/>
          <w:sz w:val="17"/>
        </w:rPr>
        <w:t xml:space="preserve">application with respect </w:t>
      </w:r>
      <w:r>
        <w:rPr>
          <w:rFonts w:ascii="Arial;sans-serif" w:hAnsi="Arial;sans-serif"/>
          <w:b w:val="false"/>
          <w:color w:val="161616"/>
          <w:sz w:val="17"/>
        </w:rPr>
        <w:t xml:space="preserve">to </w:t>
      </w:r>
      <w:r>
        <w:rPr>
          <w:rFonts w:ascii="Arial;sans-serif" w:hAnsi="Arial;sans-serif"/>
          <w:b w:val="false"/>
          <w:color w:val="2A2A2A"/>
          <w:sz w:val="17"/>
        </w:rPr>
        <w:t xml:space="preserve">such work </w:t>
      </w:r>
      <w:r>
        <w:rPr>
          <w:rFonts w:ascii="Arial;sans-serif" w:hAnsi="Arial;sans-serif"/>
          <w:b w:val="false"/>
          <w:color w:val="3B3B3B"/>
          <w:sz w:val="17"/>
        </w:rPr>
        <w:t xml:space="preserve">of authorship, or </w:t>
      </w:r>
      <w:r>
        <w:rPr>
          <w:rFonts w:ascii="Arial;sans-serif" w:hAnsi="Arial;sans-serif"/>
          <w:b w:val="false"/>
          <w:color w:val="2A2A2A"/>
          <w:sz w:val="17"/>
        </w:rPr>
        <w:t xml:space="preserve">renewal thereof, </w:t>
      </w:r>
      <w:r>
        <w:rPr>
          <w:rFonts w:ascii="Arial;sans-serif" w:hAnsi="Arial;sans-serif"/>
          <w:b w:val="false"/>
          <w:color w:val="161616"/>
          <w:sz w:val="17"/>
        </w:rPr>
        <w:t xml:space="preserve">I hereby irrevocably designate </w:t>
      </w:r>
      <w:r>
        <w:rPr>
          <w:rFonts w:ascii="Arial;sans-serif" w:hAnsi="Arial;sans-serif"/>
          <w:b w:val="false"/>
          <w:color w:val="2A2A2A"/>
          <w:sz w:val="17"/>
        </w:rPr>
        <w:t xml:space="preserve">and appoint the Company and </w:t>
      </w:r>
      <w:r>
        <w:rPr>
          <w:rFonts w:ascii="Arial;sans-serif" w:hAnsi="Arial;sans-serif"/>
          <w:b w:val="false"/>
          <w:color w:val="161616"/>
          <w:sz w:val="17"/>
        </w:rPr>
        <w:t xml:space="preserve">its </w:t>
      </w:r>
      <w:r>
        <w:rPr>
          <w:rFonts w:ascii="Arial;sans-serif" w:hAnsi="Arial;sans-serif"/>
          <w:b w:val="false"/>
          <w:color w:val="2A2A2A"/>
          <w:sz w:val="17"/>
        </w:rPr>
        <w:t xml:space="preserve">duly </w:t>
      </w:r>
      <w:r>
        <w:rPr>
          <w:rFonts w:ascii="Arial;sans-serif" w:hAnsi="Arial;sans-serif"/>
          <w:b w:val="false"/>
          <w:color w:val="161616"/>
          <w:sz w:val="17"/>
        </w:rPr>
        <w:t xml:space="preserve">authorized </w:t>
      </w:r>
      <w:r>
        <w:rPr>
          <w:rFonts w:ascii="Arial;sans-serif" w:hAnsi="Arial;sans-serif"/>
          <w:b w:val="false"/>
          <w:color w:val="3B3B3B"/>
          <w:sz w:val="17"/>
        </w:rPr>
        <w:t xml:space="preserve">officers </w:t>
      </w:r>
      <w:r>
        <w:rPr>
          <w:rFonts w:ascii="Arial;sans-serif" w:hAnsi="Arial;sans-serif"/>
          <w:b w:val="false"/>
          <w:color w:val="2A2A2A"/>
          <w:sz w:val="17"/>
        </w:rPr>
        <w:t xml:space="preserve">and agents, as </w:t>
      </w:r>
      <w:r>
        <w:rPr>
          <w:rFonts w:ascii="Arial;sans-serif" w:hAnsi="Arial;sans-serif"/>
          <w:b w:val="false"/>
          <w:color w:val="161616"/>
          <w:sz w:val="17"/>
        </w:rPr>
        <w:t xml:space="preserve">my </w:t>
      </w:r>
      <w:r>
        <w:rPr>
          <w:rFonts w:ascii="Arial;sans-serif" w:hAnsi="Arial;sans-serif"/>
          <w:b w:val="false"/>
          <w:color w:val="2A2A2A"/>
          <w:sz w:val="17"/>
        </w:rPr>
        <w:t xml:space="preserve">agents and attorney-in-fact </w:t>
      </w:r>
      <w:r>
        <w:rPr>
          <w:rFonts w:ascii="Arial;sans-serif" w:hAnsi="Arial;sans-serif"/>
          <w:b w:val="false"/>
          <w:color w:val="161616"/>
          <w:sz w:val="17"/>
        </w:rPr>
        <w:t xml:space="preserve">to </w:t>
      </w:r>
      <w:r>
        <w:rPr>
          <w:rFonts w:ascii="Arial;sans-serif" w:hAnsi="Arial;sans-serif"/>
          <w:b w:val="false"/>
          <w:color w:val="2A2A2A"/>
          <w:sz w:val="17"/>
        </w:rPr>
        <w:t xml:space="preserve">act for </w:t>
      </w:r>
      <w:r>
        <w:rPr>
          <w:rFonts w:ascii="Arial;sans-serif" w:hAnsi="Arial;sans-serif"/>
          <w:b w:val="false"/>
          <w:color w:val="3B3B3B"/>
          <w:sz w:val="17"/>
        </w:rPr>
        <w:t xml:space="preserve">and </w:t>
      </w:r>
      <w:r>
        <w:rPr>
          <w:rFonts w:ascii="Arial;sans-serif" w:hAnsi="Arial;sans-serif"/>
          <w:b w:val="false"/>
          <w:color w:val="161616"/>
          <w:sz w:val="17"/>
        </w:rPr>
        <w:t xml:space="preserve">in </w:t>
      </w:r>
      <w:r>
        <w:rPr>
          <w:rFonts w:ascii="Arial;sans-serif" w:hAnsi="Arial;sans-serif"/>
          <w:b w:val="false"/>
          <w:color w:val="2A2A2A"/>
          <w:sz w:val="17"/>
        </w:rPr>
        <w:t xml:space="preserve">my </w:t>
      </w:r>
      <w:r>
        <w:rPr>
          <w:rFonts w:ascii="Arial;sans-serif" w:hAnsi="Arial;sans-serif"/>
          <w:b w:val="false"/>
          <w:color w:val="161616"/>
          <w:sz w:val="17"/>
        </w:rPr>
        <w:t xml:space="preserve">behalf </w:t>
      </w:r>
      <w:r>
        <w:rPr>
          <w:rFonts w:ascii="Arial;sans-serif" w:hAnsi="Arial;sans-serif"/>
          <w:b w:val="false"/>
          <w:color w:val="2A2A2A"/>
          <w:sz w:val="17"/>
        </w:rPr>
        <w:t xml:space="preserve">and </w:t>
      </w:r>
      <w:r>
        <w:rPr>
          <w:rFonts w:ascii="Arial;sans-serif" w:hAnsi="Arial;sans-serif"/>
          <w:b w:val="false"/>
          <w:color w:val="161616"/>
          <w:sz w:val="17"/>
        </w:rPr>
        <w:t xml:space="preserve">instead </w:t>
      </w:r>
      <w:r>
        <w:rPr>
          <w:rFonts w:ascii="Arial;sans-serif" w:hAnsi="Arial;sans-serif"/>
          <w:b w:val="false"/>
          <w:color w:val="2A2A2A"/>
          <w:sz w:val="17"/>
        </w:rPr>
        <w:t xml:space="preserve">of me, </w:t>
      </w:r>
      <w:r>
        <w:rPr>
          <w:rFonts w:ascii="Arial;sans-serif" w:hAnsi="Arial;sans-serif"/>
          <w:b w:val="false"/>
          <w:color w:val="161616"/>
          <w:sz w:val="17"/>
        </w:rPr>
        <w:t xml:space="preserve">to </w:t>
      </w:r>
      <w:r>
        <w:rPr>
          <w:rFonts w:ascii="Arial;sans-serif" w:hAnsi="Arial;sans-serif"/>
          <w:b w:val="false"/>
          <w:color w:val="3B3B3B"/>
          <w:sz w:val="17"/>
        </w:rPr>
        <w:t xml:space="preserve">execute </w:t>
      </w:r>
      <w:r>
        <w:rPr>
          <w:rFonts w:ascii="Arial;sans-serif" w:hAnsi="Arial;sans-serif"/>
          <w:b w:val="false"/>
          <w:color w:val="2A2A2A"/>
          <w:sz w:val="17"/>
        </w:rPr>
        <w:t xml:space="preserve">and </w:t>
      </w:r>
      <w:r>
        <w:rPr>
          <w:rFonts w:ascii="Arial;sans-serif" w:hAnsi="Arial;sans-serif"/>
          <w:b w:val="false"/>
          <w:color w:val="161616"/>
          <w:sz w:val="17"/>
        </w:rPr>
        <w:t xml:space="preserve">file </w:t>
      </w:r>
      <w:r>
        <w:rPr>
          <w:rFonts w:ascii="Arial;sans-serif" w:hAnsi="Arial;sans-serif"/>
          <w:b w:val="false"/>
          <w:color w:val="2A2A2A"/>
          <w:sz w:val="17"/>
        </w:rPr>
        <w:t xml:space="preserve">any such </w:t>
      </w:r>
      <w:r>
        <w:rPr>
          <w:rFonts w:ascii="Arial;sans-serif" w:hAnsi="Arial;sans-serif"/>
          <w:b w:val="false"/>
          <w:color w:val="3B3B3B"/>
          <w:sz w:val="17"/>
        </w:rPr>
        <w:t xml:space="preserve">application </w:t>
      </w:r>
      <w:r>
        <w:rPr>
          <w:rFonts w:ascii="Arial;sans-serif" w:hAnsi="Arial;sans-serif"/>
          <w:b w:val="false"/>
          <w:color w:val="2A2A2A"/>
          <w:sz w:val="17"/>
        </w:rPr>
        <w:t xml:space="preserve">and </w:t>
      </w:r>
      <w:r>
        <w:rPr>
          <w:rFonts w:ascii="Arial;sans-serif" w:hAnsi="Arial;sans-serif"/>
          <w:b w:val="false"/>
          <w:color w:val="161616"/>
          <w:sz w:val="17"/>
        </w:rPr>
        <w:t xml:space="preserve">to </w:t>
      </w:r>
      <w:r>
        <w:rPr>
          <w:rFonts w:ascii="Arial;sans-serif" w:hAnsi="Arial;sans-serif"/>
          <w:b w:val="false"/>
          <w:color w:val="2A2A2A"/>
          <w:sz w:val="17"/>
        </w:rPr>
        <w:t xml:space="preserve">do all other </w:t>
      </w:r>
      <w:r>
        <w:rPr>
          <w:rFonts w:ascii="Arial;sans-serif" w:hAnsi="Arial;sans-serif"/>
          <w:b w:val="false"/>
          <w:color w:val="161616"/>
          <w:sz w:val="17"/>
        </w:rPr>
        <w:t xml:space="preserve">lawfully </w:t>
      </w:r>
      <w:r>
        <w:rPr>
          <w:rFonts w:ascii="Arial;sans-serif" w:hAnsi="Arial;sans-serif"/>
          <w:b w:val="false"/>
          <w:color w:val="2A2A2A"/>
          <w:sz w:val="17"/>
        </w:rPr>
        <w:t xml:space="preserve">permitted </w:t>
      </w:r>
      <w:r>
        <w:rPr>
          <w:rFonts w:ascii="Arial;sans-serif" w:hAnsi="Arial;sans-serif"/>
          <w:b w:val="false"/>
          <w:color w:val="3B3B3B"/>
          <w:sz w:val="17"/>
        </w:rPr>
        <w:t xml:space="preserve">acts </w:t>
      </w:r>
      <w:r>
        <w:rPr>
          <w:rFonts w:ascii="Arial;sans-serif" w:hAnsi="Arial;sans-serif"/>
          <w:b w:val="false"/>
          <w:color w:val="161616"/>
          <w:sz w:val="17"/>
        </w:rPr>
        <w:t xml:space="preserve">to </w:t>
      </w:r>
      <w:r>
        <w:rPr>
          <w:rFonts w:ascii="Arial;sans-serif" w:hAnsi="Arial;sans-serif"/>
          <w:b w:val="false"/>
          <w:color w:val="2A2A2A"/>
          <w:sz w:val="17"/>
        </w:rPr>
        <w:t xml:space="preserve">further </w:t>
      </w:r>
      <w:r>
        <w:rPr>
          <w:rFonts w:ascii="Arial;sans-serif" w:hAnsi="Arial;sans-serif"/>
          <w:b w:val="false"/>
          <w:color w:val="161616"/>
          <w:sz w:val="17"/>
        </w:rPr>
        <w:t xml:space="preserve">the </w:t>
      </w:r>
      <w:r>
        <w:rPr>
          <w:rFonts w:ascii="Arial;sans-serif" w:hAnsi="Arial;sans-serif"/>
          <w:b w:val="false"/>
          <w:color w:val="2A2A2A"/>
          <w:sz w:val="17"/>
        </w:rPr>
        <w:t xml:space="preserve">prosecution and issuance of copyright registrations </w:t>
      </w:r>
      <w:r>
        <w:rPr>
          <w:rFonts w:ascii="Arial;sans-serif" w:hAnsi="Arial;sans-serif"/>
          <w:b w:val="false"/>
          <w:color w:val="161616"/>
          <w:sz w:val="17"/>
        </w:rPr>
        <w:t xml:space="preserve">thereon </w:t>
      </w:r>
      <w:r>
        <w:rPr>
          <w:rFonts w:ascii="Arial;sans-serif" w:hAnsi="Arial;sans-serif"/>
          <w:b w:val="false"/>
          <w:color w:val="2A2A2A"/>
          <w:sz w:val="17"/>
        </w:rPr>
        <w:t xml:space="preserve">with </w:t>
      </w:r>
      <w:r>
        <w:rPr>
          <w:rFonts w:ascii="Arial;sans-serif" w:hAnsi="Arial;sans-serif"/>
          <w:b w:val="false"/>
          <w:color w:val="161616"/>
          <w:sz w:val="17"/>
        </w:rPr>
        <w:t xml:space="preserve">the </w:t>
      </w:r>
      <w:r>
        <w:rPr>
          <w:rFonts w:ascii="Arial;sans-serif" w:hAnsi="Arial;sans-serif"/>
          <w:b w:val="false"/>
          <w:color w:val="2A2A2A"/>
          <w:sz w:val="17"/>
        </w:rPr>
        <w:t xml:space="preserve">same </w:t>
      </w:r>
      <w:r>
        <w:rPr>
          <w:rFonts w:ascii="Arial;sans-serif" w:hAnsi="Arial;sans-serif"/>
          <w:b w:val="false"/>
          <w:color w:val="161616"/>
          <w:sz w:val="17"/>
        </w:rPr>
        <w:t xml:space="preserve">legal </w:t>
      </w:r>
      <w:r>
        <w:rPr>
          <w:rFonts w:ascii="Arial;sans-serif" w:hAnsi="Arial;sans-serif"/>
          <w:b w:val="false"/>
          <w:color w:val="2A2A2A"/>
          <w:sz w:val="17"/>
        </w:rPr>
        <w:t xml:space="preserve">force and effect as </w:t>
      </w:r>
      <w:r>
        <w:rPr>
          <w:rFonts w:ascii="Arial;sans-serif" w:hAnsi="Arial;sans-serif"/>
          <w:b w:val="false"/>
          <w:color w:val="161616"/>
          <w:sz w:val="17"/>
        </w:rPr>
        <w:t xml:space="preserve">if </w:t>
      </w:r>
      <w:r>
        <w:rPr>
          <w:rFonts w:ascii="Arial;sans-serif" w:hAnsi="Arial;sans-serif"/>
          <w:b w:val="false"/>
          <w:color w:val="2A2A2A"/>
          <w:sz w:val="17"/>
        </w:rPr>
        <w:t xml:space="preserve">executed by </w:t>
      </w:r>
      <w:r>
        <w:rPr>
          <w:rFonts w:ascii="Arial;sans-serif" w:hAnsi="Arial;sans-serif"/>
          <w:b w:val="false"/>
          <w:color w:val="161616"/>
          <w:sz w:val="17"/>
        </w:rPr>
        <w:t>me</w:t>
      </w:r>
      <w:r>
        <w:rPr>
          <w:rFonts w:ascii="Arial;sans-serif" w:hAnsi="Arial;sans-serif"/>
          <w:b w:val="false"/>
          <w:color w:val="5B5B5B"/>
          <w:sz w:val="17"/>
        </w:rPr>
        <w:t>.</w:t>
      </w:r>
    </w:p>
    <w:p>
      <w:pPr>
        <w:pStyle w:val="TextBody"/>
        <w:spacing w:before="7" w:after="283"/>
        <w:rPr/>
      </w:pPr>
      <w:r>
        <w:rPr/>
      </w:r>
    </w:p>
    <w:p>
      <w:pPr>
        <w:pStyle w:val="TextBody"/>
        <w:spacing w:lineRule="auto" w:line="240" w:before="95" w:after="283"/>
        <w:rPr/>
      </w:pPr>
      <w:r>
        <w:rPr>
          <w:rFonts w:ascii="Arial;sans-serif" w:hAnsi="Arial;sans-serif"/>
          <w:b w:val="false"/>
          <w:color w:val="2A2A2A"/>
          <w:sz w:val="17"/>
          <w:u w:val="single"/>
        </w:rPr>
        <w:t xml:space="preserve">Prior </w:t>
      </w:r>
      <w:r>
        <w:rPr>
          <w:rFonts w:ascii="Arial;sans-serif" w:hAnsi="Arial;sans-serif"/>
          <w:b w:val="false"/>
          <w:color w:val="161616"/>
          <w:sz w:val="17"/>
          <w:u w:val="single"/>
        </w:rPr>
        <w:t>Inventions</w:t>
      </w:r>
    </w:p>
    <w:p>
      <w:pPr>
        <w:pStyle w:val="TextBody"/>
        <w:spacing w:before="5" w:after="283"/>
        <w:rPr/>
      </w:pPr>
      <w:r>
        <w:rPr/>
      </w:r>
    </w:p>
    <w:p>
      <w:pPr>
        <w:pStyle w:val="TextBody"/>
        <w:spacing w:lineRule="auto" w:line="295" w:before="0" w:after="0"/>
        <w:ind w:left="0" w:right="0" w:hanging="347"/>
        <w:rPr/>
      </w:pPr>
      <w:r>
        <w:rPr>
          <w:rFonts w:ascii="Arial;sans-serif" w:hAnsi="Arial;sans-serif"/>
          <w:b w:val="false"/>
          <w:color w:val="161616"/>
          <w:sz w:val="17"/>
        </w:rPr>
        <w:t>13.</w:t>
      </w:r>
      <w:r>
        <w:rPr>
          <w:color w:val="000000"/>
        </w:rPr>
        <w:t>    </w:t>
      </w:r>
      <w:r>
        <w:rPr>
          <w:rFonts w:ascii="Arial;sans-serif" w:hAnsi="Arial;sans-serif"/>
          <w:b w:val="false"/>
          <w:color w:val="161616"/>
          <w:sz w:val="17"/>
        </w:rPr>
        <w:t xml:space="preserve">I have </w:t>
      </w:r>
      <w:r>
        <w:rPr>
          <w:rFonts w:ascii="Arial;sans-serif" w:hAnsi="Arial;sans-serif"/>
          <w:b w:val="false"/>
          <w:color w:val="3B3B3B"/>
          <w:sz w:val="17"/>
        </w:rPr>
        <w:t xml:space="preserve">set </w:t>
      </w:r>
      <w:r>
        <w:rPr>
          <w:rFonts w:ascii="Arial;sans-serif" w:hAnsi="Arial;sans-serif"/>
          <w:b w:val="false"/>
          <w:color w:val="2A2A2A"/>
          <w:sz w:val="17"/>
        </w:rPr>
        <w:t xml:space="preserve">forth on </w:t>
      </w:r>
      <w:r>
        <w:rPr>
          <w:rFonts w:ascii="Arial;sans-serif" w:hAnsi="Arial;sans-serif"/>
          <w:b w:val="false"/>
          <w:color w:val="161616"/>
          <w:sz w:val="17"/>
        </w:rPr>
        <w:t xml:space="preserve">Exhibit </w:t>
      </w:r>
      <w:r>
        <w:rPr>
          <w:rFonts w:ascii="Arial;sans-serif" w:hAnsi="Arial;sans-serif"/>
          <w:b w:val="false"/>
          <w:color w:val="2A2A2A"/>
          <w:sz w:val="17"/>
        </w:rPr>
        <w:t xml:space="preserve">A, a complete </w:t>
      </w:r>
      <w:r>
        <w:rPr>
          <w:rFonts w:ascii="Arial;sans-serif" w:hAnsi="Arial;sans-serif"/>
          <w:b w:val="false"/>
          <w:color w:val="161616"/>
          <w:sz w:val="17"/>
        </w:rPr>
        <w:t xml:space="preserve">list </w:t>
      </w:r>
      <w:r>
        <w:rPr>
          <w:rFonts w:ascii="Arial;sans-serif" w:hAnsi="Arial;sans-serif"/>
          <w:b w:val="false"/>
          <w:color w:val="2A2A2A"/>
          <w:sz w:val="17"/>
        </w:rPr>
        <w:t xml:space="preserve">of </w:t>
      </w:r>
      <w:r>
        <w:rPr>
          <w:rFonts w:ascii="Arial;sans-serif" w:hAnsi="Arial;sans-serif"/>
          <w:b w:val="false"/>
          <w:color w:val="161616"/>
          <w:sz w:val="17"/>
        </w:rPr>
        <w:t xml:space="preserve">intellectual property that I have, </w:t>
      </w:r>
      <w:r>
        <w:rPr>
          <w:rFonts w:ascii="Arial;sans-serif" w:hAnsi="Arial;sans-serif"/>
          <w:b w:val="false"/>
          <w:color w:val="2A2A2A"/>
          <w:sz w:val="17"/>
        </w:rPr>
        <w:t xml:space="preserve">alone </w:t>
      </w:r>
      <w:r>
        <w:rPr>
          <w:rFonts w:ascii="Arial;sans-serif" w:hAnsi="Arial;sans-serif"/>
          <w:b w:val="false"/>
          <w:color w:val="3B3B3B"/>
          <w:sz w:val="17"/>
        </w:rPr>
        <w:t xml:space="preserve">or </w:t>
      </w:r>
      <w:r>
        <w:rPr>
          <w:rFonts w:ascii="Arial;sans-serif" w:hAnsi="Arial;sans-serif"/>
          <w:b w:val="false"/>
          <w:color w:val="161616"/>
          <w:sz w:val="17"/>
        </w:rPr>
        <w:t xml:space="preserve">jointly </w:t>
      </w:r>
      <w:r>
        <w:rPr>
          <w:rFonts w:ascii="Arial;sans-serif" w:hAnsi="Arial;sans-serif"/>
          <w:b w:val="false"/>
          <w:color w:val="2A2A2A"/>
          <w:sz w:val="17"/>
        </w:rPr>
        <w:t xml:space="preserve">with others, authored, </w:t>
      </w:r>
      <w:r>
        <w:rPr>
          <w:rFonts w:ascii="Arial;sans-serif" w:hAnsi="Arial;sans-serif"/>
          <w:b w:val="false"/>
          <w:color w:val="161616"/>
          <w:sz w:val="17"/>
        </w:rPr>
        <w:t xml:space="preserve">made, </w:t>
      </w:r>
      <w:r>
        <w:rPr>
          <w:rFonts w:ascii="Arial;sans-serif" w:hAnsi="Arial;sans-serif"/>
          <w:b w:val="false"/>
          <w:color w:val="2A2A2A"/>
          <w:sz w:val="17"/>
        </w:rPr>
        <w:t xml:space="preserve">developed, conceived and/or </w:t>
      </w:r>
      <w:r>
        <w:rPr>
          <w:rFonts w:ascii="Arial;sans-serif" w:hAnsi="Arial;sans-serif"/>
          <w:b w:val="false"/>
          <w:color w:val="161616"/>
          <w:sz w:val="17"/>
        </w:rPr>
        <w:t xml:space="preserve">reduced </w:t>
      </w:r>
      <w:r>
        <w:rPr>
          <w:rFonts w:ascii="Arial;sans-serif" w:hAnsi="Arial;sans-serif"/>
          <w:b w:val="false"/>
          <w:color w:val="2A2A2A"/>
          <w:sz w:val="17"/>
        </w:rPr>
        <w:t xml:space="preserve">to </w:t>
      </w:r>
      <w:r>
        <w:rPr>
          <w:rFonts w:ascii="Arial;sans-serif" w:hAnsi="Arial;sans-serif"/>
          <w:b w:val="false"/>
          <w:color w:val="161616"/>
          <w:sz w:val="17"/>
        </w:rPr>
        <w:t xml:space="preserve">practice </w:t>
      </w:r>
      <w:r>
        <w:rPr>
          <w:rFonts w:ascii="Arial;sans-serif" w:hAnsi="Arial;sans-serif"/>
          <w:b w:val="false"/>
          <w:color w:val="2A2A2A"/>
          <w:sz w:val="17"/>
        </w:rPr>
        <w:t xml:space="preserve">prior </w:t>
      </w:r>
      <w:r>
        <w:rPr>
          <w:rFonts w:ascii="Arial;sans-serif" w:hAnsi="Arial;sans-serif"/>
          <w:b w:val="false"/>
          <w:color w:val="161616"/>
          <w:sz w:val="17"/>
        </w:rPr>
        <w:t xml:space="preserve">to </w:t>
      </w:r>
      <w:r>
        <w:rPr>
          <w:rFonts w:ascii="Arial;sans-serif" w:hAnsi="Arial;sans-serif"/>
          <w:b w:val="false"/>
          <w:color w:val="2A2A2A"/>
          <w:sz w:val="17"/>
        </w:rPr>
        <w:t xml:space="preserve">my employment with </w:t>
      </w:r>
      <w:r>
        <w:rPr>
          <w:rFonts w:ascii="Arial;sans-serif" w:hAnsi="Arial;sans-serif"/>
          <w:b w:val="false"/>
          <w:color w:val="161616"/>
          <w:sz w:val="17"/>
        </w:rPr>
        <w:t xml:space="preserve">the </w:t>
      </w:r>
      <w:r>
        <w:rPr>
          <w:rFonts w:ascii="Arial;sans-serif" w:hAnsi="Arial;sans-serif"/>
          <w:b w:val="false"/>
          <w:color w:val="3B3B3B"/>
          <w:sz w:val="17"/>
        </w:rPr>
        <w:t xml:space="preserve">Company </w:t>
      </w:r>
      <w:r>
        <w:rPr>
          <w:rFonts w:ascii="Arial;sans-serif" w:hAnsi="Arial;sans-serif"/>
          <w:b w:val="false"/>
          <w:color w:val="161616"/>
          <w:sz w:val="17"/>
        </w:rPr>
        <w:t xml:space="preserve">that I </w:t>
      </w:r>
      <w:r>
        <w:rPr>
          <w:rFonts w:ascii="Arial;sans-serif" w:hAnsi="Arial;sans-serif"/>
          <w:b w:val="false"/>
          <w:color w:val="3B3B3B"/>
          <w:sz w:val="17"/>
        </w:rPr>
        <w:t xml:space="preserve">consider </w:t>
      </w:r>
      <w:r>
        <w:rPr>
          <w:rFonts w:ascii="Arial;sans-serif" w:hAnsi="Arial;sans-serif"/>
          <w:b w:val="false"/>
          <w:color w:val="161616"/>
          <w:sz w:val="17"/>
        </w:rPr>
        <w:t xml:space="preserve">to </w:t>
      </w:r>
      <w:r>
        <w:rPr>
          <w:rFonts w:ascii="Arial;sans-serif" w:hAnsi="Arial;sans-serif"/>
          <w:b w:val="false"/>
          <w:color w:val="2A2A2A"/>
          <w:sz w:val="17"/>
        </w:rPr>
        <w:t xml:space="preserve">be </w:t>
      </w:r>
      <w:r>
        <w:rPr>
          <w:rFonts w:ascii="Arial;sans-serif" w:hAnsi="Arial;sans-serif"/>
          <w:b w:val="false"/>
          <w:color w:val="161616"/>
          <w:sz w:val="17"/>
        </w:rPr>
        <w:t xml:space="preserve">my property </w:t>
      </w:r>
      <w:r>
        <w:rPr>
          <w:rFonts w:ascii="Arial;sans-serif" w:hAnsi="Arial;sans-serif"/>
          <w:b w:val="false"/>
          <w:color w:val="2A2A2A"/>
          <w:sz w:val="17"/>
        </w:rPr>
        <w:t xml:space="preserve">or </w:t>
      </w:r>
      <w:r>
        <w:rPr>
          <w:rFonts w:ascii="Arial;sans-serif" w:hAnsi="Arial;sans-serif"/>
          <w:b w:val="false"/>
          <w:color w:val="161616"/>
          <w:sz w:val="17"/>
        </w:rPr>
        <w:t xml:space="preserve">the property </w:t>
      </w:r>
      <w:r>
        <w:rPr>
          <w:rFonts w:ascii="Arial;sans-serif" w:hAnsi="Arial;sans-serif"/>
          <w:b w:val="false"/>
          <w:color w:val="2A2A2A"/>
          <w:sz w:val="17"/>
        </w:rPr>
        <w:t xml:space="preserve">of </w:t>
      </w:r>
      <w:r>
        <w:rPr>
          <w:rFonts w:ascii="Arial;sans-serif" w:hAnsi="Arial;sans-serif"/>
          <w:b w:val="false"/>
          <w:color w:val="161616"/>
          <w:sz w:val="17"/>
        </w:rPr>
        <w:t xml:space="preserve">third parties </w:t>
      </w:r>
      <w:r>
        <w:rPr>
          <w:rFonts w:ascii="Arial;sans-serif" w:hAnsi="Arial;sans-serif"/>
          <w:b w:val="false"/>
          <w:color w:val="3B3B3B"/>
          <w:sz w:val="17"/>
        </w:rPr>
        <w:t xml:space="preserve">("Prior </w:t>
      </w:r>
      <w:r>
        <w:rPr>
          <w:rFonts w:ascii="Arial;sans-serif" w:hAnsi="Arial;sans-serif"/>
          <w:b w:val="false"/>
          <w:color w:val="161616"/>
          <w:sz w:val="17"/>
        </w:rPr>
        <w:t xml:space="preserve">Inventions"). If </w:t>
      </w:r>
      <w:r>
        <w:rPr>
          <w:rFonts w:ascii="Arial;sans-serif" w:hAnsi="Arial;sans-serif"/>
          <w:b w:val="false"/>
          <w:color w:val="2A2A2A"/>
          <w:sz w:val="17"/>
        </w:rPr>
        <w:t xml:space="preserve">Exhibit A </w:t>
      </w:r>
      <w:r>
        <w:rPr>
          <w:rFonts w:ascii="Arial;sans-serif" w:hAnsi="Arial;sans-serif"/>
          <w:b w:val="false"/>
          <w:color w:val="161616"/>
          <w:sz w:val="17"/>
        </w:rPr>
        <w:t xml:space="preserve">is not </w:t>
      </w:r>
      <w:r>
        <w:rPr>
          <w:rFonts w:ascii="Arial;sans-serif" w:hAnsi="Arial;sans-serif"/>
          <w:b w:val="false"/>
          <w:color w:val="2A2A2A"/>
          <w:sz w:val="17"/>
        </w:rPr>
        <w:t xml:space="preserve">attached </w:t>
      </w:r>
      <w:r>
        <w:rPr>
          <w:rFonts w:ascii="Arial;sans-serif" w:hAnsi="Arial;sans-serif"/>
          <w:b w:val="false"/>
          <w:color w:val="3B3B3B"/>
          <w:sz w:val="17"/>
        </w:rPr>
        <w:t xml:space="preserve">or </w:t>
      </w:r>
      <w:r>
        <w:rPr>
          <w:rFonts w:ascii="Arial;sans-serif" w:hAnsi="Arial;sans-serif"/>
          <w:b w:val="false"/>
          <w:color w:val="2A2A2A"/>
          <w:sz w:val="17"/>
        </w:rPr>
        <w:t xml:space="preserve">does </w:t>
      </w:r>
      <w:r>
        <w:rPr>
          <w:rFonts w:ascii="Arial;sans-serif" w:hAnsi="Arial;sans-serif"/>
          <w:b w:val="false"/>
          <w:color w:val="161616"/>
          <w:sz w:val="17"/>
        </w:rPr>
        <w:t xml:space="preserve">not </w:t>
      </w:r>
      <w:r>
        <w:rPr>
          <w:rFonts w:ascii="Arial;sans-serif" w:hAnsi="Arial;sans-serif"/>
          <w:b w:val="false"/>
          <w:color w:val="3B3B3B"/>
          <w:sz w:val="17"/>
        </w:rPr>
        <w:t xml:space="preserve">contain </w:t>
      </w:r>
      <w:r>
        <w:rPr>
          <w:rFonts w:ascii="Arial;sans-serif" w:hAnsi="Arial;sans-serif"/>
          <w:b w:val="false"/>
          <w:color w:val="2A2A2A"/>
          <w:sz w:val="17"/>
        </w:rPr>
        <w:t xml:space="preserve">any disclosure </w:t>
      </w:r>
      <w:r>
        <w:rPr>
          <w:rFonts w:ascii="Arial;sans-serif" w:hAnsi="Arial;sans-serif"/>
          <w:b w:val="false"/>
          <w:color w:val="161616"/>
          <w:sz w:val="17"/>
        </w:rPr>
        <w:t xml:space="preserve">list, I </w:t>
      </w:r>
      <w:r>
        <w:rPr>
          <w:rFonts w:ascii="Arial;sans-serif" w:hAnsi="Arial;sans-serif"/>
          <w:b w:val="false"/>
          <w:color w:val="2A2A2A"/>
          <w:sz w:val="17"/>
        </w:rPr>
        <w:t xml:space="preserve">represent </w:t>
      </w:r>
      <w:r>
        <w:rPr>
          <w:rFonts w:ascii="Arial;sans-serif" w:hAnsi="Arial;sans-serif"/>
          <w:b w:val="false"/>
          <w:color w:val="3B3B3B"/>
          <w:sz w:val="17"/>
        </w:rPr>
        <w:t xml:space="preserve">that </w:t>
      </w:r>
      <w:r>
        <w:rPr>
          <w:rFonts w:ascii="Arial;sans-serif" w:hAnsi="Arial;sans-serif"/>
          <w:b w:val="false"/>
          <w:color w:val="161616"/>
          <w:sz w:val="17"/>
        </w:rPr>
        <w:t xml:space="preserve">I have no Prior Inventions. I </w:t>
      </w:r>
      <w:r>
        <w:rPr>
          <w:rFonts w:ascii="Arial;sans-serif" w:hAnsi="Arial;sans-serif"/>
          <w:b w:val="false"/>
          <w:color w:val="2A2A2A"/>
          <w:sz w:val="17"/>
        </w:rPr>
        <w:t xml:space="preserve">will </w:t>
      </w:r>
      <w:r>
        <w:rPr>
          <w:rFonts w:ascii="Arial;sans-serif" w:hAnsi="Arial;sans-serif"/>
          <w:b w:val="false"/>
          <w:color w:val="161616"/>
          <w:sz w:val="17"/>
        </w:rPr>
        <w:t xml:space="preserve">not incorporate, </w:t>
      </w:r>
      <w:r>
        <w:rPr>
          <w:rFonts w:ascii="Arial;sans-serif" w:hAnsi="Arial;sans-serif"/>
          <w:b w:val="false"/>
          <w:color w:val="2A2A2A"/>
          <w:sz w:val="17"/>
        </w:rPr>
        <w:t xml:space="preserve">or permit </w:t>
      </w:r>
      <w:r>
        <w:rPr>
          <w:rFonts w:ascii="Arial;sans-serif" w:hAnsi="Arial;sans-serif"/>
          <w:b w:val="false"/>
          <w:color w:val="161616"/>
          <w:sz w:val="17"/>
        </w:rPr>
        <w:t xml:space="preserve">to </w:t>
      </w:r>
      <w:r>
        <w:rPr>
          <w:rFonts w:ascii="Arial;sans-serif" w:hAnsi="Arial;sans-serif"/>
          <w:b w:val="false"/>
          <w:color w:val="2A2A2A"/>
          <w:sz w:val="17"/>
        </w:rPr>
        <w:t xml:space="preserve">be </w:t>
      </w:r>
      <w:r>
        <w:rPr>
          <w:rFonts w:ascii="Arial;sans-serif" w:hAnsi="Arial;sans-serif"/>
          <w:b w:val="false"/>
          <w:color w:val="161616"/>
          <w:sz w:val="17"/>
        </w:rPr>
        <w:t xml:space="preserve">incorporated, </w:t>
      </w:r>
      <w:r>
        <w:rPr>
          <w:rFonts w:ascii="Arial;sans-serif" w:hAnsi="Arial;sans-serif"/>
          <w:b w:val="false"/>
          <w:color w:val="3B3B3B"/>
          <w:sz w:val="17"/>
        </w:rPr>
        <w:t xml:space="preserve">Prior </w:t>
      </w:r>
      <w:r>
        <w:rPr>
          <w:rFonts w:ascii="Arial;sans-serif" w:hAnsi="Arial;sans-serif"/>
          <w:b w:val="false"/>
          <w:color w:val="161616"/>
          <w:sz w:val="17"/>
        </w:rPr>
        <w:t xml:space="preserve">Inventions in </w:t>
      </w:r>
      <w:r>
        <w:rPr>
          <w:rFonts w:ascii="Arial;sans-serif" w:hAnsi="Arial;sans-serif"/>
          <w:b w:val="false"/>
          <w:color w:val="2A2A2A"/>
          <w:sz w:val="17"/>
        </w:rPr>
        <w:t xml:space="preserve">any </w:t>
      </w:r>
      <w:r>
        <w:rPr>
          <w:rFonts w:ascii="Arial;sans-serif" w:hAnsi="Arial;sans-serif"/>
          <w:b w:val="false"/>
          <w:color w:val="161616"/>
          <w:sz w:val="17"/>
        </w:rPr>
        <w:t xml:space="preserve">Inventions, including into </w:t>
      </w:r>
      <w:r>
        <w:rPr>
          <w:rFonts w:ascii="Arial;sans-serif" w:hAnsi="Arial;sans-serif"/>
          <w:b w:val="false"/>
          <w:color w:val="2A2A2A"/>
          <w:sz w:val="17"/>
        </w:rPr>
        <w:t xml:space="preserve">any company product, process, </w:t>
      </w:r>
      <w:r>
        <w:rPr>
          <w:rFonts w:ascii="Arial;sans-serif" w:hAnsi="Arial;sans-serif"/>
          <w:b w:val="false"/>
          <w:color w:val="3B3B3B"/>
          <w:sz w:val="17"/>
        </w:rPr>
        <w:t xml:space="preserve">or </w:t>
      </w:r>
      <w:r>
        <w:rPr>
          <w:rFonts w:ascii="Arial;sans-serif" w:hAnsi="Arial;sans-serif"/>
          <w:b w:val="false"/>
          <w:color w:val="161616"/>
          <w:sz w:val="17"/>
        </w:rPr>
        <w:t xml:space="preserve">method </w:t>
      </w:r>
      <w:r>
        <w:rPr>
          <w:rFonts w:ascii="Arial;sans-serif" w:hAnsi="Arial;sans-serif"/>
          <w:b w:val="false"/>
          <w:color w:val="2A2A2A"/>
          <w:sz w:val="17"/>
        </w:rPr>
        <w:t xml:space="preserve">of </w:t>
      </w:r>
      <w:r>
        <w:rPr>
          <w:rFonts w:ascii="Arial;sans-serif" w:hAnsi="Arial;sans-serif"/>
          <w:b w:val="false"/>
          <w:color w:val="161616"/>
          <w:sz w:val="17"/>
        </w:rPr>
        <w:t xml:space="preserve">manufacture, </w:t>
      </w:r>
      <w:r>
        <w:rPr>
          <w:rFonts w:ascii="Arial;sans-serif" w:hAnsi="Arial;sans-serif"/>
          <w:b w:val="false"/>
          <w:color w:val="2A2A2A"/>
          <w:sz w:val="17"/>
        </w:rPr>
        <w:t xml:space="preserve">without </w:t>
      </w:r>
      <w:r>
        <w:rPr>
          <w:rFonts w:ascii="Arial;sans-serif" w:hAnsi="Arial;sans-serif"/>
          <w:b w:val="false"/>
          <w:color w:val="161616"/>
          <w:sz w:val="17"/>
        </w:rPr>
        <w:t xml:space="preserve">the </w:t>
      </w:r>
      <w:r>
        <w:rPr>
          <w:rFonts w:ascii="Arial;sans-serif" w:hAnsi="Arial;sans-serif"/>
          <w:b w:val="false"/>
          <w:color w:val="2A2A2A"/>
          <w:sz w:val="17"/>
        </w:rPr>
        <w:t xml:space="preserve">prior written </w:t>
      </w:r>
      <w:r>
        <w:rPr>
          <w:rFonts w:ascii="Arial;sans-serif" w:hAnsi="Arial;sans-serif"/>
          <w:b w:val="false"/>
          <w:color w:val="3B3B3B"/>
          <w:sz w:val="17"/>
        </w:rPr>
        <w:t xml:space="preserve">consent </w:t>
      </w:r>
      <w:r>
        <w:rPr>
          <w:rFonts w:ascii="Arial;sans-serif" w:hAnsi="Arial;sans-serif"/>
          <w:b w:val="false"/>
          <w:color w:val="2A2A2A"/>
          <w:sz w:val="17"/>
        </w:rPr>
        <w:t xml:space="preserve">of </w:t>
      </w:r>
      <w:r>
        <w:rPr>
          <w:rFonts w:ascii="Arial;sans-serif" w:hAnsi="Arial;sans-serif"/>
          <w:b w:val="false"/>
          <w:color w:val="161616"/>
          <w:sz w:val="17"/>
        </w:rPr>
        <w:t xml:space="preserve">the </w:t>
      </w:r>
      <w:r>
        <w:rPr>
          <w:rFonts w:ascii="Arial;sans-serif" w:hAnsi="Arial;sans-serif"/>
          <w:b w:val="false"/>
          <w:color w:val="2A2A2A"/>
          <w:sz w:val="17"/>
        </w:rPr>
        <w:t xml:space="preserve">Company </w:t>
      </w:r>
      <w:r>
        <w:rPr>
          <w:rFonts w:ascii="Arial;sans-serif" w:hAnsi="Arial;sans-serif"/>
          <w:b w:val="false"/>
          <w:color w:val="3B3B3B"/>
          <w:sz w:val="17"/>
        </w:rPr>
        <w:t xml:space="preserve">and </w:t>
      </w:r>
      <w:r>
        <w:rPr>
          <w:rFonts w:ascii="Arial;sans-serif" w:hAnsi="Arial;sans-serif"/>
          <w:b w:val="false"/>
          <w:color w:val="2A2A2A"/>
          <w:sz w:val="17"/>
        </w:rPr>
        <w:t xml:space="preserve">any </w:t>
      </w:r>
      <w:r>
        <w:rPr>
          <w:rFonts w:ascii="Arial;sans-serif" w:hAnsi="Arial;sans-serif"/>
          <w:b w:val="false"/>
          <w:color w:val="161616"/>
          <w:sz w:val="17"/>
        </w:rPr>
        <w:t xml:space="preserve">third-party </w:t>
      </w:r>
      <w:r>
        <w:rPr>
          <w:rFonts w:ascii="Arial;sans-serif" w:hAnsi="Arial;sans-serif"/>
          <w:b w:val="false"/>
          <w:color w:val="3B3B3B"/>
          <w:sz w:val="17"/>
        </w:rPr>
        <w:t xml:space="preserve">owner. </w:t>
      </w:r>
      <w:r>
        <w:rPr>
          <w:rFonts w:ascii="Arial;sans-serif" w:hAnsi="Arial;sans-serif"/>
          <w:b w:val="false"/>
          <w:color w:val="161616"/>
          <w:sz w:val="17"/>
        </w:rPr>
        <w:t xml:space="preserve">If, </w:t>
      </w:r>
      <w:r>
        <w:rPr>
          <w:rFonts w:ascii="Arial;sans-serif" w:hAnsi="Arial;sans-serif"/>
          <w:b w:val="false"/>
          <w:color w:val="2A2A2A"/>
          <w:sz w:val="17"/>
        </w:rPr>
        <w:t xml:space="preserve">notwithstanding </w:t>
      </w:r>
      <w:r>
        <w:rPr>
          <w:rFonts w:ascii="Arial;sans-serif" w:hAnsi="Arial;sans-serif"/>
          <w:b w:val="false"/>
          <w:color w:val="161616"/>
          <w:sz w:val="17"/>
        </w:rPr>
        <w:t xml:space="preserve">the </w:t>
      </w:r>
      <w:r>
        <w:rPr>
          <w:rFonts w:ascii="Arial;sans-serif" w:hAnsi="Arial;sans-serif"/>
          <w:b w:val="false"/>
          <w:color w:val="2A2A2A"/>
          <w:sz w:val="17"/>
        </w:rPr>
        <w:t xml:space="preserve">foregoing, </w:t>
      </w:r>
      <w:r>
        <w:rPr>
          <w:rFonts w:ascii="Arial;sans-serif" w:hAnsi="Arial;sans-serif"/>
          <w:b w:val="false"/>
          <w:color w:val="161616"/>
          <w:sz w:val="17"/>
        </w:rPr>
        <w:t xml:space="preserve">I incorporate </w:t>
      </w:r>
      <w:r>
        <w:rPr>
          <w:rFonts w:ascii="Arial;sans-serif" w:hAnsi="Arial;sans-serif"/>
          <w:b w:val="false"/>
          <w:color w:val="3B3B3B"/>
          <w:sz w:val="17"/>
        </w:rPr>
        <w:t xml:space="preserve">a </w:t>
      </w:r>
      <w:r>
        <w:rPr>
          <w:rFonts w:ascii="Arial;sans-serif" w:hAnsi="Arial;sans-serif"/>
          <w:b w:val="false"/>
          <w:color w:val="2A2A2A"/>
          <w:sz w:val="17"/>
        </w:rPr>
        <w:t xml:space="preserve">Prior </w:t>
      </w:r>
      <w:r>
        <w:rPr>
          <w:rFonts w:ascii="Arial;sans-serif" w:hAnsi="Arial;sans-serif"/>
          <w:b w:val="false"/>
          <w:color w:val="161616"/>
          <w:sz w:val="17"/>
        </w:rPr>
        <w:t xml:space="preserve">Invention in </w:t>
      </w:r>
      <w:r>
        <w:rPr>
          <w:rFonts w:ascii="Arial;sans-serif" w:hAnsi="Arial;sans-serif"/>
          <w:b w:val="false"/>
          <w:color w:val="2A2A2A"/>
          <w:sz w:val="17"/>
        </w:rPr>
        <w:t xml:space="preserve">which </w:t>
      </w:r>
      <w:r>
        <w:rPr>
          <w:rFonts w:ascii="Arial;sans-serif" w:hAnsi="Arial;sans-serif"/>
          <w:b w:val="false"/>
          <w:color w:val="161616"/>
          <w:sz w:val="17"/>
        </w:rPr>
        <w:t xml:space="preserve">I have </w:t>
      </w:r>
      <w:r>
        <w:rPr>
          <w:rFonts w:ascii="Arial;sans-serif" w:hAnsi="Arial;sans-serif"/>
          <w:b w:val="false"/>
          <w:color w:val="2A2A2A"/>
          <w:sz w:val="17"/>
        </w:rPr>
        <w:t xml:space="preserve">any </w:t>
      </w:r>
      <w:r>
        <w:rPr>
          <w:rFonts w:ascii="Arial;sans-serif" w:hAnsi="Arial;sans-serif"/>
          <w:b w:val="false"/>
          <w:color w:val="161616"/>
          <w:sz w:val="17"/>
        </w:rPr>
        <w:t xml:space="preserve">right, title </w:t>
      </w:r>
      <w:r>
        <w:rPr>
          <w:rFonts w:ascii="Arial;sans-serif" w:hAnsi="Arial;sans-serif"/>
          <w:b w:val="false"/>
          <w:color w:val="2A2A2A"/>
          <w:sz w:val="17"/>
        </w:rPr>
        <w:t xml:space="preserve">or </w:t>
      </w:r>
      <w:r>
        <w:rPr>
          <w:rFonts w:ascii="Arial;sans-serif" w:hAnsi="Arial;sans-serif"/>
          <w:b w:val="false"/>
          <w:color w:val="161616"/>
          <w:sz w:val="17"/>
        </w:rPr>
        <w:t xml:space="preserve">interest into </w:t>
      </w:r>
      <w:r>
        <w:rPr>
          <w:rFonts w:ascii="Arial;sans-serif" w:hAnsi="Arial;sans-serif"/>
          <w:b w:val="false"/>
          <w:color w:val="2A2A2A"/>
          <w:sz w:val="17"/>
        </w:rPr>
        <w:t xml:space="preserve">any </w:t>
      </w:r>
      <w:r>
        <w:rPr>
          <w:rFonts w:ascii="Arial;sans-serif" w:hAnsi="Arial;sans-serif"/>
          <w:b w:val="false"/>
          <w:color w:val="161616"/>
          <w:sz w:val="17"/>
        </w:rPr>
        <w:t xml:space="preserve">Inventions, including into </w:t>
      </w:r>
      <w:r>
        <w:rPr>
          <w:rFonts w:ascii="Arial;sans-serif" w:hAnsi="Arial;sans-serif"/>
          <w:b w:val="false"/>
          <w:color w:val="3B3B3B"/>
          <w:sz w:val="17"/>
        </w:rPr>
        <w:t xml:space="preserve">any company </w:t>
      </w:r>
      <w:r>
        <w:rPr>
          <w:rFonts w:ascii="Arial;sans-serif" w:hAnsi="Arial;sans-serif"/>
          <w:b w:val="false"/>
          <w:color w:val="2A2A2A"/>
          <w:sz w:val="17"/>
        </w:rPr>
        <w:t xml:space="preserve">product, process, </w:t>
      </w:r>
      <w:r>
        <w:rPr>
          <w:rFonts w:ascii="Arial;sans-serif" w:hAnsi="Arial;sans-serif"/>
          <w:b w:val="false"/>
          <w:color w:val="3B3B3B"/>
          <w:sz w:val="17"/>
        </w:rPr>
        <w:t xml:space="preserve">or </w:t>
      </w:r>
      <w:r>
        <w:rPr>
          <w:rFonts w:ascii="Arial;sans-serif" w:hAnsi="Arial;sans-serif"/>
          <w:b w:val="false"/>
          <w:color w:val="2A2A2A"/>
          <w:sz w:val="17"/>
        </w:rPr>
        <w:t xml:space="preserve">method </w:t>
      </w:r>
      <w:r>
        <w:rPr>
          <w:rFonts w:ascii="Arial;sans-serif" w:hAnsi="Arial;sans-serif"/>
          <w:b w:val="false"/>
          <w:color w:val="3B3B3B"/>
          <w:sz w:val="17"/>
        </w:rPr>
        <w:t xml:space="preserve">of </w:t>
      </w:r>
      <w:r>
        <w:rPr>
          <w:rFonts w:ascii="Arial;sans-serif" w:hAnsi="Arial;sans-serif"/>
          <w:b w:val="false"/>
          <w:color w:val="161616"/>
          <w:sz w:val="17"/>
        </w:rPr>
        <w:t xml:space="preserve">manufacture, I </w:t>
      </w:r>
      <w:r>
        <w:rPr>
          <w:rFonts w:ascii="Arial;sans-serif" w:hAnsi="Arial;sans-serif"/>
          <w:b w:val="false"/>
          <w:color w:val="2A2A2A"/>
          <w:sz w:val="17"/>
        </w:rPr>
        <w:t xml:space="preserve">hereby grant </w:t>
      </w:r>
      <w:r>
        <w:rPr>
          <w:rFonts w:ascii="Arial;sans-serif" w:hAnsi="Arial;sans-serif"/>
          <w:b w:val="false"/>
          <w:color w:val="161616"/>
          <w:sz w:val="17"/>
        </w:rPr>
        <w:t xml:space="preserve">to </w:t>
      </w:r>
      <w:r>
        <w:rPr>
          <w:rFonts w:ascii="Arial;sans-serif" w:hAnsi="Arial;sans-serif"/>
          <w:b w:val="false"/>
          <w:color w:val="2A2A2A"/>
          <w:sz w:val="17"/>
        </w:rPr>
        <w:t xml:space="preserve">the </w:t>
      </w:r>
      <w:r>
        <w:rPr>
          <w:rFonts w:ascii="Arial;sans-serif" w:hAnsi="Arial;sans-serif"/>
          <w:b w:val="false"/>
          <w:color w:val="3B3B3B"/>
          <w:sz w:val="17"/>
        </w:rPr>
        <w:t xml:space="preserve">Company a </w:t>
      </w:r>
      <w:r>
        <w:rPr>
          <w:rFonts w:ascii="Arial;sans-serif" w:hAnsi="Arial;sans-serif"/>
          <w:b w:val="false"/>
          <w:color w:val="2A2A2A"/>
          <w:sz w:val="17"/>
        </w:rPr>
        <w:t xml:space="preserve">nonexclusive, royalty-free, </w:t>
      </w:r>
      <w:r>
        <w:rPr>
          <w:rFonts w:ascii="Arial;sans-serif" w:hAnsi="Arial;sans-serif"/>
          <w:b w:val="false"/>
          <w:color w:val="161616"/>
          <w:sz w:val="17"/>
        </w:rPr>
        <w:t xml:space="preserve">irrevocable, </w:t>
      </w:r>
      <w:r>
        <w:rPr>
          <w:rFonts w:ascii="Arial;sans-serif" w:hAnsi="Arial;sans-serif"/>
          <w:b w:val="false"/>
          <w:color w:val="2A2A2A"/>
          <w:sz w:val="17"/>
        </w:rPr>
        <w:t xml:space="preserve">perpetual, worldwide </w:t>
      </w:r>
      <w:r>
        <w:rPr>
          <w:rFonts w:ascii="Arial;sans-serif" w:hAnsi="Arial;sans-serif"/>
          <w:b w:val="false"/>
          <w:color w:val="161616"/>
          <w:sz w:val="17"/>
        </w:rPr>
        <w:t xml:space="preserve">license </w:t>
      </w:r>
      <w:r>
        <w:rPr>
          <w:rFonts w:ascii="Arial;sans-serif" w:hAnsi="Arial;sans-serif"/>
          <w:b w:val="false"/>
          <w:color w:val="2A2A2A"/>
          <w:sz w:val="17"/>
        </w:rPr>
        <w:t xml:space="preserve">(with the right </w:t>
      </w:r>
      <w:r>
        <w:rPr>
          <w:rFonts w:ascii="Arial;sans-serif" w:hAnsi="Arial;sans-serif"/>
          <w:b w:val="false"/>
          <w:color w:val="161616"/>
          <w:sz w:val="17"/>
        </w:rPr>
        <w:t xml:space="preserve">to </w:t>
      </w:r>
      <w:r>
        <w:rPr>
          <w:rFonts w:ascii="Arial;sans-serif" w:hAnsi="Arial;sans-serif"/>
          <w:b w:val="false"/>
          <w:color w:val="3B3B3B"/>
          <w:sz w:val="17"/>
        </w:rPr>
        <w:t xml:space="preserve">sublicense) </w:t>
      </w:r>
      <w:r>
        <w:rPr>
          <w:rFonts w:ascii="Arial;sans-serif" w:hAnsi="Arial;sans-serif"/>
          <w:b w:val="false"/>
          <w:color w:val="161616"/>
          <w:sz w:val="17"/>
        </w:rPr>
        <w:t xml:space="preserve">to reproduce, </w:t>
      </w:r>
      <w:r>
        <w:rPr>
          <w:rFonts w:ascii="Arial;sans-serif" w:hAnsi="Arial;sans-serif"/>
          <w:b w:val="false"/>
          <w:color w:val="2A2A2A"/>
          <w:sz w:val="17"/>
        </w:rPr>
        <w:t xml:space="preserve">display, distribute, make, </w:t>
      </w:r>
      <w:r>
        <w:rPr>
          <w:rFonts w:ascii="Arial;sans-serif" w:hAnsi="Arial;sans-serif"/>
          <w:b w:val="false"/>
          <w:color w:val="161616"/>
          <w:sz w:val="17"/>
        </w:rPr>
        <w:t xml:space="preserve">have </w:t>
      </w:r>
      <w:r>
        <w:rPr>
          <w:rFonts w:ascii="Arial;sans-serif" w:hAnsi="Arial;sans-serif"/>
          <w:b w:val="false"/>
          <w:color w:val="2A2A2A"/>
          <w:sz w:val="17"/>
        </w:rPr>
        <w:t xml:space="preserve">made, modify, use, </w:t>
      </w:r>
      <w:r>
        <w:rPr>
          <w:rFonts w:ascii="Arial;sans-serif" w:hAnsi="Arial;sans-serif"/>
          <w:b w:val="false"/>
          <w:color w:val="3B3B3B"/>
          <w:sz w:val="17"/>
        </w:rPr>
        <w:t xml:space="preserve">sell, </w:t>
      </w:r>
      <w:r>
        <w:rPr>
          <w:rFonts w:ascii="Arial;sans-serif" w:hAnsi="Arial;sans-serif"/>
          <w:b w:val="false"/>
          <w:color w:val="2A2A2A"/>
          <w:sz w:val="17"/>
        </w:rPr>
        <w:t xml:space="preserve">offer for </w:t>
      </w:r>
      <w:r>
        <w:rPr>
          <w:rFonts w:ascii="Arial;sans-serif" w:hAnsi="Arial;sans-serif"/>
          <w:b w:val="false"/>
          <w:color w:val="3B3B3B"/>
          <w:sz w:val="17"/>
        </w:rPr>
        <w:t xml:space="preserve">sale and </w:t>
      </w:r>
      <w:r>
        <w:rPr>
          <w:rFonts w:ascii="Arial;sans-serif" w:hAnsi="Arial;sans-serif"/>
          <w:b w:val="false"/>
          <w:color w:val="161616"/>
          <w:sz w:val="17"/>
        </w:rPr>
        <w:t xml:space="preserve">import </w:t>
      </w:r>
      <w:r>
        <w:rPr>
          <w:rFonts w:ascii="Arial;sans-serif" w:hAnsi="Arial;sans-serif"/>
          <w:b w:val="false"/>
          <w:color w:val="2A2A2A"/>
          <w:sz w:val="17"/>
        </w:rPr>
        <w:t xml:space="preserve">such Prior </w:t>
      </w:r>
      <w:r>
        <w:rPr>
          <w:rFonts w:ascii="Arial;sans-serif" w:hAnsi="Arial;sans-serif"/>
          <w:b w:val="false"/>
          <w:color w:val="161616"/>
          <w:sz w:val="17"/>
        </w:rPr>
        <w:t xml:space="preserve">Invention. For clarity </w:t>
      </w:r>
      <w:r>
        <w:rPr>
          <w:rFonts w:ascii="Arial;sans-serif" w:hAnsi="Arial;sans-serif"/>
          <w:b w:val="false"/>
          <w:color w:val="3B3B3B"/>
          <w:sz w:val="17"/>
        </w:rPr>
        <w:t xml:space="preserve">and </w:t>
      </w:r>
      <w:r>
        <w:rPr>
          <w:rFonts w:ascii="Arial;sans-serif" w:hAnsi="Arial;sans-serif"/>
          <w:b w:val="false"/>
          <w:color w:val="161616"/>
          <w:sz w:val="17"/>
        </w:rPr>
        <w:t xml:space="preserve">in </w:t>
      </w:r>
      <w:r>
        <w:rPr>
          <w:rFonts w:ascii="Arial;sans-serif" w:hAnsi="Arial;sans-serif"/>
          <w:b w:val="false"/>
          <w:color w:val="2A2A2A"/>
          <w:sz w:val="17"/>
        </w:rPr>
        <w:t xml:space="preserve">accordance with Section </w:t>
      </w:r>
      <w:r>
        <w:rPr>
          <w:rFonts w:ascii="Arial;sans-serif" w:hAnsi="Arial;sans-serif"/>
          <w:b w:val="false"/>
          <w:color w:val="161616"/>
          <w:sz w:val="17"/>
        </w:rPr>
        <w:t xml:space="preserve">11, I </w:t>
      </w:r>
      <w:r>
        <w:rPr>
          <w:rFonts w:ascii="Arial;sans-serif" w:hAnsi="Arial;sans-serif"/>
          <w:b w:val="false"/>
          <w:color w:val="2A2A2A"/>
          <w:sz w:val="17"/>
        </w:rPr>
        <w:t xml:space="preserve">will </w:t>
      </w:r>
      <w:r>
        <w:rPr>
          <w:rFonts w:ascii="Arial;sans-serif" w:hAnsi="Arial;sans-serif"/>
          <w:b w:val="false"/>
          <w:color w:val="161616"/>
          <w:sz w:val="17"/>
        </w:rPr>
        <w:t xml:space="preserve">not incorporate </w:t>
      </w:r>
      <w:r>
        <w:rPr>
          <w:rFonts w:ascii="Arial;sans-serif" w:hAnsi="Arial;sans-serif"/>
          <w:b w:val="false"/>
          <w:color w:val="3B3B3B"/>
          <w:sz w:val="17"/>
        </w:rPr>
        <w:t xml:space="preserve">or </w:t>
      </w:r>
      <w:r>
        <w:rPr>
          <w:rFonts w:ascii="Arial;sans-serif" w:hAnsi="Arial;sans-serif"/>
          <w:b w:val="false"/>
          <w:color w:val="2A2A2A"/>
          <w:sz w:val="17"/>
        </w:rPr>
        <w:t xml:space="preserve">permit </w:t>
      </w:r>
      <w:r>
        <w:rPr>
          <w:rFonts w:ascii="Arial;sans-serif" w:hAnsi="Arial;sans-serif"/>
          <w:b w:val="false"/>
          <w:color w:val="161616"/>
          <w:sz w:val="17"/>
        </w:rPr>
        <w:t xml:space="preserve">incorporation </w:t>
      </w:r>
      <w:r>
        <w:rPr>
          <w:rFonts w:ascii="Arial;sans-serif" w:hAnsi="Arial;sans-serif"/>
          <w:b w:val="false"/>
          <w:color w:val="2A2A2A"/>
          <w:sz w:val="17"/>
        </w:rPr>
        <w:t xml:space="preserve">of any </w:t>
      </w:r>
      <w:r>
        <w:rPr>
          <w:rFonts w:ascii="Arial;sans-serif" w:hAnsi="Arial;sans-serif"/>
          <w:b w:val="false"/>
          <w:color w:val="161616"/>
          <w:sz w:val="17"/>
        </w:rPr>
        <w:t xml:space="preserve">intellectual </w:t>
      </w:r>
      <w:r>
        <w:rPr>
          <w:rFonts w:ascii="Arial;sans-serif" w:hAnsi="Arial;sans-serif"/>
          <w:b w:val="false"/>
          <w:color w:val="2A2A2A"/>
          <w:sz w:val="17"/>
        </w:rPr>
        <w:t xml:space="preserve">property </w:t>
      </w:r>
      <w:r>
        <w:rPr>
          <w:rFonts w:ascii="Arial;sans-serif" w:hAnsi="Arial;sans-serif"/>
          <w:b w:val="false"/>
          <w:color w:val="161616"/>
          <w:sz w:val="17"/>
        </w:rPr>
        <w:t xml:space="preserve">that I, </w:t>
      </w:r>
      <w:r>
        <w:rPr>
          <w:rFonts w:ascii="Arial;sans-serif" w:hAnsi="Arial;sans-serif"/>
          <w:b w:val="false"/>
          <w:color w:val="2A2A2A"/>
          <w:sz w:val="17"/>
        </w:rPr>
        <w:t xml:space="preserve">alone or </w:t>
      </w:r>
      <w:r>
        <w:rPr>
          <w:rFonts w:ascii="Arial;sans-serif" w:hAnsi="Arial;sans-serif"/>
          <w:b w:val="false"/>
          <w:color w:val="161616"/>
          <w:sz w:val="17"/>
        </w:rPr>
        <w:t xml:space="preserve">jointly </w:t>
      </w:r>
      <w:r>
        <w:rPr>
          <w:rFonts w:ascii="Arial;sans-serif" w:hAnsi="Arial;sans-serif"/>
          <w:b w:val="false"/>
          <w:color w:val="2A2A2A"/>
          <w:sz w:val="17"/>
        </w:rPr>
        <w:t xml:space="preserve">with others, authored, made, </w:t>
      </w:r>
      <w:r>
        <w:rPr>
          <w:rFonts w:ascii="Arial;sans-serif" w:hAnsi="Arial;sans-serif"/>
          <w:b w:val="false"/>
          <w:color w:val="161616"/>
          <w:sz w:val="17"/>
        </w:rPr>
        <w:t xml:space="preserve">developed, </w:t>
      </w:r>
      <w:r>
        <w:rPr>
          <w:rFonts w:ascii="Arial;sans-serif" w:hAnsi="Arial;sans-serif"/>
          <w:b w:val="false"/>
          <w:color w:val="3B3B3B"/>
          <w:sz w:val="17"/>
        </w:rPr>
        <w:t xml:space="preserve">conceived and/or </w:t>
      </w:r>
      <w:r>
        <w:rPr>
          <w:rFonts w:ascii="Arial;sans-serif" w:hAnsi="Arial;sans-serif"/>
          <w:b w:val="false"/>
          <w:color w:val="2A2A2A"/>
          <w:sz w:val="17"/>
        </w:rPr>
        <w:t xml:space="preserve">reduced </w:t>
      </w:r>
      <w:r>
        <w:rPr>
          <w:rFonts w:ascii="Arial;sans-serif" w:hAnsi="Arial;sans-serif"/>
          <w:b w:val="false"/>
          <w:color w:val="161616"/>
          <w:sz w:val="17"/>
        </w:rPr>
        <w:t xml:space="preserve">to </w:t>
      </w:r>
      <w:r>
        <w:rPr>
          <w:rFonts w:ascii="Arial;sans-serif" w:hAnsi="Arial;sans-serif"/>
          <w:b w:val="false"/>
          <w:color w:val="2A2A2A"/>
          <w:sz w:val="17"/>
        </w:rPr>
        <w:t xml:space="preserve">practice during </w:t>
      </w:r>
      <w:r>
        <w:rPr>
          <w:rFonts w:ascii="Arial;sans-serif" w:hAnsi="Arial;sans-serif"/>
          <w:b w:val="false"/>
          <w:color w:val="161616"/>
          <w:sz w:val="17"/>
        </w:rPr>
        <w:t xml:space="preserve">my </w:t>
      </w:r>
      <w:r>
        <w:rPr>
          <w:rFonts w:ascii="Arial;sans-serif" w:hAnsi="Arial;sans-serif"/>
          <w:b w:val="false"/>
          <w:color w:val="3B3B3B"/>
          <w:sz w:val="17"/>
        </w:rPr>
        <w:t xml:space="preserve">employment </w:t>
      </w:r>
      <w:r>
        <w:rPr>
          <w:rFonts w:ascii="Arial;sans-serif" w:hAnsi="Arial;sans-serif"/>
          <w:b w:val="false"/>
          <w:color w:val="2A2A2A"/>
          <w:sz w:val="17"/>
        </w:rPr>
        <w:t xml:space="preserve">with Biogen </w:t>
      </w:r>
      <w:r>
        <w:rPr>
          <w:rFonts w:ascii="Arial;sans-serif" w:hAnsi="Arial;sans-serif"/>
          <w:b w:val="false"/>
          <w:color w:val="161616"/>
          <w:sz w:val="17"/>
        </w:rPr>
        <w:t xml:space="preserve">into </w:t>
      </w:r>
      <w:r>
        <w:rPr>
          <w:rFonts w:ascii="Arial;sans-serif" w:hAnsi="Arial;sans-serif"/>
          <w:b w:val="false"/>
          <w:color w:val="2A2A2A"/>
          <w:sz w:val="17"/>
        </w:rPr>
        <w:t xml:space="preserve">any </w:t>
      </w:r>
      <w:r>
        <w:rPr>
          <w:rFonts w:ascii="Arial;sans-serif" w:hAnsi="Arial;sans-serif"/>
          <w:b w:val="false"/>
          <w:color w:val="3B3B3B"/>
          <w:sz w:val="17"/>
        </w:rPr>
        <w:t xml:space="preserve">Prior </w:t>
      </w:r>
      <w:r>
        <w:rPr>
          <w:rFonts w:ascii="Arial;sans-serif" w:hAnsi="Arial;sans-serif"/>
          <w:b w:val="false"/>
          <w:color w:val="161616"/>
          <w:sz w:val="17"/>
        </w:rPr>
        <w:t xml:space="preserve">Inventions </w:t>
      </w:r>
      <w:r>
        <w:rPr>
          <w:rFonts w:ascii="Arial;sans-serif" w:hAnsi="Arial;sans-serif"/>
          <w:b w:val="false"/>
          <w:color w:val="2A2A2A"/>
          <w:sz w:val="17"/>
        </w:rPr>
        <w:t xml:space="preserve">or </w:t>
      </w:r>
      <w:r>
        <w:rPr>
          <w:rFonts w:ascii="Arial;sans-serif" w:hAnsi="Arial;sans-serif"/>
          <w:b w:val="false"/>
          <w:color w:val="161616"/>
          <w:sz w:val="17"/>
        </w:rPr>
        <w:t xml:space="preserve">into </w:t>
      </w:r>
      <w:r>
        <w:rPr>
          <w:rFonts w:ascii="Arial;sans-serif" w:hAnsi="Arial;sans-serif"/>
          <w:b w:val="false"/>
          <w:color w:val="3B3B3B"/>
          <w:sz w:val="17"/>
        </w:rPr>
        <w:t xml:space="preserve">any </w:t>
      </w:r>
      <w:r>
        <w:rPr>
          <w:rFonts w:ascii="Arial;sans-serif" w:hAnsi="Arial;sans-serif"/>
          <w:b w:val="false"/>
          <w:color w:val="161616"/>
          <w:sz w:val="17"/>
        </w:rPr>
        <w:t xml:space="preserve">intellectual </w:t>
      </w:r>
      <w:r>
        <w:rPr>
          <w:rFonts w:ascii="Arial;sans-serif" w:hAnsi="Arial;sans-serif"/>
          <w:b w:val="false"/>
          <w:color w:val="2A2A2A"/>
          <w:sz w:val="17"/>
        </w:rPr>
        <w:t xml:space="preserve">property otherwise </w:t>
      </w:r>
      <w:r>
        <w:rPr>
          <w:rFonts w:ascii="Arial;sans-serif" w:hAnsi="Arial;sans-serif"/>
          <w:b w:val="false"/>
          <w:color w:val="161616"/>
          <w:sz w:val="17"/>
        </w:rPr>
        <w:t xml:space="preserve">in </w:t>
      </w:r>
      <w:r>
        <w:rPr>
          <w:rFonts w:ascii="Arial;sans-serif" w:hAnsi="Arial;sans-serif"/>
          <w:b w:val="false"/>
          <w:color w:val="3B3B3B"/>
          <w:sz w:val="17"/>
        </w:rPr>
        <w:t xml:space="preserve">existence </w:t>
      </w:r>
      <w:r>
        <w:rPr>
          <w:rFonts w:ascii="Arial;sans-serif" w:hAnsi="Arial;sans-serif"/>
          <w:b w:val="false"/>
          <w:color w:val="2A2A2A"/>
          <w:sz w:val="17"/>
        </w:rPr>
        <w:t xml:space="preserve">prior </w:t>
      </w:r>
      <w:r>
        <w:rPr>
          <w:rFonts w:ascii="Arial;sans-serif" w:hAnsi="Arial;sans-serif"/>
          <w:b w:val="false"/>
          <w:color w:val="161616"/>
          <w:sz w:val="17"/>
        </w:rPr>
        <w:t xml:space="preserve">to my </w:t>
      </w:r>
      <w:r>
        <w:rPr>
          <w:rFonts w:ascii="Arial;sans-serif" w:hAnsi="Arial;sans-serif"/>
          <w:b w:val="false"/>
          <w:color w:val="3B3B3B"/>
          <w:sz w:val="17"/>
        </w:rPr>
        <w:t xml:space="preserve">employment </w:t>
      </w:r>
      <w:r>
        <w:rPr>
          <w:rFonts w:ascii="Arial;sans-serif" w:hAnsi="Arial;sans-serif"/>
          <w:b w:val="false"/>
          <w:color w:val="2A2A2A"/>
          <w:sz w:val="17"/>
        </w:rPr>
        <w:t xml:space="preserve">with Biogen or </w:t>
      </w:r>
      <w:r>
        <w:rPr>
          <w:rFonts w:ascii="Arial;sans-serif" w:hAnsi="Arial;sans-serif"/>
          <w:b w:val="false"/>
          <w:color w:val="161616"/>
          <w:sz w:val="17"/>
        </w:rPr>
        <w:t xml:space="preserve">that </w:t>
      </w:r>
      <w:r>
        <w:rPr>
          <w:rFonts w:ascii="Arial;sans-serif" w:hAnsi="Arial;sans-serif"/>
          <w:b w:val="false"/>
          <w:color w:val="3B3B3B"/>
          <w:sz w:val="17"/>
        </w:rPr>
        <w:t xml:space="preserve">comes </w:t>
      </w:r>
      <w:r>
        <w:rPr>
          <w:rFonts w:ascii="Arial;sans-serif" w:hAnsi="Arial;sans-serif"/>
          <w:b w:val="false"/>
          <w:color w:val="161616"/>
          <w:sz w:val="17"/>
        </w:rPr>
        <w:t xml:space="preserve">into </w:t>
      </w:r>
      <w:r>
        <w:rPr>
          <w:rFonts w:ascii="Arial;sans-serif" w:hAnsi="Arial;sans-serif"/>
          <w:b w:val="false"/>
          <w:color w:val="3B3B3B"/>
          <w:sz w:val="17"/>
        </w:rPr>
        <w:t xml:space="preserve">existence subsequent </w:t>
      </w:r>
      <w:r>
        <w:rPr>
          <w:rFonts w:ascii="Arial;sans-serif" w:hAnsi="Arial;sans-serif"/>
          <w:b w:val="false"/>
          <w:color w:val="161616"/>
          <w:sz w:val="17"/>
        </w:rPr>
        <w:t xml:space="preserve">to my </w:t>
      </w:r>
      <w:r>
        <w:rPr>
          <w:rFonts w:ascii="Arial;sans-serif" w:hAnsi="Arial;sans-serif"/>
          <w:b w:val="false"/>
          <w:color w:val="2A2A2A"/>
          <w:sz w:val="17"/>
        </w:rPr>
        <w:t xml:space="preserve">employment with </w:t>
      </w:r>
      <w:r>
        <w:rPr>
          <w:rFonts w:ascii="Arial;sans-serif" w:hAnsi="Arial;sans-serif"/>
          <w:b w:val="false"/>
          <w:color w:val="161616"/>
          <w:sz w:val="17"/>
        </w:rPr>
        <w:t>Biogen</w:t>
      </w:r>
    </w:p>
    <w:p>
      <w:pPr>
        <w:pStyle w:val="TextBody"/>
        <w:spacing w:before="8" w:after="283"/>
        <w:rPr/>
      </w:pPr>
      <w:r>
        <w:rPr/>
      </w:r>
    </w:p>
    <w:p>
      <w:pPr>
        <w:pStyle w:val="TextBody"/>
        <w:spacing w:lineRule="auto" w:line="240" w:before="95" w:after="283"/>
        <w:rPr/>
      </w:pPr>
      <w:r>
        <w:rPr>
          <w:rFonts w:ascii="Arial;sans-serif" w:hAnsi="Arial;sans-serif"/>
          <w:b w:val="false"/>
          <w:color w:val="2A2A2A"/>
          <w:sz w:val="17"/>
          <w:u w:val="single"/>
        </w:rPr>
        <w:t xml:space="preserve">Obligations to </w:t>
      </w:r>
      <w:r>
        <w:rPr>
          <w:rFonts w:ascii="Arial;sans-serif" w:hAnsi="Arial;sans-serif"/>
          <w:b w:val="false"/>
          <w:color w:val="161616"/>
          <w:sz w:val="17"/>
          <w:u w:val="single"/>
        </w:rPr>
        <w:t>Previous Employers</w:t>
      </w:r>
    </w:p>
    <w:p>
      <w:pPr>
        <w:pStyle w:val="TextBody"/>
        <w:spacing w:before="4" w:after="283"/>
        <w:rPr/>
      </w:pPr>
      <w:r>
        <w:rPr/>
      </w:r>
    </w:p>
    <w:p>
      <w:pPr>
        <w:pStyle w:val="TextBody"/>
        <w:spacing w:lineRule="auto" w:line="295" w:before="0" w:after="0"/>
        <w:ind w:left="0" w:right="0" w:hanging="361"/>
        <w:rPr/>
      </w:pPr>
      <w:r>
        <w:rPr>
          <w:rFonts w:ascii="Arial;sans-serif" w:hAnsi="Arial;sans-serif"/>
          <w:b w:val="false"/>
          <w:color w:val="2A2A2A"/>
          <w:sz w:val="17"/>
        </w:rPr>
        <w:t>14.</w:t>
      </w:r>
      <w:r>
        <w:rPr>
          <w:rFonts w:ascii="Arial;sans-serif" w:hAnsi="Arial;sans-serif"/>
          <w:b w:val="false"/>
          <w:color w:val="161616"/>
          <w:sz w:val="17"/>
        </w:rPr>
        <w:t xml:space="preserve">I have not brought </w:t>
      </w:r>
      <w:r>
        <w:rPr>
          <w:rFonts w:ascii="Arial;sans-serif" w:hAnsi="Arial;sans-serif"/>
          <w:b w:val="false"/>
          <w:color w:val="3B3B3B"/>
          <w:sz w:val="17"/>
        </w:rPr>
        <w:t xml:space="preserve">and </w:t>
      </w:r>
      <w:r>
        <w:rPr>
          <w:rFonts w:ascii="Arial;sans-serif" w:hAnsi="Arial;sans-serif"/>
          <w:b w:val="false"/>
          <w:color w:val="2A2A2A"/>
          <w:sz w:val="17"/>
        </w:rPr>
        <w:t xml:space="preserve">will </w:t>
      </w:r>
      <w:r>
        <w:rPr>
          <w:rFonts w:ascii="Arial;sans-serif" w:hAnsi="Arial;sans-serif"/>
          <w:b w:val="false"/>
          <w:color w:val="161616"/>
          <w:sz w:val="17"/>
        </w:rPr>
        <w:t xml:space="preserve">not </w:t>
      </w:r>
      <w:r>
        <w:rPr>
          <w:rFonts w:ascii="Arial;sans-serif" w:hAnsi="Arial;sans-serif"/>
          <w:b w:val="false"/>
          <w:color w:val="2A2A2A"/>
          <w:sz w:val="17"/>
        </w:rPr>
        <w:t xml:space="preserve">bring to </w:t>
      </w:r>
      <w:r>
        <w:rPr>
          <w:rFonts w:ascii="Arial;sans-serif" w:hAnsi="Arial;sans-serif"/>
          <w:b w:val="false"/>
          <w:color w:val="161616"/>
          <w:sz w:val="17"/>
        </w:rPr>
        <w:t xml:space="preserve">the </w:t>
      </w:r>
      <w:r>
        <w:rPr>
          <w:rFonts w:ascii="Arial;sans-serif" w:hAnsi="Arial;sans-serif"/>
          <w:b w:val="false"/>
          <w:color w:val="3B3B3B"/>
          <w:sz w:val="17"/>
        </w:rPr>
        <w:t xml:space="preserve">Company or </w:t>
      </w:r>
      <w:r>
        <w:rPr>
          <w:rFonts w:ascii="Arial;sans-serif" w:hAnsi="Arial;sans-serif"/>
          <w:b w:val="false"/>
          <w:color w:val="2A2A2A"/>
          <w:sz w:val="17"/>
        </w:rPr>
        <w:t xml:space="preserve">use </w:t>
      </w:r>
      <w:r>
        <w:rPr>
          <w:rFonts w:ascii="Arial;sans-serif" w:hAnsi="Arial;sans-serif"/>
          <w:b w:val="false"/>
          <w:color w:val="161616"/>
          <w:sz w:val="17"/>
        </w:rPr>
        <w:t xml:space="preserve">in the </w:t>
      </w:r>
      <w:r>
        <w:rPr>
          <w:rFonts w:ascii="Arial;sans-serif" w:hAnsi="Arial;sans-serif"/>
          <w:b w:val="false"/>
          <w:color w:val="2A2A2A"/>
          <w:sz w:val="17"/>
        </w:rPr>
        <w:t xml:space="preserve">performance </w:t>
      </w:r>
      <w:r>
        <w:rPr>
          <w:rFonts w:ascii="Arial;sans-serif" w:hAnsi="Arial;sans-serif"/>
          <w:b w:val="false"/>
          <w:color w:val="3B3B3B"/>
          <w:sz w:val="17"/>
        </w:rPr>
        <w:t xml:space="preserve">of </w:t>
      </w:r>
      <w:r>
        <w:rPr>
          <w:rFonts w:ascii="Arial;sans-serif" w:hAnsi="Arial;sans-serif"/>
          <w:b w:val="false"/>
          <w:color w:val="2A2A2A"/>
          <w:sz w:val="17"/>
        </w:rPr>
        <w:t xml:space="preserve">my responsibilities </w:t>
      </w:r>
      <w:r>
        <w:rPr>
          <w:rFonts w:ascii="Arial;sans-serif" w:hAnsi="Arial;sans-serif"/>
          <w:b w:val="false"/>
          <w:color w:val="3B3B3B"/>
          <w:sz w:val="17"/>
        </w:rPr>
        <w:t xml:space="preserve">at </w:t>
      </w:r>
      <w:r>
        <w:rPr>
          <w:rFonts w:ascii="Arial;sans-serif" w:hAnsi="Arial;sans-serif"/>
          <w:b w:val="false"/>
          <w:color w:val="161616"/>
          <w:sz w:val="17"/>
        </w:rPr>
        <w:t xml:space="preserve">the </w:t>
      </w:r>
      <w:r>
        <w:rPr>
          <w:rFonts w:ascii="Arial;sans-serif" w:hAnsi="Arial;sans-serif"/>
          <w:b w:val="false"/>
          <w:color w:val="3B3B3B"/>
          <w:sz w:val="17"/>
        </w:rPr>
        <w:t xml:space="preserve">Company any confidential </w:t>
      </w:r>
      <w:r>
        <w:rPr>
          <w:rFonts w:ascii="Arial;sans-serif" w:hAnsi="Arial;sans-serif"/>
          <w:b w:val="false"/>
          <w:color w:val="2A2A2A"/>
          <w:sz w:val="17"/>
        </w:rPr>
        <w:t xml:space="preserve">or proprietary </w:t>
      </w:r>
      <w:r>
        <w:rPr>
          <w:rFonts w:ascii="Arial;sans-serif" w:hAnsi="Arial;sans-serif"/>
          <w:b w:val="false"/>
          <w:color w:val="161616"/>
          <w:sz w:val="17"/>
        </w:rPr>
        <w:t xml:space="preserve">materials </w:t>
      </w:r>
      <w:r>
        <w:rPr>
          <w:rFonts w:ascii="Arial;sans-serif" w:hAnsi="Arial;sans-serif"/>
          <w:b w:val="false"/>
          <w:color w:val="3B3B3B"/>
          <w:sz w:val="17"/>
        </w:rPr>
        <w:t xml:space="preserve">or </w:t>
      </w:r>
      <w:r>
        <w:rPr>
          <w:rFonts w:ascii="Arial;sans-serif" w:hAnsi="Arial;sans-serif"/>
          <w:b w:val="false"/>
          <w:color w:val="2A2A2A"/>
          <w:sz w:val="17"/>
        </w:rPr>
        <w:t xml:space="preserve">documents of </w:t>
      </w:r>
      <w:r>
        <w:rPr>
          <w:rFonts w:ascii="Arial;sans-serif" w:hAnsi="Arial;sans-serif"/>
          <w:b w:val="false"/>
          <w:color w:val="3B3B3B"/>
          <w:sz w:val="17"/>
        </w:rPr>
        <w:t xml:space="preserve">a </w:t>
      </w:r>
      <w:r>
        <w:rPr>
          <w:rFonts w:ascii="Arial;sans-serif" w:hAnsi="Arial;sans-serif"/>
          <w:b w:val="false"/>
          <w:color w:val="2A2A2A"/>
          <w:sz w:val="17"/>
        </w:rPr>
        <w:t xml:space="preserve">former </w:t>
      </w:r>
      <w:r>
        <w:rPr>
          <w:rFonts w:ascii="Arial;sans-serif" w:hAnsi="Arial;sans-serif"/>
          <w:b w:val="false"/>
          <w:color w:val="3B3B3B"/>
          <w:sz w:val="17"/>
        </w:rPr>
        <w:t xml:space="preserve">employer. </w:t>
      </w:r>
      <w:r>
        <w:rPr>
          <w:rFonts w:ascii="Arial;sans-serif" w:hAnsi="Arial;sans-serif"/>
          <w:b w:val="false"/>
          <w:color w:val="161616"/>
          <w:sz w:val="17"/>
        </w:rPr>
        <w:t xml:space="preserve">I </w:t>
      </w:r>
      <w:r>
        <w:rPr>
          <w:rFonts w:ascii="Arial;sans-serif" w:hAnsi="Arial;sans-serif"/>
          <w:b w:val="false"/>
          <w:color w:val="2A2A2A"/>
          <w:sz w:val="17"/>
        </w:rPr>
        <w:t xml:space="preserve">will not do </w:t>
      </w:r>
      <w:r>
        <w:rPr>
          <w:rFonts w:ascii="Arial;sans-serif" w:hAnsi="Arial;sans-serif"/>
          <w:b w:val="false"/>
          <w:color w:val="3B3B3B"/>
          <w:sz w:val="17"/>
        </w:rPr>
        <w:t xml:space="preserve">so </w:t>
      </w:r>
      <w:r>
        <w:rPr>
          <w:rFonts w:ascii="Arial;sans-serif" w:hAnsi="Arial;sans-serif"/>
          <w:b w:val="false"/>
          <w:color w:val="2A2A2A"/>
          <w:sz w:val="17"/>
        </w:rPr>
        <w:t xml:space="preserve">in </w:t>
      </w:r>
      <w:r>
        <w:rPr>
          <w:rFonts w:ascii="Arial;sans-serif" w:hAnsi="Arial;sans-serif"/>
          <w:b w:val="false"/>
          <w:color w:val="161616"/>
          <w:sz w:val="17"/>
        </w:rPr>
        <w:t xml:space="preserve">the future unless </w:t>
      </w:r>
      <w:r>
        <w:rPr>
          <w:rFonts w:ascii="Arial;sans-serif" w:hAnsi="Arial;sans-serif"/>
          <w:b w:val="false"/>
          <w:color w:val="2A2A2A"/>
          <w:sz w:val="17"/>
        </w:rPr>
        <w:t xml:space="preserve">I </w:t>
      </w:r>
      <w:r>
        <w:rPr>
          <w:rFonts w:ascii="Arial;sans-serif" w:hAnsi="Arial;sans-serif"/>
          <w:b w:val="false"/>
          <w:color w:val="161616"/>
          <w:sz w:val="17"/>
        </w:rPr>
        <w:t xml:space="preserve">have first: </w:t>
      </w:r>
      <w:r>
        <w:rPr>
          <w:rFonts w:ascii="Arial;sans-serif" w:hAnsi="Arial;sans-serif"/>
          <w:b w:val="false"/>
          <w:color w:val="2A2A2A"/>
          <w:sz w:val="17"/>
        </w:rPr>
        <w:t xml:space="preserve">(i) </w:t>
      </w:r>
      <w:r>
        <w:rPr>
          <w:rFonts w:ascii="Arial;sans-serif" w:hAnsi="Arial;sans-serif"/>
          <w:b w:val="false"/>
          <w:color w:val="3B3B3B"/>
          <w:sz w:val="17"/>
        </w:rPr>
        <w:t xml:space="preserve">obtained and </w:t>
      </w:r>
      <w:r>
        <w:rPr>
          <w:rFonts w:ascii="Arial;sans-serif" w:hAnsi="Arial;sans-serif"/>
          <w:b w:val="false"/>
          <w:color w:val="2A2A2A"/>
          <w:sz w:val="17"/>
        </w:rPr>
        <w:t xml:space="preserve">provided </w:t>
      </w:r>
      <w:r>
        <w:rPr>
          <w:rFonts w:ascii="Arial;sans-serif" w:hAnsi="Arial;sans-serif"/>
          <w:b w:val="false"/>
          <w:color w:val="161616"/>
          <w:sz w:val="17"/>
        </w:rPr>
        <w:t xml:space="preserve">to the </w:t>
      </w:r>
      <w:r>
        <w:rPr>
          <w:rFonts w:ascii="Arial;sans-serif" w:hAnsi="Arial;sans-serif"/>
          <w:b w:val="false"/>
          <w:color w:val="3B3B3B"/>
          <w:sz w:val="17"/>
        </w:rPr>
        <w:t xml:space="preserve">Company </w:t>
      </w:r>
      <w:r>
        <w:rPr>
          <w:rFonts w:ascii="Arial;sans-serif" w:hAnsi="Arial;sans-serif"/>
          <w:b w:val="false"/>
          <w:color w:val="2A2A2A"/>
          <w:sz w:val="17"/>
        </w:rPr>
        <w:t xml:space="preserve">written authorization </w:t>
      </w:r>
      <w:r>
        <w:rPr>
          <w:rFonts w:ascii="Arial;sans-serif" w:hAnsi="Arial;sans-serif"/>
          <w:b w:val="false"/>
          <w:color w:val="161616"/>
          <w:sz w:val="17"/>
        </w:rPr>
        <w:t xml:space="preserve">from </w:t>
      </w:r>
      <w:r>
        <w:rPr>
          <w:rFonts w:ascii="Arial;sans-serif" w:hAnsi="Arial;sans-serif"/>
          <w:b w:val="false"/>
          <w:color w:val="2A2A2A"/>
          <w:sz w:val="17"/>
        </w:rPr>
        <w:t xml:space="preserve">the former </w:t>
      </w:r>
      <w:r>
        <w:rPr>
          <w:rFonts w:ascii="Arial;sans-serif" w:hAnsi="Arial;sans-serif"/>
          <w:b w:val="false"/>
          <w:color w:val="3B3B3B"/>
          <w:sz w:val="17"/>
        </w:rPr>
        <w:t xml:space="preserve">employer </w:t>
      </w:r>
      <w:r>
        <w:rPr>
          <w:rFonts w:ascii="Arial;sans-serif" w:hAnsi="Arial;sans-serif"/>
          <w:b w:val="false"/>
          <w:color w:val="2A2A2A"/>
          <w:sz w:val="17"/>
        </w:rPr>
        <w:t xml:space="preserve">for </w:t>
      </w:r>
      <w:r>
        <w:rPr>
          <w:rFonts w:ascii="Arial;sans-serif" w:hAnsi="Arial;sans-serif"/>
          <w:b w:val="false"/>
          <w:color w:val="161616"/>
          <w:sz w:val="17"/>
        </w:rPr>
        <w:t xml:space="preserve">their </w:t>
      </w:r>
      <w:r>
        <w:rPr>
          <w:rFonts w:ascii="Arial;sans-serif" w:hAnsi="Arial;sans-serif"/>
          <w:b w:val="false"/>
          <w:color w:val="2A2A2A"/>
          <w:sz w:val="17"/>
        </w:rPr>
        <w:t xml:space="preserve">possession and </w:t>
      </w:r>
      <w:r>
        <w:rPr>
          <w:rFonts w:ascii="Arial;sans-serif" w:hAnsi="Arial;sans-serif"/>
          <w:b w:val="false"/>
          <w:color w:val="161616"/>
          <w:sz w:val="17"/>
        </w:rPr>
        <w:t xml:space="preserve">use, </w:t>
      </w:r>
      <w:r>
        <w:rPr>
          <w:rFonts w:ascii="Arial;sans-serif" w:hAnsi="Arial;sans-serif"/>
          <w:b w:val="false"/>
          <w:color w:val="2A2A2A"/>
          <w:sz w:val="17"/>
        </w:rPr>
        <w:t xml:space="preserve">and (ii) </w:t>
      </w:r>
      <w:r>
        <w:rPr>
          <w:rFonts w:ascii="Arial;sans-serif" w:hAnsi="Arial;sans-serif"/>
          <w:b w:val="false"/>
          <w:color w:val="3B3B3B"/>
          <w:sz w:val="17"/>
        </w:rPr>
        <w:t xml:space="preserve">obtained </w:t>
      </w:r>
      <w:r>
        <w:rPr>
          <w:rFonts w:ascii="Arial;sans-serif" w:hAnsi="Arial;sans-serif"/>
          <w:b w:val="false"/>
          <w:color w:val="2A2A2A"/>
          <w:sz w:val="17"/>
        </w:rPr>
        <w:t xml:space="preserve">written authorization by </w:t>
      </w:r>
      <w:r>
        <w:rPr>
          <w:rFonts w:ascii="Arial;sans-serif" w:hAnsi="Arial;sans-serif"/>
          <w:b w:val="false"/>
          <w:color w:val="3B3B3B"/>
          <w:sz w:val="17"/>
        </w:rPr>
        <w:t xml:space="preserve">an officer of </w:t>
      </w:r>
      <w:r>
        <w:rPr>
          <w:rFonts w:ascii="Arial;sans-serif" w:hAnsi="Arial;sans-serif"/>
          <w:b w:val="false"/>
          <w:color w:val="2A2A2A"/>
          <w:sz w:val="17"/>
        </w:rPr>
        <w:t xml:space="preserve">the </w:t>
      </w:r>
      <w:r>
        <w:rPr>
          <w:rFonts w:ascii="Arial;sans-serif" w:hAnsi="Arial;sans-serif"/>
          <w:b w:val="false"/>
          <w:color w:val="3B3B3B"/>
          <w:sz w:val="17"/>
        </w:rPr>
        <w:t xml:space="preserve">Company </w:t>
      </w:r>
      <w:r>
        <w:rPr>
          <w:rFonts w:ascii="Arial;sans-serif" w:hAnsi="Arial;sans-serif"/>
          <w:b w:val="false"/>
          <w:color w:val="2A2A2A"/>
          <w:sz w:val="17"/>
        </w:rPr>
        <w:t xml:space="preserve">for </w:t>
      </w:r>
      <w:r>
        <w:rPr>
          <w:rFonts w:ascii="Arial;sans-serif" w:hAnsi="Arial;sans-serif"/>
          <w:b w:val="false"/>
          <w:color w:val="161616"/>
          <w:sz w:val="17"/>
        </w:rPr>
        <w:t xml:space="preserve">their use in the </w:t>
      </w:r>
      <w:r>
        <w:rPr>
          <w:rFonts w:ascii="Arial;sans-serif" w:hAnsi="Arial;sans-serif"/>
          <w:b w:val="false"/>
          <w:color w:val="2A2A2A"/>
          <w:sz w:val="17"/>
        </w:rPr>
        <w:t xml:space="preserve">performance </w:t>
      </w:r>
      <w:r>
        <w:rPr>
          <w:rFonts w:ascii="Arial;sans-serif" w:hAnsi="Arial;sans-serif"/>
          <w:b w:val="false"/>
          <w:color w:val="3B3B3B"/>
          <w:sz w:val="17"/>
        </w:rPr>
        <w:t xml:space="preserve">of </w:t>
      </w:r>
      <w:r>
        <w:rPr>
          <w:rFonts w:ascii="Arial;sans-serif" w:hAnsi="Arial;sans-serif"/>
          <w:b w:val="false"/>
          <w:color w:val="161616"/>
          <w:sz w:val="17"/>
        </w:rPr>
        <w:t xml:space="preserve">my responsibilities </w:t>
      </w:r>
      <w:r>
        <w:rPr>
          <w:rFonts w:ascii="Arial;sans-serif" w:hAnsi="Arial;sans-serif"/>
          <w:b w:val="false"/>
          <w:color w:val="3B3B3B"/>
          <w:sz w:val="17"/>
        </w:rPr>
        <w:t xml:space="preserve">at </w:t>
      </w:r>
      <w:r>
        <w:rPr>
          <w:rFonts w:ascii="Arial;sans-serif" w:hAnsi="Arial;sans-serif"/>
          <w:b w:val="false"/>
          <w:color w:val="161616"/>
          <w:sz w:val="17"/>
        </w:rPr>
        <w:t xml:space="preserve">the </w:t>
      </w:r>
      <w:r>
        <w:rPr>
          <w:rFonts w:ascii="Arial;sans-serif" w:hAnsi="Arial;sans-serif"/>
          <w:b w:val="false"/>
          <w:color w:val="3B3B3B"/>
          <w:sz w:val="17"/>
        </w:rPr>
        <w:t>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4" w:after="283"/>
        <w:rPr/>
      </w:pPr>
      <w:r>
        <w:rPr/>
      </w:r>
    </w:p>
    <w:p>
      <w:pPr>
        <w:pStyle w:val="TextBody"/>
        <w:spacing w:lineRule="auto" w:line="295" w:before="95" w:after="283"/>
        <w:ind w:left="0" w:right="0" w:hanging="354"/>
        <w:rPr/>
      </w:pPr>
      <w:r>
        <w:rPr>
          <w:rFonts w:ascii="Arial;sans-serif" w:hAnsi="Arial;sans-serif"/>
          <w:b w:val="false"/>
          <w:color w:val="1C1C1C"/>
          <w:sz w:val="17"/>
        </w:rPr>
        <w:t>15.</w:t>
      </w:r>
      <w:r>
        <w:rPr>
          <w:rFonts w:ascii="Arial;sans-serif" w:hAnsi="Arial;sans-serif"/>
          <w:b w:val="false"/>
          <w:color w:val="0A0A0A"/>
          <w:sz w:val="17"/>
        </w:rPr>
        <w:t xml:space="preserve">I </w:t>
      </w:r>
      <w:r>
        <w:rPr>
          <w:rFonts w:ascii="Arial;sans-serif" w:hAnsi="Arial;sans-serif"/>
          <w:b w:val="false"/>
          <w:color w:val="1C1C1C"/>
          <w:sz w:val="17"/>
        </w:rPr>
        <w:t xml:space="preserve">represent that my </w:t>
      </w:r>
      <w:r>
        <w:rPr>
          <w:rFonts w:ascii="Arial;sans-serif" w:hAnsi="Arial;sans-serif"/>
          <w:b w:val="false"/>
          <w:color w:val="313131"/>
          <w:sz w:val="17"/>
        </w:rPr>
        <w:t xml:space="preserve">execution of </w:t>
      </w:r>
      <w:r>
        <w:rPr>
          <w:rFonts w:ascii="Arial;sans-serif" w:hAnsi="Arial;sans-serif"/>
          <w:b w:val="false"/>
          <w:color w:val="1C1C1C"/>
          <w:sz w:val="17"/>
        </w:rPr>
        <w:t xml:space="preserve">this Agreement, my employment </w:t>
      </w:r>
      <w:r>
        <w:rPr>
          <w:rFonts w:ascii="Arial;sans-serif" w:hAnsi="Arial;sans-serif"/>
          <w:b w:val="false"/>
          <w:color w:val="313131"/>
          <w:sz w:val="17"/>
        </w:rPr>
        <w:t xml:space="preserve">with </w:t>
      </w:r>
      <w:r>
        <w:rPr>
          <w:rFonts w:ascii="Arial;sans-serif" w:hAnsi="Arial;sans-serif"/>
          <w:b w:val="false"/>
          <w:color w:val="1C1C1C"/>
          <w:sz w:val="17"/>
        </w:rPr>
        <w:t xml:space="preserve">the </w:t>
      </w:r>
      <w:r>
        <w:rPr>
          <w:rFonts w:ascii="Arial;sans-serif" w:hAnsi="Arial;sans-serif"/>
          <w:b w:val="false"/>
          <w:color w:val="313131"/>
          <w:sz w:val="17"/>
        </w:rPr>
        <w:t xml:space="preserve">Company and </w:t>
      </w:r>
      <w:r>
        <w:rPr>
          <w:rFonts w:ascii="Arial;sans-serif" w:hAnsi="Arial;sans-serif"/>
          <w:b w:val="false"/>
          <w:color w:val="1C1C1C"/>
          <w:sz w:val="17"/>
        </w:rPr>
        <w:t xml:space="preserve">the </w:t>
      </w:r>
      <w:r>
        <w:rPr>
          <w:rFonts w:ascii="Arial;sans-serif" w:hAnsi="Arial;sans-serif"/>
          <w:b w:val="false"/>
          <w:color w:val="313131"/>
          <w:sz w:val="17"/>
        </w:rPr>
        <w:t xml:space="preserve">performance of </w:t>
      </w:r>
      <w:r>
        <w:rPr>
          <w:rFonts w:ascii="Arial;sans-serif" w:hAnsi="Arial;sans-serif"/>
          <w:b w:val="false"/>
          <w:color w:val="1C1C1C"/>
          <w:sz w:val="17"/>
        </w:rPr>
        <w:t xml:space="preserve">my proposed duties for the </w:t>
      </w:r>
      <w:r>
        <w:rPr>
          <w:rFonts w:ascii="Arial;sans-serif" w:hAnsi="Arial;sans-serif"/>
          <w:b w:val="false"/>
          <w:color w:val="313131"/>
          <w:sz w:val="17"/>
        </w:rPr>
        <w:t xml:space="preserve">Company </w:t>
      </w:r>
      <w:r>
        <w:rPr>
          <w:rFonts w:ascii="Arial;sans-serif" w:hAnsi="Arial;sans-serif"/>
          <w:b w:val="false"/>
          <w:color w:val="1C1C1C"/>
          <w:sz w:val="17"/>
        </w:rPr>
        <w:t xml:space="preserve">will not </w:t>
      </w:r>
      <w:r>
        <w:rPr>
          <w:rFonts w:ascii="Arial;sans-serif" w:hAnsi="Arial;sans-serif"/>
          <w:b w:val="false"/>
          <w:color w:val="313131"/>
          <w:sz w:val="17"/>
        </w:rPr>
        <w:t xml:space="preserve">violate any obligations </w:t>
      </w:r>
      <w:r>
        <w:rPr>
          <w:rFonts w:ascii="Arial;sans-serif" w:hAnsi="Arial;sans-serif"/>
          <w:b w:val="false"/>
          <w:color w:val="1C1C1C"/>
          <w:sz w:val="17"/>
        </w:rPr>
        <w:t xml:space="preserve">I may have to </w:t>
      </w:r>
      <w:r>
        <w:rPr>
          <w:rFonts w:ascii="Arial;sans-serif" w:hAnsi="Arial;sans-serif"/>
          <w:b w:val="false"/>
          <w:color w:val="313131"/>
          <w:sz w:val="17"/>
        </w:rPr>
        <w:t xml:space="preserve">any </w:t>
      </w:r>
      <w:r>
        <w:rPr>
          <w:rFonts w:ascii="Arial;sans-serif" w:hAnsi="Arial;sans-serif"/>
          <w:b w:val="false"/>
          <w:color w:val="1C1C1C"/>
          <w:sz w:val="17"/>
        </w:rPr>
        <w:t xml:space="preserve">former </w:t>
      </w:r>
      <w:r>
        <w:rPr>
          <w:rFonts w:ascii="Arial;sans-serif" w:hAnsi="Arial;sans-serif"/>
          <w:b w:val="false"/>
          <w:color w:val="313131"/>
          <w:sz w:val="17"/>
        </w:rPr>
        <w:t xml:space="preserve">employer. </w:t>
      </w:r>
      <w:r>
        <w:rPr>
          <w:rFonts w:ascii="Arial;sans-serif" w:hAnsi="Arial;sans-serif"/>
          <w:b w:val="false"/>
          <w:color w:val="1C1C1C"/>
          <w:sz w:val="17"/>
        </w:rPr>
        <w:t xml:space="preserve">I </w:t>
      </w:r>
      <w:r>
        <w:rPr>
          <w:rFonts w:ascii="Arial;sans-serif" w:hAnsi="Arial;sans-serif"/>
          <w:b w:val="false"/>
          <w:color w:val="313131"/>
          <w:sz w:val="17"/>
        </w:rPr>
        <w:t xml:space="preserve">will </w:t>
      </w:r>
      <w:r>
        <w:rPr>
          <w:rFonts w:ascii="Arial;sans-serif" w:hAnsi="Arial;sans-serif"/>
          <w:b w:val="false"/>
          <w:color w:val="1C1C1C"/>
          <w:sz w:val="17"/>
        </w:rPr>
        <w:t xml:space="preserve">provide to the </w:t>
      </w:r>
      <w:r>
        <w:rPr>
          <w:rFonts w:ascii="Arial;sans-serif" w:hAnsi="Arial;sans-serif"/>
          <w:b w:val="false"/>
          <w:color w:val="313131"/>
          <w:sz w:val="17"/>
        </w:rPr>
        <w:t xml:space="preserve">Company any </w:t>
      </w:r>
      <w:r>
        <w:rPr>
          <w:rFonts w:ascii="Arial;sans-serif" w:hAnsi="Arial;sans-serif"/>
          <w:b w:val="false"/>
          <w:color w:val="1C1C1C"/>
          <w:sz w:val="17"/>
        </w:rPr>
        <w:t xml:space="preserve">agreement </w:t>
      </w:r>
      <w:r>
        <w:rPr>
          <w:rFonts w:ascii="Arial;sans-serif" w:hAnsi="Arial;sans-serif"/>
          <w:b w:val="false"/>
          <w:color w:val="313131"/>
          <w:sz w:val="17"/>
        </w:rPr>
        <w:t xml:space="preserve">with a former employer </w:t>
      </w:r>
      <w:r>
        <w:rPr>
          <w:rFonts w:ascii="Arial;sans-serif" w:hAnsi="Arial;sans-serif"/>
          <w:b w:val="false"/>
          <w:color w:val="1C1C1C"/>
          <w:sz w:val="17"/>
        </w:rPr>
        <w:t xml:space="preserve">that purports to limit my </w:t>
      </w:r>
      <w:r>
        <w:rPr>
          <w:rFonts w:ascii="Arial;sans-serif" w:hAnsi="Arial;sans-serif"/>
          <w:b w:val="false"/>
          <w:color w:val="313131"/>
          <w:sz w:val="17"/>
        </w:rPr>
        <w:t xml:space="preserve">employment </w:t>
      </w:r>
      <w:r>
        <w:rPr>
          <w:rFonts w:ascii="Arial;sans-serif" w:hAnsi="Arial;sans-serif"/>
          <w:b w:val="false"/>
          <w:color w:val="1C1C1C"/>
          <w:sz w:val="17"/>
        </w:rPr>
        <w:t xml:space="preserve">activities </w:t>
      </w:r>
      <w:r>
        <w:rPr>
          <w:rFonts w:ascii="Arial;sans-serif" w:hAnsi="Arial;sans-serif"/>
          <w:b w:val="false"/>
          <w:color w:val="313131"/>
          <w:sz w:val="17"/>
        </w:rPr>
        <w:t xml:space="preserve">subsequent </w:t>
      </w:r>
      <w:r>
        <w:rPr>
          <w:rFonts w:ascii="Arial;sans-serif" w:hAnsi="Arial;sans-serif"/>
          <w:b w:val="false"/>
          <w:color w:val="1C1C1C"/>
          <w:sz w:val="17"/>
        </w:rPr>
        <w:t xml:space="preserve">to the termination </w:t>
      </w:r>
      <w:r>
        <w:rPr>
          <w:rFonts w:ascii="Arial;sans-serif" w:hAnsi="Arial;sans-serif"/>
          <w:b w:val="false"/>
          <w:color w:val="313131"/>
          <w:sz w:val="17"/>
        </w:rPr>
        <w:t xml:space="preserve">of </w:t>
      </w:r>
      <w:r>
        <w:rPr>
          <w:rFonts w:ascii="Arial;sans-serif" w:hAnsi="Arial;sans-serif"/>
          <w:b w:val="false"/>
          <w:color w:val="1C1C1C"/>
          <w:sz w:val="17"/>
        </w:rPr>
        <w:t xml:space="preserve">that </w:t>
      </w:r>
      <w:r>
        <w:rPr>
          <w:rFonts w:ascii="Arial;sans-serif" w:hAnsi="Arial;sans-serif"/>
          <w:b w:val="false"/>
          <w:color w:val="313131"/>
          <w:sz w:val="17"/>
        </w:rPr>
        <w:t xml:space="preserve">employment </w:t>
      </w:r>
      <w:r>
        <w:rPr>
          <w:rFonts w:ascii="Arial;sans-serif" w:hAnsi="Arial;sans-serif"/>
          <w:b w:val="false"/>
          <w:color w:val="1C1C1C"/>
          <w:sz w:val="17"/>
        </w:rPr>
        <w:t xml:space="preserve">relationship. </w:t>
      </w:r>
      <w:r>
        <w:rPr>
          <w:rFonts w:ascii="Arial;sans-serif" w:hAnsi="Arial;sans-serif"/>
          <w:b w:val="false"/>
          <w:color w:val="0A0A0A"/>
          <w:sz w:val="17"/>
        </w:rPr>
        <w:t xml:space="preserve">I </w:t>
      </w:r>
      <w:r>
        <w:rPr>
          <w:rFonts w:ascii="Arial;sans-serif" w:hAnsi="Arial;sans-serif"/>
          <w:b w:val="false"/>
          <w:color w:val="1C1C1C"/>
          <w:sz w:val="17"/>
        </w:rPr>
        <w:t xml:space="preserve">further </w:t>
      </w:r>
      <w:r>
        <w:rPr>
          <w:rFonts w:ascii="Arial;sans-serif" w:hAnsi="Arial;sans-serif"/>
          <w:b w:val="false"/>
          <w:color w:val="0A0A0A"/>
          <w:sz w:val="17"/>
        </w:rPr>
        <w:t xml:space="preserve">represent </w:t>
      </w:r>
      <w:r>
        <w:rPr>
          <w:rFonts w:ascii="Arial;sans-serif" w:hAnsi="Arial;sans-serif"/>
          <w:b w:val="false"/>
          <w:color w:val="1C1C1C"/>
          <w:sz w:val="17"/>
        </w:rPr>
        <w:t xml:space="preserve">that my performance </w:t>
      </w:r>
      <w:r>
        <w:rPr>
          <w:rFonts w:ascii="Arial;sans-serif" w:hAnsi="Arial;sans-serif"/>
          <w:b w:val="false"/>
          <w:color w:val="313131"/>
          <w:sz w:val="17"/>
        </w:rPr>
        <w:t xml:space="preserve">of all </w:t>
      </w:r>
      <w:r>
        <w:rPr>
          <w:rFonts w:ascii="Arial;sans-serif" w:hAnsi="Arial;sans-serif"/>
          <w:b w:val="false"/>
          <w:color w:val="1C1C1C"/>
          <w:sz w:val="17"/>
        </w:rPr>
        <w:t xml:space="preserve">the terms </w:t>
      </w:r>
      <w:r>
        <w:rPr>
          <w:rFonts w:ascii="Arial;sans-serif" w:hAnsi="Arial;sans-serif"/>
          <w:b w:val="false"/>
          <w:color w:val="313131"/>
          <w:sz w:val="17"/>
        </w:rPr>
        <w:t xml:space="preserve">of </w:t>
      </w:r>
      <w:r>
        <w:rPr>
          <w:rFonts w:ascii="Arial;sans-serif" w:hAnsi="Arial;sans-serif"/>
          <w:b w:val="false"/>
          <w:color w:val="1C1C1C"/>
          <w:sz w:val="17"/>
        </w:rPr>
        <w:t xml:space="preserve">this Agreement </w:t>
      </w:r>
      <w:r>
        <w:rPr>
          <w:rFonts w:ascii="Arial;sans-serif" w:hAnsi="Arial;sans-serif"/>
          <w:b w:val="false"/>
          <w:color w:val="313131"/>
          <w:sz w:val="17"/>
        </w:rPr>
        <w:t xml:space="preserve">and as an employee </w:t>
      </w:r>
      <w:r>
        <w:rPr>
          <w:rFonts w:ascii="Arial;sans-serif" w:hAnsi="Arial;sans-serif"/>
          <w:b w:val="false"/>
          <w:color w:val="1C1C1C"/>
          <w:sz w:val="17"/>
        </w:rPr>
        <w:t xml:space="preserve">of the Company does not </w:t>
      </w:r>
      <w:r>
        <w:rPr>
          <w:rFonts w:ascii="Arial;sans-serif" w:hAnsi="Arial;sans-serif"/>
          <w:b w:val="false"/>
          <w:color w:val="313131"/>
          <w:sz w:val="17"/>
        </w:rPr>
        <w:t xml:space="preserve">and </w:t>
      </w:r>
      <w:r>
        <w:rPr>
          <w:rFonts w:ascii="Arial;sans-serif" w:hAnsi="Arial;sans-serif"/>
          <w:b w:val="false"/>
          <w:color w:val="1C1C1C"/>
          <w:sz w:val="17"/>
        </w:rPr>
        <w:t xml:space="preserve">will not breach any </w:t>
      </w:r>
      <w:r>
        <w:rPr>
          <w:rFonts w:ascii="Arial;sans-serif" w:hAnsi="Arial;sans-serif"/>
          <w:b w:val="false"/>
          <w:color w:val="313131"/>
          <w:sz w:val="17"/>
        </w:rPr>
        <w:t xml:space="preserve">agreement </w:t>
      </w:r>
      <w:r>
        <w:rPr>
          <w:rFonts w:ascii="Arial;sans-serif" w:hAnsi="Arial;sans-serif"/>
          <w:b w:val="false"/>
          <w:color w:val="1C1C1C"/>
          <w:sz w:val="17"/>
        </w:rPr>
        <w:t xml:space="preserve">to keep in </w:t>
      </w:r>
      <w:r>
        <w:rPr>
          <w:rFonts w:ascii="Arial;sans-serif" w:hAnsi="Arial;sans-serif"/>
          <w:b w:val="false"/>
          <w:color w:val="313131"/>
          <w:sz w:val="17"/>
        </w:rPr>
        <w:t xml:space="preserve">confidence proprietary </w:t>
      </w:r>
      <w:r>
        <w:rPr>
          <w:rFonts w:ascii="Arial;sans-serif" w:hAnsi="Arial;sans-serif"/>
          <w:b w:val="false"/>
          <w:color w:val="1C1C1C"/>
          <w:sz w:val="17"/>
        </w:rPr>
        <w:t xml:space="preserve">information </w:t>
      </w:r>
      <w:r>
        <w:rPr>
          <w:rFonts w:ascii="Arial;sans-serif" w:hAnsi="Arial;sans-serif"/>
          <w:b w:val="false"/>
          <w:color w:val="313131"/>
          <w:sz w:val="17"/>
        </w:rPr>
        <w:t xml:space="preserve">acquired </w:t>
      </w:r>
      <w:r>
        <w:rPr>
          <w:rFonts w:ascii="Arial;sans-serif" w:hAnsi="Arial;sans-serif"/>
          <w:b w:val="false"/>
          <w:color w:val="1C1C1C"/>
          <w:sz w:val="17"/>
        </w:rPr>
        <w:t xml:space="preserve">by me in </w:t>
      </w:r>
      <w:r>
        <w:rPr>
          <w:rFonts w:ascii="Arial;sans-serif" w:hAnsi="Arial;sans-serif"/>
          <w:b w:val="false"/>
          <w:color w:val="313131"/>
          <w:sz w:val="17"/>
        </w:rPr>
        <w:t xml:space="preserve">confidence or </w:t>
      </w:r>
      <w:r>
        <w:rPr>
          <w:rFonts w:ascii="Arial;sans-serif" w:hAnsi="Arial;sans-serif"/>
          <w:b w:val="false"/>
          <w:color w:val="1C1C1C"/>
          <w:sz w:val="17"/>
        </w:rPr>
        <w:t xml:space="preserve">in </w:t>
      </w:r>
      <w:r>
        <w:rPr>
          <w:rFonts w:ascii="Arial;sans-serif" w:hAnsi="Arial;sans-serif"/>
          <w:b w:val="false"/>
          <w:color w:val="313131"/>
          <w:sz w:val="17"/>
        </w:rPr>
        <w:t xml:space="preserve">trust </w:t>
      </w:r>
      <w:r>
        <w:rPr>
          <w:rFonts w:ascii="Arial;sans-serif" w:hAnsi="Arial;sans-serif"/>
          <w:b w:val="false"/>
          <w:color w:val="1C1C1C"/>
          <w:sz w:val="17"/>
        </w:rPr>
        <w:t xml:space="preserve">prior to my </w:t>
      </w:r>
      <w:r>
        <w:rPr>
          <w:rFonts w:ascii="Arial;sans-serif" w:hAnsi="Arial;sans-serif"/>
          <w:b w:val="false"/>
          <w:color w:val="313131"/>
          <w:sz w:val="17"/>
        </w:rPr>
        <w:t xml:space="preserve">employment </w:t>
      </w:r>
      <w:r>
        <w:rPr>
          <w:rFonts w:ascii="Arial;sans-serif" w:hAnsi="Arial;sans-serif"/>
          <w:b w:val="false"/>
          <w:color w:val="1C1C1C"/>
          <w:sz w:val="17"/>
        </w:rPr>
        <w:t xml:space="preserve">by the </w:t>
      </w:r>
      <w:r>
        <w:rPr>
          <w:rFonts w:ascii="Arial;sans-serif" w:hAnsi="Arial;sans-serif"/>
          <w:b w:val="false"/>
          <w:color w:val="313131"/>
          <w:sz w:val="17"/>
        </w:rPr>
        <w:t xml:space="preserve">Company. </w:t>
      </w:r>
      <w:r>
        <w:rPr>
          <w:rFonts w:ascii="Arial;sans-serif" w:hAnsi="Arial;sans-serif"/>
          <w:b w:val="false"/>
          <w:color w:val="1C1C1C"/>
          <w:sz w:val="17"/>
        </w:rPr>
        <w:t xml:space="preserve">I have not </w:t>
      </w:r>
      <w:r>
        <w:rPr>
          <w:rFonts w:ascii="Arial;sans-serif" w:hAnsi="Arial;sans-serif"/>
          <w:b w:val="false"/>
          <w:color w:val="313131"/>
          <w:sz w:val="17"/>
        </w:rPr>
        <w:t xml:space="preserve">entered </w:t>
      </w:r>
      <w:r>
        <w:rPr>
          <w:rFonts w:ascii="Arial;sans-serif" w:hAnsi="Arial;sans-serif"/>
          <w:b w:val="false"/>
          <w:color w:val="0A0A0A"/>
          <w:sz w:val="17"/>
        </w:rPr>
        <w:t xml:space="preserve">into, </w:t>
      </w:r>
      <w:r>
        <w:rPr>
          <w:rFonts w:ascii="Arial;sans-serif" w:hAnsi="Arial;sans-serif"/>
          <w:b w:val="false"/>
          <w:color w:val="313131"/>
          <w:sz w:val="17"/>
        </w:rPr>
        <w:t xml:space="preserve">and </w:t>
      </w:r>
      <w:r>
        <w:rPr>
          <w:rFonts w:ascii="Arial;sans-serif" w:hAnsi="Arial;sans-serif"/>
          <w:b w:val="false"/>
          <w:color w:val="1C1C1C"/>
          <w:sz w:val="17"/>
        </w:rPr>
        <w:t xml:space="preserve">I </w:t>
      </w:r>
      <w:r>
        <w:rPr>
          <w:rFonts w:ascii="Arial;sans-serif" w:hAnsi="Arial;sans-serif"/>
          <w:b w:val="false"/>
          <w:color w:val="313131"/>
          <w:sz w:val="17"/>
        </w:rPr>
        <w:t xml:space="preserve">will </w:t>
      </w:r>
      <w:r>
        <w:rPr>
          <w:rFonts w:ascii="Arial;sans-serif" w:hAnsi="Arial;sans-serif"/>
          <w:b w:val="false"/>
          <w:color w:val="1C1C1C"/>
          <w:sz w:val="17"/>
        </w:rPr>
        <w:t xml:space="preserve">not </w:t>
      </w:r>
      <w:r>
        <w:rPr>
          <w:rFonts w:ascii="Arial;sans-serif" w:hAnsi="Arial;sans-serif"/>
          <w:b w:val="false"/>
          <w:color w:val="313131"/>
          <w:sz w:val="17"/>
        </w:rPr>
        <w:t xml:space="preserve">enter </w:t>
      </w:r>
      <w:r>
        <w:rPr>
          <w:rFonts w:ascii="Arial;sans-serif" w:hAnsi="Arial;sans-serif"/>
          <w:b w:val="false"/>
          <w:color w:val="1C1C1C"/>
          <w:sz w:val="17"/>
        </w:rPr>
        <w:t xml:space="preserve">into, </w:t>
      </w:r>
      <w:r>
        <w:rPr>
          <w:rFonts w:ascii="Arial;sans-serif" w:hAnsi="Arial;sans-serif"/>
          <w:b w:val="false"/>
          <w:color w:val="313131"/>
          <w:sz w:val="17"/>
        </w:rPr>
        <w:t xml:space="preserve">any agreement either written or oral </w:t>
      </w:r>
      <w:r>
        <w:rPr>
          <w:rFonts w:ascii="Arial;sans-serif" w:hAnsi="Arial;sans-serif"/>
          <w:b w:val="false"/>
          <w:color w:val="0A0A0A"/>
          <w:sz w:val="17"/>
        </w:rPr>
        <w:t xml:space="preserve">in </w:t>
      </w:r>
      <w:r>
        <w:rPr>
          <w:rFonts w:ascii="Arial;sans-serif" w:hAnsi="Arial;sans-serif"/>
          <w:b w:val="false"/>
          <w:color w:val="313131"/>
          <w:sz w:val="17"/>
        </w:rPr>
        <w:t xml:space="preserve">conflict </w:t>
      </w:r>
      <w:r>
        <w:rPr>
          <w:rFonts w:ascii="Arial;sans-serif" w:hAnsi="Arial;sans-serif"/>
          <w:b w:val="false"/>
          <w:color w:val="1C1C1C"/>
          <w:sz w:val="17"/>
        </w:rPr>
        <w:t xml:space="preserve">herewith. During my </w:t>
      </w:r>
      <w:r>
        <w:rPr>
          <w:rFonts w:ascii="Arial;sans-serif" w:hAnsi="Arial;sans-serif"/>
          <w:b w:val="false"/>
          <w:color w:val="313131"/>
          <w:sz w:val="17"/>
        </w:rPr>
        <w:t xml:space="preserve">employment with </w:t>
      </w:r>
      <w:r>
        <w:rPr>
          <w:rFonts w:ascii="Arial;sans-serif" w:hAnsi="Arial;sans-serif"/>
          <w:b w:val="false"/>
          <w:color w:val="1C1C1C"/>
          <w:sz w:val="17"/>
        </w:rPr>
        <w:t xml:space="preserve">the </w:t>
      </w:r>
      <w:r>
        <w:rPr>
          <w:rFonts w:ascii="Arial;sans-serif" w:hAnsi="Arial;sans-serif"/>
          <w:b w:val="false"/>
          <w:color w:val="313131"/>
          <w:sz w:val="17"/>
        </w:rPr>
        <w:t xml:space="preserve">Company, </w:t>
      </w:r>
      <w:r>
        <w:rPr>
          <w:rFonts w:ascii="Arial;sans-serif" w:hAnsi="Arial;sans-serif"/>
          <w:b w:val="false"/>
          <w:color w:val="0A0A0A"/>
          <w:sz w:val="17"/>
        </w:rPr>
        <w:t xml:space="preserve">I </w:t>
      </w:r>
      <w:r>
        <w:rPr>
          <w:rFonts w:ascii="Arial;sans-serif" w:hAnsi="Arial;sans-serif"/>
          <w:b w:val="false"/>
          <w:color w:val="313131"/>
          <w:sz w:val="17"/>
        </w:rPr>
        <w:t xml:space="preserve">am </w:t>
      </w:r>
      <w:r>
        <w:rPr>
          <w:rFonts w:ascii="Arial;sans-serif" w:hAnsi="Arial;sans-serif"/>
          <w:b w:val="false"/>
          <w:color w:val="1C1C1C"/>
          <w:sz w:val="17"/>
        </w:rPr>
        <w:t xml:space="preserve">not to breach </w:t>
      </w:r>
      <w:r>
        <w:rPr>
          <w:rFonts w:ascii="Arial;sans-serif" w:hAnsi="Arial;sans-serif"/>
          <w:b w:val="false"/>
          <w:color w:val="313131"/>
          <w:sz w:val="17"/>
        </w:rPr>
        <w:t xml:space="preserve">any obligation </w:t>
      </w:r>
      <w:r>
        <w:rPr>
          <w:rFonts w:ascii="Arial;sans-serif" w:hAnsi="Arial;sans-serif"/>
          <w:b w:val="false"/>
          <w:color w:val="1C1C1C"/>
          <w:sz w:val="17"/>
        </w:rPr>
        <w:t xml:space="preserve">of </w:t>
      </w:r>
      <w:r>
        <w:rPr>
          <w:rFonts w:ascii="Arial;sans-serif" w:hAnsi="Arial;sans-serif"/>
          <w:b w:val="false"/>
          <w:color w:val="313131"/>
          <w:sz w:val="17"/>
        </w:rPr>
        <w:t xml:space="preserve">confidentiality </w:t>
      </w:r>
      <w:r>
        <w:rPr>
          <w:rFonts w:ascii="Arial;sans-serif" w:hAnsi="Arial;sans-serif"/>
          <w:b w:val="false"/>
          <w:color w:val="1C1C1C"/>
          <w:sz w:val="17"/>
        </w:rPr>
        <w:t xml:space="preserve">that I may have to former </w:t>
      </w:r>
      <w:r>
        <w:rPr>
          <w:rFonts w:ascii="Arial;sans-serif" w:hAnsi="Arial;sans-serif"/>
          <w:b w:val="false"/>
          <w:color w:val="313131"/>
          <w:sz w:val="17"/>
        </w:rPr>
        <w:t>employers.</w:t>
      </w:r>
    </w:p>
    <w:p>
      <w:pPr>
        <w:pStyle w:val="TextBody"/>
        <w:spacing w:before="10" w:after="283"/>
        <w:rPr/>
      </w:pPr>
      <w:r>
        <w:rPr/>
      </w:r>
    </w:p>
    <w:p>
      <w:pPr>
        <w:pStyle w:val="TextBody"/>
        <w:spacing w:lineRule="auto" w:line="240" w:before="95" w:after="283"/>
        <w:rPr/>
      </w:pPr>
      <w:r>
        <w:rPr>
          <w:rFonts w:ascii="Arial;sans-serif" w:hAnsi="Arial;sans-serif"/>
          <w:b w:val="false"/>
          <w:color w:val="1C1C1C"/>
          <w:sz w:val="17"/>
          <w:u w:val="single"/>
        </w:rPr>
        <w:t xml:space="preserve">Other </w:t>
      </w:r>
      <w:r>
        <w:rPr>
          <w:rFonts w:ascii="Arial;sans-serif" w:hAnsi="Arial;sans-serif"/>
          <w:b w:val="false"/>
          <w:color w:val="313131"/>
          <w:sz w:val="17"/>
          <w:u w:val="single"/>
        </w:rPr>
        <w:t>Employment</w:t>
      </w:r>
    </w:p>
    <w:p>
      <w:pPr>
        <w:pStyle w:val="TextBody"/>
        <w:spacing w:before="9" w:after="283"/>
        <w:rPr/>
      </w:pPr>
      <w:r>
        <w:rPr/>
      </w:r>
    </w:p>
    <w:p>
      <w:pPr>
        <w:pStyle w:val="TextBody"/>
        <w:spacing w:lineRule="auto" w:line="297" w:before="0" w:after="0"/>
        <w:ind w:left="0" w:right="0" w:hanging="354"/>
        <w:rPr/>
      </w:pPr>
      <w:r>
        <w:rPr>
          <w:rFonts w:ascii="Arial;sans-serif" w:hAnsi="Arial;sans-serif"/>
          <w:b w:val="false"/>
          <w:color w:val="1C1C1C"/>
          <w:sz w:val="17"/>
        </w:rPr>
        <w:t xml:space="preserve">16.During the period of my </w:t>
      </w:r>
      <w:r>
        <w:rPr>
          <w:rFonts w:ascii="Arial;sans-serif" w:hAnsi="Arial;sans-serif"/>
          <w:b w:val="false"/>
          <w:color w:val="313131"/>
          <w:sz w:val="17"/>
        </w:rPr>
        <w:t xml:space="preserve">employment </w:t>
      </w:r>
      <w:r>
        <w:rPr>
          <w:rFonts w:ascii="Arial;sans-serif" w:hAnsi="Arial;sans-serif"/>
          <w:b w:val="false"/>
          <w:color w:val="1C1C1C"/>
          <w:sz w:val="17"/>
        </w:rPr>
        <w:t xml:space="preserve">by the </w:t>
      </w:r>
      <w:r>
        <w:rPr>
          <w:rFonts w:ascii="Arial;sans-serif" w:hAnsi="Arial;sans-serif"/>
          <w:b w:val="false"/>
          <w:color w:val="313131"/>
          <w:sz w:val="17"/>
        </w:rPr>
        <w:t xml:space="preserve">Company, </w:t>
      </w:r>
      <w:r>
        <w:rPr>
          <w:rFonts w:ascii="Arial;sans-serif" w:hAnsi="Arial;sans-serif"/>
          <w:b w:val="false"/>
          <w:color w:val="1C1C1C"/>
          <w:sz w:val="17"/>
        </w:rPr>
        <w:t xml:space="preserve">I </w:t>
      </w:r>
      <w:r>
        <w:rPr>
          <w:rFonts w:ascii="Arial;sans-serif" w:hAnsi="Arial;sans-serif"/>
          <w:b w:val="false"/>
          <w:color w:val="313131"/>
          <w:sz w:val="17"/>
        </w:rPr>
        <w:t xml:space="preserve">will </w:t>
      </w:r>
      <w:r>
        <w:rPr>
          <w:rFonts w:ascii="Arial;sans-serif" w:hAnsi="Arial;sans-serif"/>
          <w:b w:val="false"/>
          <w:color w:val="1C1C1C"/>
          <w:sz w:val="17"/>
        </w:rPr>
        <w:t xml:space="preserve">not, </w:t>
      </w:r>
      <w:r>
        <w:rPr>
          <w:rFonts w:ascii="Arial;sans-serif" w:hAnsi="Arial;sans-serif"/>
          <w:b w:val="false"/>
          <w:color w:val="313131"/>
          <w:sz w:val="17"/>
        </w:rPr>
        <w:t xml:space="preserve">without </w:t>
      </w:r>
      <w:r>
        <w:rPr>
          <w:rFonts w:ascii="Arial;sans-serif" w:hAnsi="Arial;sans-serif"/>
          <w:b w:val="false"/>
          <w:color w:val="1C1C1C"/>
          <w:sz w:val="17"/>
        </w:rPr>
        <w:t xml:space="preserve">the </w:t>
      </w:r>
      <w:r>
        <w:rPr>
          <w:rFonts w:ascii="Arial;sans-serif" w:hAnsi="Arial;sans-serif"/>
          <w:b w:val="false"/>
          <w:color w:val="313131"/>
          <w:sz w:val="17"/>
        </w:rPr>
        <w:t xml:space="preserve">Company's </w:t>
      </w:r>
      <w:r>
        <w:rPr>
          <w:rFonts w:ascii="Arial;sans-serif" w:hAnsi="Arial;sans-serif"/>
          <w:b w:val="false"/>
          <w:color w:val="1C1C1C"/>
          <w:sz w:val="17"/>
        </w:rPr>
        <w:t xml:space="preserve">prior written </w:t>
      </w:r>
      <w:r>
        <w:rPr>
          <w:rFonts w:ascii="Arial;sans-serif" w:hAnsi="Arial;sans-serif"/>
          <w:b w:val="false"/>
          <w:color w:val="313131"/>
          <w:sz w:val="17"/>
        </w:rPr>
        <w:t xml:space="preserve">consent, engage </w:t>
      </w:r>
      <w:r>
        <w:rPr>
          <w:rFonts w:ascii="Arial;sans-serif" w:hAnsi="Arial;sans-serif"/>
          <w:b w:val="false"/>
          <w:color w:val="0A0A0A"/>
          <w:sz w:val="17"/>
        </w:rPr>
        <w:t xml:space="preserve">in </w:t>
      </w:r>
      <w:r>
        <w:rPr>
          <w:rFonts w:ascii="Arial;sans-serif" w:hAnsi="Arial;sans-serif"/>
          <w:b w:val="false"/>
          <w:color w:val="313131"/>
          <w:sz w:val="17"/>
        </w:rPr>
        <w:t xml:space="preserve">any </w:t>
      </w:r>
      <w:r>
        <w:rPr>
          <w:rFonts w:ascii="Arial;sans-serif" w:hAnsi="Arial;sans-serif"/>
          <w:b w:val="false"/>
          <w:color w:val="1C1C1C"/>
          <w:sz w:val="17"/>
        </w:rPr>
        <w:t xml:space="preserve">employment or </w:t>
      </w:r>
      <w:r>
        <w:rPr>
          <w:rFonts w:ascii="Arial;sans-serif" w:hAnsi="Arial;sans-serif"/>
          <w:b w:val="false"/>
          <w:color w:val="313131"/>
          <w:sz w:val="17"/>
        </w:rPr>
        <w:t xml:space="preserve">activity other </w:t>
      </w:r>
      <w:r>
        <w:rPr>
          <w:rFonts w:ascii="Arial;sans-serif" w:hAnsi="Arial;sans-serif"/>
          <w:b w:val="false"/>
          <w:color w:val="1C1C1C"/>
          <w:sz w:val="17"/>
        </w:rPr>
        <w:t xml:space="preserve">than for the </w:t>
      </w:r>
      <w:r>
        <w:rPr>
          <w:rFonts w:ascii="Arial;sans-serif" w:hAnsi="Arial;sans-serif"/>
          <w:b w:val="false"/>
          <w:color w:val="313131"/>
          <w:sz w:val="17"/>
        </w:rPr>
        <w:t xml:space="preserve">Company </w:t>
      </w:r>
      <w:r>
        <w:rPr>
          <w:rFonts w:ascii="Arial;sans-serif" w:hAnsi="Arial;sans-serif"/>
          <w:b w:val="false"/>
          <w:color w:val="0A0A0A"/>
          <w:sz w:val="17"/>
        </w:rPr>
        <w:t xml:space="preserve">in </w:t>
      </w:r>
      <w:r>
        <w:rPr>
          <w:rFonts w:ascii="Arial;sans-serif" w:hAnsi="Arial;sans-serif"/>
          <w:b w:val="false"/>
          <w:color w:val="313131"/>
          <w:sz w:val="17"/>
        </w:rPr>
        <w:t xml:space="preserve">any business </w:t>
      </w:r>
      <w:r>
        <w:rPr>
          <w:rFonts w:ascii="Arial;sans-serif" w:hAnsi="Arial;sans-serif"/>
          <w:b w:val="false"/>
          <w:color w:val="1C1C1C"/>
          <w:sz w:val="17"/>
        </w:rPr>
        <w:t xml:space="preserve">in which the </w:t>
      </w:r>
      <w:r>
        <w:rPr>
          <w:rFonts w:ascii="Arial;sans-serif" w:hAnsi="Arial;sans-serif"/>
          <w:b w:val="false"/>
          <w:color w:val="313131"/>
          <w:sz w:val="17"/>
        </w:rPr>
        <w:t xml:space="preserve">Company </w:t>
      </w:r>
      <w:r>
        <w:rPr>
          <w:rFonts w:ascii="Arial;sans-serif" w:hAnsi="Arial;sans-serif"/>
          <w:b w:val="false"/>
          <w:color w:val="0A0A0A"/>
          <w:sz w:val="17"/>
        </w:rPr>
        <w:t xml:space="preserve">is </w:t>
      </w:r>
      <w:r>
        <w:rPr>
          <w:rFonts w:ascii="Arial;sans-serif" w:hAnsi="Arial;sans-serif"/>
          <w:b w:val="false"/>
          <w:color w:val="1C1C1C"/>
          <w:sz w:val="17"/>
        </w:rPr>
        <w:t xml:space="preserve">now or may during the </w:t>
      </w:r>
      <w:r>
        <w:rPr>
          <w:rFonts w:ascii="Arial;sans-serif" w:hAnsi="Arial;sans-serif"/>
          <w:b w:val="false"/>
          <w:color w:val="313131"/>
          <w:sz w:val="17"/>
        </w:rPr>
        <w:t xml:space="preserve">course </w:t>
      </w:r>
      <w:r>
        <w:rPr>
          <w:rFonts w:ascii="Arial;sans-serif" w:hAnsi="Arial;sans-serif"/>
          <w:b w:val="false"/>
          <w:color w:val="1C1C1C"/>
          <w:sz w:val="17"/>
        </w:rPr>
        <w:t xml:space="preserve">of my </w:t>
      </w:r>
      <w:r>
        <w:rPr>
          <w:rFonts w:ascii="Arial;sans-serif" w:hAnsi="Arial;sans-serif"/>
          <w:b w:val="false"/>
          <w:color w:val="313131"/>
          <w:sz w:val="17"/>
        </w:rPr>
        <w:t xml:space="preserve">employment </w:t>
      </w:r>
      <w:r>
        <w:rPr>
          <w:rFonts w:ascii="Arial;sans-serif" w:hAnsi="Arial;sans-serif"/>
          <w:b w:val="false"/>
          <w:color w:val="1C1C1C"/>
          <w:sz w:val="17"/>
        </w:rPr>
        <w:t xml:space="preserve">become </w:t>
      </w:r>
      <w:r>
        <w:rPr>
          <w:rFonts w:ascii="Arial;sans-serif" w:hAnsi="Arial;sans-serif"/>
          <w:b w:val="false"/>
          <w:color w:val="313131"/>
          <w:sz w:val="17"/>
        </w:rPr>
        <w:t>engaged.</w:t>
      </w:r>
    </w:p>
    <w:p>
      <w:pPr>
        <w:pStyle w:val="TextBody"/>
        <w:spacing w:before="0" w:after="0"/>
        <w:rPr/>
      </w:pPr>
      <w:r>
        <w:rPr/>
      </w:r>
    </w:p>
    <w:p>
      <w:pPr>
        <w:pStyle w:val="TextBody"/>
        <w:spacing w:lineRule="auto" w:line="240" w:before="95" w:after="283"/>
        <w:rPr/>
      </w:pPr>
      <w:r>
        <w:rPr>
          <w:rFonts w:ascii="Arial;sans-serif" w:hAnsi="Arial;sans-serif"/>
          <w:b w:val="false"/>
          <w:color w:val="1C1C1C"/>
          <w:sz w:val="17"/>
          <w:u w:val="single"/>
        </w:rPr>
        <w:t xml:space="preserve">Enforcement </w:t>
      </w:r>
      <w:r>
        <w:rPr>
          <w:rFonts w:ascii="Arial;sans-serif" w:hAnsi="Arial;sans-serif"/>
          <w:b w:val="false"/>
          <w:color w:val="313131"/>
          <w:sz w:val="17"/>
          <w:u w:val="single"/>
        </w:rPr>
        <w:t>of Covenants</w:t>
      </w:r>
    </w:p>
    <w:p>
      <w:pPr>
        <w:pStyle w:val="TextBody"/>
        <w:spacing w:before="8" w:after="283"/>
        <w:rPr/>
      </w:pPr>
      <w:r>
        <w:rPr/>
      </w:r>
    </w:p>
    <w:p>
      <w:pPr>
        <w:pStyle w:val="TextBody"/>
        <w:spacing w:lineRule="auto" w:line="295" w:before="1" w:after="283"/>
        <w:ind w:left="0" w:right="0" w:hanging="351"/>
        <w:rPr/>
      </w:pPr>
      <w:r>
        <w:rPr>
          <w:rFonts w:ascii="Arial;sans-serif" w:hAnsi="Arial;sans-serif"/>
          <w:b w:val="false"/>
          <w:color w:val="1C1C1C"/>
          <w:sz w:val="17"/>
        </w:rPr>
        <w:t>17.</w:t>
      </w:r>
      <w:r>
        <w:rPr>
          <w:rFonts w:ascii="Arial;sans-serif" w:hAnsi="Arial;sans-serif"/>
          <w:b w:val="false"/>
          <w:color w:val="0A0A0A"/>
          <w:sz w:val="17"/>
        </w:rPr>
        <w:t xml:space="preserve">I </w:t>
      </w:r>
      <w:r>
        <w:rPr>
          <w:rFonts w:ascii="Arial;sans-serif" w:hAnsi="Arial;sans-serif"/>
          <w:b w:val="false"/>
          <w:color w:val="313131"/>
          <w:sz w:val="17"/>
        </w:rPr>
        <w:t xml:space="preserve">acknowledge </w:t>
      </w:r>
      <w:r>
        <w:rPr>
          <w:rFonts w:ascii="Arial;sans-serif" w:hAnsi="Arial;sans-serif"/>
          <w:b w:val="false"/>
          <w:color w:val="1C1C1C"/>
          <w:sz w:val="17"/>
        </w:rPr>
        <w:t xml:space="preserve">that </w:t>
      </w:r>
      <w:r>
        <w:rPr>
          <w:rFonts w:ascii="Arial;sans-serif" w:hAnsi="Arial;sans-serif"/>
          <w:b w:val="false"/>
          <w:color w:val="313131"/>
          <w:sz w:val="17"/>
        </w:rPr>
        <w:t xml:space="preserve">in </w:t>
      </w:r>
      <w:r>
        <w:rPr>
          <w:rFonts w:ascii="Arial;sans-serif" w:hAnsi="Arial;sans-serif"/>
          <w:b w:val="false"/>
          <w:color w:val="1C1C1C"/>
          <w:sz w:val="17"/>
        </w:rPr>
        <w:t xml:space="preserve">the </w:t>
      </w:r>
      <w:r>
        <w:rPr>
          <w:rFonts w:ascii="Arial;sans-serif" w:hAnsi="Arial;sans-serif"/>
          <w:b w:val="false"/>
          <w:color w:val="313131"/>
          <w:sz w:val="17"/>
        </w:rPr>
        <w:t xml:space="preserve">event of </w:t>
      </w:r>
      <w:r>
        <w:rPr>
          <w:rFonts w:ascii="Arial;sans-serif" w:hAnsi="Arial;sans-serif"/>
          <w:b w:val="false"/>
          <w:color w:val="1C1C1C"/>
          <w:sz w:val="17"/>
        </w:rPr>
        <w:t xml:space="preserve">my </w:t>
      </w:r>
      <w:r>
        <w:rPr>
          <w:rFonts w:ascii="Arial;sans-serif" w:hAnsi="Arial;sans-serif"/>
          <w:b w:val="false"/>
          <w:color w:val="313131"/>
          <w:sz w:val="17"/>
        </w:rPr>
        <w:t xml:space="preserve">breach or </w:t>
      </w:r>
      <w:r>
        <w:rPr>
          <w:rFonts w:ascii="Arial;sans-serif" w:hAnsi="Arial;sans-serif"/>
          <w:b w:val="false"/>
          <w:color w:val="1C1C1C"/>
          <w:sz w:val="17"/>
        </w:rPr>
        <w:t xml:space="preserve">threatened breach </w:t>
      </w:r>
      <w:r>
        <w:rPr>
          <w:rFonts w:ascii="Arial;sans-serif" w:hAnsi="Arial;sans-serif"/>
          <w:b w:val="false"/>
          <w:color w:val="313131"/>
          <w:sz w:val="17"/>
        </w:rPr>
        <w:t xml:space="preserve">of </w:t>
      </w:r>
      <w:r>
        <w:rPr>
          <w:rFonts w:ascii="Arial;sans-serif" w:hAnsi="Arial;sans-serif"/>
          <w:b w:val="false"/>
          <w:color w:val="1C1C1C"/>
          <w:sz w:val="17"/>
        </w:rPr>
        <w:t xml:space="preserve">my agreements </w:t>
      </w:r>
      <w:r>
        <w:rPr>
          <w:rFonts w:ascii="Arial;sans-serif" w:hAnsi="Arial;sans-serif"/>
          <w:b w:val="false"/>
          <w:color w:val="313131"/>
          <w:sz w:val="17"/>
        </w:rPr>
        <w:t xml:space="preserve">set forth </w:t>
      </w:r>
      <w:r>
        <w:rPr>
          <w:rFonts w:ascii="Arial;sans-serif" w:hAnsi="Arial;sans-serif"/>
          <w:b w:val="false"/>
          <w:color w:val="1C1C1C"/>
          <w:sz w:val="17"/>
        </w:rPr>
        <w:t xml:space="preserve">in </w:t>
      </w:r>
      <w:r>
        <w:rPr>
          <w:rFonts w:ascii="Arial;sans-serif" w:hAnsi="Arial;sans-serif"/>
          <w:b w:val="false"/>
          <w:color w:val="0A0A0A"/>
          <w:sz w:val="17"/>
        </w:rPr>
        <w:t xml:space="preserve">this </w:t>
      </w:r>
      <w:r>
        <w:rPr>
          <w:rFonts w:ascii="Arial;sans-serif" w:hAnsi="Arial;sans-serif"/>
          <w:b w:val="false"/>
          <w:color w:val="313131"/>
          <w:sz w:val="17"/>
        </w:rPr>
        <w:t xml:space="preserve">Agreement, </w:t>
      </w:r>
      <w:r>
        <w:rPr>
          <w:rFonts w:ascii="Arial;sans-serif" w:hAnsi="Arial;sans-serif"/>
          <w:b w:val="false"/>
          <w:color w:val="1C1C1C"/>
          <w:sz w:val="17"/>
        </w:rPr>
        <w:t xml:space="preserve">the </w:t>
      </w:r>
      <w:r>
        <w:rPr>
          <w:rFonts w:ascii="Arial;sans-serif" w:hAnsi="Arial;sans-serif"/>
          <w:b w:val="false"/>
          <w:color w:val="313131"/>
          <w:sz w:val="17"/>
        </w:rPr>
        <w:t xml:space="preserve">Company </w:t>
      </w:r>
      <w:r>
        <w:rPr>
          <w:rFonts w:ascii="Arial;sans-serif" w:hAnsi="Arial;sans-serif"/>
          <w:b w:val="false"/>
          <w:color w:val="1C1C1C"/>
          <w:sz w:val="17"/>
        </w:rPr>
        <w:t xml:space="preserve">will </w:t>
      </w:r>
      <w:r>
        <w:rPr>
          <w:rFonts w:ascii="Arial;sans-serif" w:hAnsi="Arial;sans-serif"/>
          <w:b w:val="false"/>
          <w:color w:val="313131"/>
          <w:sz w:val="17"/>
        </w:rPr>
        <w:t xml:space="preserve">suffer </w:t>
      </w:r>
      <w:r>
        <w:rPr>
          <w:rFonts w:ascii="Arial;sans-serif" w:hAnsi="Arial;sans-serif"/>
          <w:b w:val="false"/>
          <w:color w:val="1C1C1C"/>
          <w:sz w:val="17"/>
        </w:rPr>
        <w:t xml:space="preserve">irreparable harm, and monetary damages </w:t>
      </w:r>
      <w:r>
        <w:rPr>
          <w:rFonts w:ascii="Arial;sans-serif" w:hAnsi="Arial;sans-serif"/>
          <w:b w:val="false"/>
          <w:color w:val="313131"/>
          <w:sz w:val="17"/>
        </w:rPr>
        <w:t xml:space="preserve">will be impossible </w:t>
      </w:r>
      <w:r>
        <w:rPr>
          <w:rFonts w:ascii="Arial;sans-serif" w:hAnsi="Arial;sans-serif"/>
          <w:b w:val="false"/>
          <w:color w:val="1C1C1C"/>
          <w:sz w:val="17"/>
        </w:rPr>
        <w:t xml:space="preserve">to </w:t>
      </w:r>
      <w:r>
        <w:rPr>
          <w:rFonts w:ascii="Arial;sans-serif" w:hAnsi="Arial;sans-serif"/>
          <w:b w:val="false"/>
          <w:color w:val="313131"/>
          <w:sz w:val="17"/>
        </w:rPr>
        <w:t xml:space="preserve">ascertain and/or </w:t>
      </w:r>
      <w:r>
        <w:rPr>
          <w:rFonts w:ascii="Arial;sans-serif" w:hAnsi="Arial;sans-serif"/>
          <w:b w:val="false"/>
          <w:color w:val="1C1C1C"/>
          <w:sz w:val="17"/>
        </w:rPr>
        <w:t xml:space="preserve">inadequate to </w:t>
      </w:r>
      <w:r>
        <w:rPr>
          <w:rFonts w:ascii="Arial;sans-serif" w:hAnsi="Arial;sans-serif"/>
          <w:b w:val="false"/>
          <w:color w:val="313131"/>
          <w:sz w:val="17"/>
        </w:rPr>
        <w:t xml:space="preserve">compensate </w:t>
      </w:r>
      <w:r>
        <w:rPr>
          <w:rFonts w:ascii="Arial;sans-serif" w:hAnsi="Arial;sans-serif"/>
          <w:b w:val="false"/>
          <w:color w:val="1C1C1C"/>
          <w:sz w:val="17"/>
        </w:rPr>
        <w:t xml:space="preserve">it </w:t>
      </w:r>
      <w:r>
        <w:rPr>
          <w:rFonts w:ascii="Arial;sans-serif" w:hAnsi="Arial;sans-serif"/>
          <w:b w:val="false"/>
          <w:color w:val="313131"/>
          <w:sz w:val="17"/>
        </w:rPr>
        <w:t xml:space="preserve">for such </w:t>
      </w:r>
      <w:r>
        <w:rPr>
          <w:rFonts w:ascii="Arial;sans-serif" w:hAnsi="Arial;sans-serif"/>
          <w:b w:val="false"/>
          <w:color w:val="1C1C1C"/>
          <w:sz w:val="17"/>
        </w:rPr>
        <w:t xml:space="preserve">breach. Therefore, in the </w:t>
      </w:r>
      <w:r>
        <w:rPr>
          <w:rFonts w:ascii="Arial;sans-serif" w:hAnsi="Arial;sans-serif"/>
          <w:b w:val="false"/>
          <w:color w:val="313131"/>
          <w:sz w:val="17"/>
        </w:rPr>
        <w:t xml:space="preserve">event of </w:t>
      </w:r>
      <w:r>
        <w:rPr>
          <w:rFonts w:ascii="Arial;sans-serif" w:hAnsi="Arial;sans-serif"/>
          <w:b w:val="false"/>
          <w:color w:val="1C1C1C"/>
          <w:sz w:val="17"/>
        </w:rPr>
        <w:t xml:space="preserve">my breach </w:t>
      </w:r>
      <w:r>
        <w:rPr>
          <w:rFonts w:ascii="Arial;sans-serif" w:hAnsi="Arial;sans-serif"/>
          <w:b w:val="false"/>
          <w:color w:val="313131"/>
          <w:sz w:val="17"/>
        </w:rPr>
        <w:t xml:space="preserve">or </w:t>
      </w:r>
      <w:r>
        <w:rPr>
          <w:rFonts w:ascii="Arial;sans-serif" w:hAnsi="Arial;sans-serif"/>
          <w:b w:val="false"/>
          <w:color w:val="1C1C1C"/>
          <w:sz w:val="17"/>
        </w:rPr>
        <w:t xml:space="preserve">threatened breach </w:t>
      </w:r>
      <w:r>
        <w:rPr>
          <w:rFonts w:ascii="Arial;sans-serif" w:hAnsi="Arial;sans-serif"/>
          <w:b w:val="false"/>
          <w:color w:val="313131"/>
          <w:sz w:val="17"/>
        </w:rPr>
        <w:t xml:space="preserve">of any of </w:t>
      </w:r>
      <w:r>
        <w:rPr>
          <w:rFonts w:ascii="Arial;sans-serif" w:hAnsi="Arial;sans-serif"/>
          <w:b w:val="false"/>
          <w:color w:val="1C1C1C"/>
          <w:sz w:val="17"/>
        </w:rPr>
        <w:t xml:space="preserve">my </w:t>
      </w:r>
      <w:r>
        <w:rPr>
          <w:rFonts w:ascii="Arial;sans-serif" w:hAnsi="Arial;sans-serif"/>
          <w:b w:val="false"/>
          <w:color w:val="313131"/>
          <w:sz w:val="17"/>
        </w:rPr>
        <w:t xml:space="preserve">obligations, </w:t>
      </w:r>
      <w:r>
        <w:rPr>
          <w:rFonts w:ascii="Arial;sans-serif" w:hAnsi="Arial;sans-serif"/>
          <w:b w:val="false"/>
          <w:color w:val="1C1C1C"/>
          <w:sz w:val="17"/>
        </w:rPr>
        <w:t xml:space="preserve">the </w:t>
      </w:r>
      <w:r>
        <w:rPr>
          <w:rFonts w:ascii="Arial;sans-serif" w:hAnsi="Arial;sans-serif"/>
          <w:b w:val="false"/>
          <w:color w:val="313131"/>
          <w:sz w:val="17"/>
        </w:rPr>
        <w:t xml:space="preserve">Company, </w:t>
      </w:r>
      <w:r>
        <w:rPr>
          <w:rFonts w:ascii="Arial;sans-serif" w:hAnsi="Arial;sans-serif"/>
          <w:b w:val="false"/>
          <w:color w:val="0A0A0A"/>
          <w:sz w:val="17"/>
        </w:rPr>
        <w:t xml:space="preserve">in </w:t>
      </w:r>
      <w:r>
        <w:rPr>
          <w:rFonts w:ascii="Arial;sans-serif" w:hAnsi="Arial;sans-serif"/>
          <w:b w:val="false"/>
          <w:color w:val="313131"/>
          <w:sz w:val="17"/>
        </w:rPr>
        <w:t xml:space="preserve">addition </w:t>
      </w:r>
      <w:r>
        <w:rPr>
          <w:rFonts w:ascii="Arial;sans-serif" w:hAnsi="Arial;sans-serif"/>
          <w:b w:val="false"/>
          <w:color w:val="1C1C1C"/>
          <w:sz w:val="17"/>
        </w:rPr>
        <w:t xml:space="preserve">to </w:t>
      </w:r>
      <w:r>
        <w:rPr>
          <w:rFonts w:ascii="Arial;sans-serif" w:hAnsi="Arial;sans-serif"/>
          <w:b w:val="false"/>
          <w:color w:val="313131"/>
          <w:sz w:val="17"/>
        </w:rPr>
        <w:t xml:space="preserve">and </w:t>
      </w:r>
      <w:r>
        <w:rPr>
          <w:rFonts w:ascii="Arial;sans-serif" w:hAnsi="Arial;sans-serif"/>
          <w:b w:val="false"/>
          <w:color w:val="1C1C1C"/>
          <w:sz w:val="17"/>
        </w:rPr>
        <w:t xml:space="preserve">not in </w:t>
      </w:r>
      <w:r>
        <w:rPr>
          <w:rFonts w:ascii="Arial;sans-serif" w:hAnsi="Arial;sans-serif"/>
          <w:b w:val="false"/>
          <w:color w:val="0A0A0A"/>
          <w:sz w:val="17"/>
        </w:rPr>
        <w:t xml:space="preserve">limitation </w:t>
      </w:r>
      <w:r>
        <w:rPr>
          <w:rFonts w:ascii="Arial;sans-serif" w:hAnsi="Arial;sans-serif"/>
          <w:b w:val="false"/>
          <w:color w:val="313131"/>
          <w:sz w:val="17"/>
        </w:rPr>
        <w:t xml:space="preserve">of other </w:t>
      </w:r>
      <w:r>
        <w:rPr>
          <w:rFonts w:ascii="Arial;sans-serif" w:hAnsi="Arial;sans-serif"/>
          <w:b w:val="false"/>
          <w:color w:val="1C1C1C"/>
          <w:sz w:val="17"/>
        </w:rPr>
        <w:t xml:space="preserve">rights, </w:t>
      </w:r>
      <w:r>
        <w:rPr>
          <w:rFonts w:ascii="Arial;sans-serif" w:hAnsi="Arial;sans-serif"/>
          <w:b w:val="false"/>
          <w:color w:val="313131"/>
          <w:sz w:val="17"/>
        </w:rPr>
        <w:t xml:space="preserve">shall </w:t>
      </w:r>
      <w:r>
        <w:rPr>
          <w:rFonts w:ascii="Arial;sans-serif" w:hAnsi="Arial;sans-serif"/>
          <w:b w:val="false"/>
          <w:color w:val="1C1C1C"/>
          <w:sz w:val="17"/>
        </w:rPr>
        <w:t xml:space="preserve">be </w:t>
      </w:r>
      <w:r>
        <w:rPr>
          <w:rFonts w:ascii="Arial;sans-serif" w:hAnsi="Arial;sans-serif"/>
          <w:b w:val="false"/>
          <w:color w:val="313131"/>
          <w:sz w:val="17"/>
        </w:rPr>
        <w:t xml:space="preserve">entitled </w:t>
      </w:r>
      <w:r>
        <w:rPr>
          <w:rFonts w:ascii="Arial;sans-serif" w:hAnsi="Arial;sans-serif"/>
          <w:b w:val="false"/>
          <w:color w:val="1C1C1C"/>
          <w:sz w:val="17"/>
        </w:rPr>
        <w:t xml:space="preserve">to </w:t>
      </w:r>
      <w:r>
        <w:rPr>
          <w:rFonts w:ascii="Arial;sans-serif" w:hAnsi="Arial;sans-serif"/>
          <w:b w:val="false"/>
          <w:color w:val="0A0A0A"/>
          <w:sz w:val="17"/>
        </w:rPr>
        <w:t xml:space="preserve">reasonable </w:t>
      </w:r>
      <w:r>
        <w:rPr>
          <w:rFonts w:ascii="Arial;sans-serif" w:hAnsi="Arial;sans-serif"/>
          <w:b w:val="false"/>
          <w:color w:val="313131"/>
          <w:sz w:val="17"/>
        </w:rPr>
        <w:t xml:space="preserve">attorneys' </w:t>
      </w:r>
      <w:r>
        <w:rPr>
          <w:rFonts w:ascii="Arial;sans-serif" w:hAnsi="Arial;sans-serif"/>
          <w:b w:val="false"/>
          <w:color w:val="1C1C1C"/>
          <w:sz w:val="17"/>
        </w:rPr>
        <w:t xml:space="preserve">fees incurred by the </w:t>
      </w:r>
      <w:r>
        <w:rPr>
          <w:rFonts w:ascii="Arial;sans-serif" w:hAnsi="Arial;sans-serif"/>
          <w:b w:val="false"/>
          <w:color w:val="313131"/>
          <w:sz w:val="17"/>
        </w:rPr>
        <w:t xml:space="preserve">Company </w:t>
      </w:r>
      <w:r>
        <w:rPr>
          <w:rFonts w:ascii="Arial;sans-serif" w:hAnsi="Arial;sans-serif"/>
          <w:b w:val="false"/>
          <w:color w:val="1C1C1C"/>
          <w:sz w:val="17"/>
        </w:rPr>
        <w:t xml:space="preserve">in </w:t>
      </w:r>
      <w:r>
        <w:rPr>
          <w:rFonts w:ascii="Arial;sans-serif" w:hAnsi="Arial;sans-serif"/>
          <w:b w:val="false"/>
          <w:color w:val="313131"/>
          <w:sz w:val="17"/>
        </w:rPr>
        <w:t xml:space="preserve">enforcing </w:t>
      </w:r>
      <w:r>
        <w:rPr>
          <w:rFonts w:ascii="Arial;sans-serif" w:hAnsi="Arial;sans-serif"/>
          <w:b w:val="false"/>
          <w:color w:val="1C1C1C"/>
          <w:sz w:val="17"/>
        </w:rPr>
        <w:t xml:space="preserve">its rights </w:t>
      </w:r>
      <w:r>
        <w:rPr>
          <w:rFonts w:ascii="Arial;sans-serif" w:hAnsi="Arial;sans-serif"/>
          <w:b w:val="false"/>
          <w:color w:val="313131"/>
          <w:sz w:val="17"/>
        </w:rPr>
        <w:t xml:space="preserve">and </w:t>
      </w:r>
      <w:r>
        <w:rPr>
          <w:rFonts w:ascii="Arial;sans-serif" w:hAnsi="Arial;sans-serif"/>
          <w:b w:val="false"/>
          <w:color w:val="1C1C1C"/>
          <w:sz w:val="17"/>
        </w:rPr>
        <w:t xml:space="preserve">injunctive </w:t>
      </w:r>
      <w:r>
        <w:rPr>
          <w:rFonts w:ascii="Arial;sans-serif" w:hAnsi="Arial;sans-serif"/>
          <w:b w:val="false"/>
          <w:color w:val="313131"/>
          <w:sz w:val="17"/>
        </w:rPr>
        <w:t xml:space="preserve">relief </w:t>
      </w:r>
      <w:r>
        <w:rPr>
          <w:rFonts w:ascii="Arial;sans-serif" w:hAnsi="Arial;sans-serif"/>
          <w:b w:val="false"/>
          <w:color w:val="1C1C1C"/>
          <w:sz w:val="17"/>
        </w:rPr>
        <w:t xml:space="preserve">(without </w:t>
      </w:r>
      <w:r>
        <w:rPr>
          <w:rFonts w:ascii="Arial;sans-serif" w:hAnsi="Arial;sans-serif"/>
          <w:b w:val="false"/>
          <w:color w:val="313131"/>
          <w:sz w:val="17"/>
        </w:rPr>
        <w:t xml:space="preserve">any obligation by </w:t>
      </w:r>
      <w:r>
        <w:rPr>
          <w:rFonts w:ascii="Arial;sans-serif" w:hAnsi="Arial;sans-serif"/>
          <w:b w:val="false"/>
          <w:color w:val="0A0A0A"/>
          <w:sz w:val="17"/>
        </w:rPr>
        <w:t xml:space="preserve">the </w:t>
      </w:r>
      <w:r>
        <w:rPr>
          <w:rFonts w:ascii="Arial;sans-serif" w:hAnsi="Arial;sans-serif"/>
          <w:b w:val="false"/>
          <w:color w:val="313131"/>
          <w:sz w:val="17"/>
        </w:rPr>
        <w:t xml:space="preserve">Company to post a bond) </w:t>
      </w:r>
      <w:r>
        <w:rPr>
          <w:rFonts w:ascii="Arial;sans-serif" w:hAnsi="Arial;sans-serif"/>
          <w:b w:val="false"/>
          <w:color w:val="1C1C1C"/>
          <w:sz w:val="17"/>
        </w:rPr>
        <w:t xml:space="preserve">in </w:t>
      </w:r>
      <w:r>
        <w:rPr>
          <w:rFonts w:ascii="Arial;sans-serif" w:hAnsi="Arial;sans-serif"/>
          <w:b w:val="false"/>
          <w:color w:val="313131"/>
          <w:sz w:val="17"/>
        </w:rPr>
        <w:t xml:space="preserve">order </w:t>
      </w:r>
      <w:r>
        <w:rPr>
          <w:rFonts w:ascii="Arial;sans-serif" w:hAnsi="Arial;sans-serif"/>
          <w:b w:val="false"/>
          <w:color w:val="1C1C1C"/>
          <w:sz w:val="17"/>
        </w:rPr>
        <w:t xml:space="preserve">to restrain </w:t>
      </w:r>
      <w:r>
        <w:rPr>
          <w:rFonts w:ascii="Arial;sans-serif" w:hAnsi="Arial;sans-serif"/>
          <w:b w:val="false"/>
          <w:color w:val="313131"/>
          <w:sz w:val="17"/>
        </w:rPr>
        <w:t xml:space="preserve">any such breach or </w:t>
      </w:r>
      <w:r>
        <w:rPr>
          <w:rFonts w:ascii="Arial;sans-serif" w:hAnsi="Arial;sans-serif"/>
          <w:b w:val="false"/>
          <w:color w:val="1C1C1C"/>
          <w:sz w:val="17"/>
        </w:rPr>
        <w:t xml:space="preserve">threatened breach </w:t>
      </w:r>
      <w:r>
        <w:rPr>
          <w:rFonts w:ascii="Arial;sans-serif" w:hAnsi="Arial;sans-serif"/>
          <w:b w:val="false"/>
          <w:color w:val="313131"/>
          <w:sz w:val="17"/>
        </w:rPr>
        <w:t xml:space="preserve">by </w:t>
      </w:r>
      <w:r>
        <w:rPr>
          <w:rFonts w:ascii="Arial;sans-serif" w:hAnsi="Arial;sans-serif"/>
          <w:b w:val="false"/>
          <w:color w:val="1C1C1C"/>
          <w:sz w:val="17"/>
        </w:rPr>
        <w:t xml:space="preserve">me. </w:t>
      </w:r>
      <w:r>
        <w:rPr>
          <w:rFonts w:ascii="Arial;sans-serif" w:hAnsi="Arial;sans-serif"/>
          <w:b w:val="false"/>
          <w:color w:val="0A0A0A"/>
          <w:sz w:val="17"/>
        </w:rPr>
        <w:t xml:space="preserve">In </w:t>
      </w:r>
      <w:r>
        <w:rPr>
          <w:rFonts w:ascii="Arial;sans-serif" w:hAnsi="Arial;sans-serif"/>
          <w:b w:val="false"/>
          <w:color w:val="1C1C1C"/>
          <w:sz w:val="17"/>
        </w:rPr>
        <w:t xml:space="preserve">the event </w:t>
      </w:r>
      <w:r>
        <w:rPr>
          <w:rFonts w:ascii="Arial;sans-serif" w:hAnsi="Arial;sans-serif"/>
          <w:b w:val="false"/>
          <w:color w:val="313131"/>
          <w:sz w:val="17"/>
        </w:rPr>
        <w:t xml:space="preserve">a court of competent </w:t>
      </w:r>
      <w:r>
        <w:rPr>
          <w:rFonts w:ascii="Arial;sans-serif" w:hAnsi="Arial;sans-serif"/>
          <w:b w:val="false"/>
          <w:color w:val="1C1C1C"/>
          <w:sz w:val="17"/>
        </w:rPr>
        <w:t xml:space="preserve">jurisdiction </w:t>
      </w:r>
      <w:r>
        <w:rPr>
          <w:rFonts w:ascii="Arial;sans-serif" w:hAnsi="Arial;sans-serif"/>
          <w:b w:val="false"/>
          <w:color w:val="313131"/>
          <w:sz w:val="17"/>
        </w:rPr>
        <w:t xml:space="preserve">determines </w:t>
      </w:r>
      <w:r>
        <w:rPr>
          <w:rFonts w:ascii="Arial;sans-serif" w:hAnsi="Arial;sans-serif"/>
          <w:b w:val="false"/>
          <w:color w:val="1C1C1C"/>
          <w:sz w:val="17"/>
        </w:rPr>
        <w:t xml:space="preserve">that I have </w:t>
      </w:r>
      <w:r>
        <w:rPr>
          <w:rFonts w:ascii="Arial;sans-serif" w:hAnsi="Arial;sans-serif"/>
          <w:b w:val="false"/>
          <w:color w:val="313131"/>
          <w:sz w:val="17"/>
        </w:rPr>
        <w:t xml:space="preserve">violated any provision of </w:t>
      </w:r>
      <w:r>
        <w:rPr>
          <w:rFonts w:ascii="Arial;sans-serif" w:hAnsi="Arial;sans-serif"/>
          <w:b w:val="false"/>
          <w:color w:val="1C1C1C"/>
          <w:sz w:val="17"/>
        </w:rPr>
        <w:t xml:space="preserve">this </w:t>
      </w:r>
      <w:r>
        <w:rPr>
          <w:rFonts w:ascii="Arial;sans-serif" w:hAnsi="Arial;sans-serif"/>
          <w:b w:val="false"/>
          <w:color w:val="313131"/>
          <w:sz w:val="17"/>
        </w:rPr>
        <w:t xml:space="preserve">Agreement, the </w:t>
      </w:r>
      <w:r>
        <w:rPr>
          <w:rFonts w:ascii="Arial;sans-serif" w:hAnsi="Arial;sans-serif"/>
          <w:b w:val="false"/>
          <w:color w:val="1C1C1C"/>
          <w:sz w:val="17"/>
        </w:rPr>
        <w:t xml:space="preserve">running </w:t>
      </w:r>
      <w:r>
        <w:rPr>
          <w:rFonts w:ascii="Arial;sans-serif" w:hAnsi="Arial;sans-serif"/>
          <w:b w:val="false"/>
          <w:color w:val="313131"/>
          <w:sz w:val="17"/>
        </w:rPr>
        <w:t xml:space="preserve">of </w:t>
      </w:r>
      <w:r>
        <w:rPr>
          <w:rFonts w:ascii="Arial;sans-serif" w:hAnsi="Arial;sans-serif"/>
          <w:b w:val="false"/>
          <w:color w:val="1C1C1C"/>
          <w:sz w:val="17"/>
        </w:rPr>
        <w:t xml:space="preserve">the time period </w:t>
      </w:r>
      <w:r>
        <w:rPr>
          <w:rFonts w:ascii="Arial;sans-serif" w:hAnsi="Arial;sans-serif"/>
          <w:b w:val="false"/>
          <w:color w:val="313131"/>
          <w:sz w:val="17"/>
        </w:rPr>
        <w:t xml:space="preserve">of </w:t>
      </w:r>
      <w:r>
        <w:rPr>
          <w:rFonts w:ascii="Arial;sans-serif" w:hAnsi="Arial;sans-serif"/>
          <w:b w:val="false"/>
          <w:color w:val="1C1C1C"/>
          <w:sz w:val="17"/>
        </w:rPr>
        <w:t xml:space="preserve">the provision </w:t>
      </w:r>
      <w:r>
        <w:rPr>
          <w:rFonts w:ascii="Arial;sans-serif" w:hAnsi="Arial;sans-serif"/>
          <w:b w:val="false"/>
          <w:color w:val="313131"/>
          <w:sz w:val="17"/>
        </w:rPr>
        <w:t xml:space="preserve">so violated shall </w:t>
      </w:r>
      <w:r>
        <w:rPr>
          <w:rFonts w:ascii="Arial;sans-serif" w:hAnsi="Arial;sans-serif"/>
          <w:b w:val="false"/>
          <w:color w:val="1C1C1C"/>
          <w:sz w:val="17"/>
        </w:rPr>
        <w:t xml:space="preserve">be </w:t>
      </w:r>
      <w:r>
        <w:rPr>
          <w:rFonts w:ascii="Arial;sans-serif" w:hAnsi="Arial;sans-serif"/>
          <w:b w:val="false"/>
          <w:color w:val="313131"/>
          <w:sz w:val="17"/>
        </w:rPr>
        <w:t xml:space="preserve">automatically suspended as of </w:t>
      </w:r>
      <w:r>
        <w:rPr>
          <w:rFonts w:ascii="Arial;sans-serif" w:hAnsi="Arial;sans-serif"/>
          <w:b w:val="false"/>
          <w:color w:val="0A0A0A"/>
          <w:sz w:val="17"/>
        </w:rPr>
        <w:t xml:space="preserve">the </w:t>
      </w:r>
      <w:r>
        <w:rPr>
          <w:rFonts w:ascii="Arial;sans-serif" w:hAnsi="Arial;sans-serif"/>
          <w:b w:val="false"/>
          <w:color w:val="313131"/>
          <w:sz w:val="17"/>
        </w:rPr>
        <w:t xml:space="preserve">date of such violation </w:t>
      </w:r>
      <w:r>
        <w:rPr>
          <w:rFonts w:ascii="Arial;sans-serif" w:hAnsi="Arial;sans-serif"/>
          <w:b w:val="false"/>
          <w:color w:val="1C1C1C"/>
          <w:sz w:val="17"/>
        </w:rPr>
        <w:t xml:space="preserve">until </w:t>
      </w:r>
      <w:r>
        <w:rPr>
          <w:rFonts w:ascii="Arial;sans-serif" w:hAnsi="Arial;sans-serif"/>
          <w:b w:val="false"/>
          <w:color w:val="313131"/>
          <w:sz w:val="17"/>
        </w:rPr>
        <w:t xml:space="preserve">such violation </w:t>
      </w:r>
      <w:r>
        <w:rPr>
          <w:rFonts w:ascii="Arial;sans-serif" w:hAnsi="Arial;sans-serif"/>
          <w:b w:val="false"/>
          <w:color w:val="1C1C1C"/>
          <w:sz w:val="17"/>
        </w:rPr>
        <w:t xml:space="preserve">has permanently </w:t>
      </w:r>
      <w:r>
        <w:rPr>
          <w:rFonts w:ascii="Arial;sans-serif" w:hAnsi="Arial;sans-serif"/>
          <w:b w:val="false"/>
          <w:color w:val="313131"/>
          <w:sz w:val="17"/>
        </w:rPr>
        <w:t xml:space="preserve">ceased, after which </w:t>
      </w:r>
      <w:r>
        <w:rPr>
          <w:rFonts w:ascii="Arial;sans-serif" w:hAnsi="Arial;sans-serif"/>
          <w:b w:val="false"/>
          <w:color w:val="1C1C1C"/>
          <w:sz w:val="17"/>
        </w:rPr>
        <w:t xml:space="preserve">the time period </w:t>
      </w:r>
      <w:r>
        <w:rPr>
          <w:rFonts w:ascii="Arial;sans-serif" w:hAnsi="Arial;sans-serif"/>
          <w:b w:val="false"/>
          <w:color w:val="313131"/>
          <w:sz w:val="17"/>
        </w:rPr>
        <w:t xml:space="preserve">shall </w:t>
      </w:r>
      <w:r>
        <w:rPr>
          <w:rFonts w:ascii="Arial;sans-serif" w:hAnsi="Arial;sans-serif"/>
          <w:b w:val="false"/>
          <w:color w:val="0A0A0A"/>
          <w:sz w:val="17"/>
        </w:rPr>
        <w:t xml:space="preserve">recommence </w:t>
      </w:r>
      <w:r>
        <w:rPr>
          <w:rFonts w:ascii="Arial;sans-serif" w:hAnsi="Arial;sans-serif"/>
          <w:b w:val="false"/>
          <w:color w:val="313131"/>
          <w:sz w:val="17"/>
        </w:rPr>
        <w:t xml:space="preserve">and shall </w:t>
      </w:r>
      <w:r>
        <w:rPr>
          <w:rFonts w:ascii="Arial;sans-serif" w:hAnsi="Arial;sans-serif"/>
          <w:b w:val="false"/>
          <w:color w:val="1C1C1C"/>
          <w:sz w:val="17"/>
        </w:rPr>
        <w:t xml:space="preserve">run for the </w:t>
      </w:r>
      <w:r>
        <w:rPr>
          <w:rFonts w:ascii="Arial;sans-serif" w:hAnsi="Arial;sans-serif"/>
          <w:b w:val="false"/>
          <w:color w:val="313131"/>
          <w:sz w:val="17"/>
        </w:rPr>
        <w:t xml:space="preserve">remainder of </w:t>
      </w:r>
      <w:r>
        <w:rPr>
          <w:rFonts w:ascii="Arial;sans-serif" w:hAnsi="Arial;sans-serif"/>
          <w:b w:val="false"/>
          <w:color w:val="1C1C1C"/>
          <w:sz w:val="17"/>
        </w:rPr>
        <w:t>its term.</w:t>
      </w:r>
    </w:p>
    <w:p>
      <w:pPr>
        <w:pStyle w:val="TextBody"/>
        <w:spacing w:before="0" w:after="0"/>
        <w:rPr/>
      </w:pPr>
      <w:r>
        <w:rPr/>
      </w:r>
    </w:p>
    <w:p>
      <w:pPr>
        <w:pStyle w:val="TextBody"/>
        <w:spacing w:lineRule="auto" w:line="240" w:before="95" w:after="283"/>
        <w:rPr/>
      </w:pPr>
      <w:r>
        <w:rPr>
          <w:rFonts w:ascii="Arial;sans-serif" w:hAnsi="Arial;sans-serif"/>
          <w:b w:val="false"/>
          <w:color w:val="1C1C1C"/>
          <w:sz w:val="17"/>
          <w:u w:val="single"/>
        </w:rPr>
        <w:t xml:space="preserve">Jury </w:t>
      </w:r>
      <w:r>
        <w:rPr>
          <w:rFonts w:ascii="Arial;sans-serif" w:hAnsi="Arial;sans-serif"/>
          <w:b w:val="false"/>
          <w:color w:val="313131"/>
          <w:sz w:val="17"/>
          <w:u w:val="single"/>
        </w:rPr>
        <w:t xml:space="preserve">Waiver </w:t>
      </w:r>
      <w:r>
        <w:rPr>
          <w:rFonts w:ascii="Arial;sans-serif" w:hAnsi="Arial;sans-serif"/>
          <w:b w:val="false"/>
          <w:color w:val="1C1C1C"/>
          <w:sz w:val="17"/>
          <w:u w:val="single"/>
        </w:rPr>
        <w:t>and Disputes</w:t>
      </w:r>
    </w:p>
    <w:p>
      <w:pPr>
        <w:pStyle w:val="TextBody"/>
        <w:spacing w:before="5" w:after="283"/>
        <w:rPr/>
      </w:pPr>
      <w:r>
        <w:rPr/>
      </w:r>
    </w:p>
    <w:p>
      <w:pPr>
        <w:pStyle w:val="TextBody"/>
        <w:spacing w:lineRule="auto" w:line="295" w:before="0" w:after="0"/>
        <w:ind w:left="0" w:right="0" w:hanging="348"/>
        <w:rPr/>
      </w:pPr>
      <w:r>
        <w:rPr>
          <w:rFonts w:ascii="Arial;sans-serif" w:hAnsi="Arial;sans-serif"/>
          <w:b w:val="false"/>
          <w:color w:val="1C1C1C"/>
          <w:sz w:val="17"/>
        </w:rPr>
        <w:t xml:space="preserve">18.If </w:t>
      </w:r>
      <w:r>
        <w:rPr>
          <w:rFonts w:ascii="Arial;sans-serif" w:hAnsi="Arial;sans-serif"/>
          <w:b w:val="false"/>
          <w:color w:val="313131"/>
          <w:sz w:val="17"/>
        </w:rPr>
        <w:t xml:space="preserve">a </w:t>
      </w:r>
      <w:r>
        <w:rPr>
          <w:rFonts w:ascii="Arial;sans-serif" w:hAnsi="Arial;sans-serif"/>
          <w:b w:val="false"/>
          <w:color w:val="1C1C1C"/>
          <w:sz w:val="17"/>
        </w:rPr>
        <w:t xml:space="preserve">Dispute </w:t>
      </w:r>
      <w:r>
        <w:rPr>
          <w:rFonts w:ascii="Arial;sans-serif" w:hAnsi="Arial;sans-serif"/>
          <w:b w:val="false"/>
          <w:color w:val="313131"/>
          <w:sz w:val="17"/>
        </w:rPr>
        <w:t xml:space="preserve">arises </w:t>
      </w:r>
      <w:r>
        <w:rPr>
          <w:rFonts w:ascii="Arial;sans-serif" w:hAnsi="Arial;sans-serif"/>
          <w:b w:val="false"/>
          <w:color w:val="1C1C1C"/>
          <w:sz w:val="17"/>
        </w:rPr>
        <w:t xml:space="preserve">under this </w:t>
      </w:r>
      <w:r>
        <w:rPr>
          <w:rFonts w:ascii="Arial;sans-serif" w:hAnsi="Arial;sans-serif"/>
          <w:b w:val="false"/>
          <w:color w:val="313131"/>
          <w:sz w:val="17"/>
        </w:rPr>
        <w:t xml:space="preserve">Agreement or </w:t>
      </w:r>
      <w:r>
        <w:rPr>
          <w:rFonts w:ascii="Arial;sans-serif" w:hAnsi="Arial;sans-serif"/>
          <w:b w:val="false"/>
          <w:color w:val="1C1C1C"/>
          <w:sz w:val="17"/>
        </w:rPr>
        <w:t xml:space="preserve">in </w:t>
      </w:r>
      <w:r>
        <w:rPr>
          <w:rFonts w:ascii="Arial;sans-serif" w:hAnsi="Arial;sans-serif"/>
          <w:b w:val="false"/>
          <w:color w:val="313131"/>
          <w:sz w:val="17"/>
        </w:rPr>
        <w:t xml:space="preserve">connection </w:t>
      </w:r>
      <w:r>
        <w:rPr>
          <w:rFonts w:ascii="Arial;sans-serif" w:hAnsi="Arial;sans-serif"/>
          <w:b w:val="false"/>
          <w:color w:val="1C1C1C"/>
          <w:sz w:val="17"/>
        </w:rPr>
        <w:t xml:space="preserve">with my </w:t>
      </w:r>
      <w:r>
        <w:rPr>
          <w:rFonts w:ascii="Arial;sans-serif" w:hAnsi="Arial;sans-serif"/>
          <w:b w:val="false"/>
          <w:color w:val="313131"/>
          <w:sz w:val="17"/>
        </w:rPr>
        <w:t xml:space="preserve">employment, </w:t>
      </w:r>
      <w:r>
        <w:rPr>
          <w:rFonts w:ascii="Arial;sans-serif" w:hAnsi="Arial;sans-serif"/>
          <w:b w:val="false"/>
          <w:color w:val="1C1C1C"/>
          <w:sz w:val="17"/>
        </w:rPr>
        <w:t xml:space="preserve">then </w:t>
      </w:r>
      <w:r>
        <w:rPr>
          <w:rFonts w:ascii="Arial;sans-serif" w:hAnsi="Arial;sans-serif"/>
          <w:b w:val="false"/>
          <w:color w:val="313131"/>
          <w:sz w:val="17"/>
        </w:rPr>
        <w:t xml:space="preserve">any </w:t>
      </w:r>
      <w:r>
        <w:rPr>
          <w:rFonts w:ascii="Arial;sans-serif" w:hAnsi="Arial;sans-serif"/>
          <w:b w:val="false"/>
          <w:color w:val="1C1C1C"/>
          <w:sz w:val="17"/>
        </w:rPr>
        <w:t xml:space="preserve">litigation </w:t>
      </w:r>
      <w:r>
        <w:rPr>
          <w:rFonts w:ascii="Arial;sans-serif" w:hAnsi="Arial;sans-serif"/>
          <w:b w:val="false"/>
          <w:color w:val="313131"/>
          <w:sz w:val="17"/>
        </w:rPr>
        <w:t xml:space="preserve">commenced </w:t>
      </w:r>
      <w:r>
        <w:rPr>
          <w:rFonts w:ascii="Arial;sans-serif" w:hAnsi="Arial;sans-serif"/>
          <w:b w:val="false"/>
          <w:color w:val="1C1C1C"/>
          <w:sz w:val="17"/>
        </w:rPr>
        <w:t xml:space="preserve">by </w:t>
      </w:r>
      <w:r>
        <w:rPr>
          <w:rFonts w:ascii="Arial;sans-serif" w:hAnsi="Arial;sans-serif"/>
          <w:b w:val="false"/>
          <w:color w:val="313131"/>
          <w:sz w:val="17"/>
        </w:rPr>
        <w:t xml:space="preserve">either of </w:t>
      </w:r>
      <w:r>
        <w:rPr>
          <w:rFonts w:ascii="Arial;sans-serif" w:hAnsi="Arial;sans-serif"/>
          <w:b w:val="false"/>
          <w:color w:val="1C1C1C"/>
          <w:sz w:val="17"/>
        </w:rPr>
        <w:t xml:space="preserve">us </w:t>
      </w:r>
      <w:r>
        <w:rPr>
          <w:rFonts w:ascii="Arial;sans-serif" w:hAnsi="Arial;sans-serif"/>
          <w:b w:val="false"/>
          <w:color w:val="313131"/>
          <w:sz w:val="17"/>
        </w:rPr>
        <w:t xml:space="preserve">shall </w:t>
      </w:r>
      <w:r>
        <w:rPr>
          <w:rFonts w:ascii="Arial;sans-serif" w:hAnsi="Arial;sans-serif"/>
          <w:b w:val="false"/>
          <w:color w:val="1C1C1C"/>
          <w:sz w:val="17"/>
        </w:rPr>
        <w:t xml:space="preserve">be </w:t>
      </w:r>
      <w:r>
        <w:rPr>
          <w:rFonts w:ascii="Arial;sans-serif" w:hAnsi="Arial;sans-serif"/>
          <w:b w:val="false"/>
          <w:color w:val="313131"/>
          <w:sz w:val="17"/>
        </w:rPr>
        <w:t xml:space="preserve">resolved </w:t>
      </w:r>
      <w:r>
        <w:rPr>
          <w:rFonts w:ascii="Arial;sans-serif" w:hAnsi="Arial;sans-serif"/>
          <w:b w:val="false"/>
          <w:color w:val="1C1C1C"/>
          <w:sz w:val="17"/>
        </w:rPr>
        <w:t xml:space="preserve">by </w:t>
      </w:r>
      <w:r>
        <w:rPr>
          <w:rFonts w:ascii="Arial;sans-serif" w:hAnsi="Arial;sans-serif"/>
          <w:b w:val="false"/>
          <w:color w:val="313131"/>
          <w:sz w:val="17"/>
        </w:rPr>
        <w:t xml:space="preserve">a </w:t>
      </w:r>
      <w:r>
        <w:rPr>
          <w:rFonts w:ascii="Arial;sans-serif" w:hAnsi="Arial;sans-serif"/>
          <w:b w:val="false"/>
          <w:color w:val="1C1C1C"/>
          <w:sz w:val="17"/>
        </w:rPr>
        <w:t xml:space="preserve">Judge </w:t>
      </w:r>
      <w:r>
        <w:rPr>
          <w:rFonts w:ascii="Arial;sans-serif" w:hAnsi="Arial;sans-serif"/>
          <w:b w:val="false"/>
          <w:color w:val="313131"/>
          <w:sz w:val="17"/>
        </w:rPr>
        <w:t xml:space="preserve">alone (regardless of </w:t>
      </w:r>
      <w:r>
        <w:rPr>
          <w:rFonts w:ascii="Arial;sans-serif" w:hAnsi="Arial;sans-serif"/>
          <w:b w:val="false"/>
          <w:color w:val="1C1C1C"/>
          <w:sz w:val="17"/>
        </w:rPr>
        <w:t xml:space="preserve">the </w:t>
      </w:r>
      <w:r>
        <w:rPr>
          <w:rFonts w:ascii="Arial;sans-serif" w:hAnsi="Arial;sans-serif"/>
          <w:b w:val="false"/>
          <w:color w:val="0A0A0A"/>
          <w:sz w:val="17"/>
        </w:rPr>
        <w:t xml:space="preserve">location </w:t>
      </w:r>
      <w:r>
        <w:rPr>
          <w:rFonts w:ascii="Arial;sans-serif" w:hAnsi="Arial;sans-serif"/>
          <w:b w:val="false"/>
          <w:color w:val="313131"/>
          <w:sz w:val="17"/>
        </w:rPr>
        <w:t xml:space="preserve">of such </w:t>
      </w:r>
      <w:r>
        <w:rPr>
          <w:rFonts w:ascii="Arial;sans-serif" w:hAnsi="Arial;sans-serif"/>
          <w:b w:val="false"/>
          <w:color w:val="0A0A0A"/>
          <w:sz w:val="17"/>
        </w:rPr>
        <w:t xml:space="preserve">litigation), </w:t>
      </w:r>
      <w:r>
        <w:rPr>
          <w:rFonts w:ascii="Arial;sans-serif" w:hAnsi="Arial;sans-serif"/>
          <w:b w:val="false"/>
          <w:color w:val="313131"/>
          <w:sz w:val="17"/>
        </w:rPr>
        <w:t xml:space="preserve">and </w:t>
      </w:r>
      <w:r>
        <w:rPr>
          <w:rFonts w:ascii="Arial;sans-serif" w:hAnsi="Arial;sans-serif"/>
          <w:b w:val="false"/>
          <w:color w:val="1C1C1C"/>
          <w:sz w:val="17"/>
        </w:rPr>
        <w:t xml:space="preserve">both parties </w:t>
      </w:r>
      <w:r>
        <w:rPr>
          <w:rFonts w:ascii="Arial;sans-serif" w:hAnsi="Arial;sans-serif"/>
          <w:b w:val="false"/>
          <w:color w:val="0A0A0A"/>
          <w:sz w:val="17"/>
        </w:rPr>
        <w:t xml:space="preserve">hereby </w:t>
      </w:r>
      <w:r>
        <w:rPr>
          <w:rFonts w:ascii="Arial;sans-serif" w:hAnsi="Arial;sans-serif"/>
          <w:b w:val="false"/>
          <w:color w:val="313131"/>
          <w:sz w:val="17"/>
        </w:rPr>
        <w:t xml:space="preserve">waive and </w:t>
      </w:r>
      <w:r>
        <w:rPr>
          <w:rFonts w:ascii="Arial;sans-serif" w:hAnsi="Arial;sans-serif"/>
          <w:b w:val="false"/>
          <w:color w:val="1C1C1C"/>
          <w:sz w:val="17"/>
        </w:rPr>
        <w:t xml:space="preserve">forever </w:t>
      </w:r>
      <w:r>
        <w:rPr>
          <w:rFonts w:ascii="Arial;sans-serif" w:hAnsi="Arial;sans-serif"/>
          <w:b w:val="false"/>
          <w:color w:val="0A0A0A"/>
          <w:sz w:val="17"/>
        </w:rPr>
        <w:t xml:space="preserve">renounce </w:t>
      </w:r>
      <w:r>
        <w:rPr>
          <w:rFonts w:ascii="Arial;sans-serif" w:hAnsi="Arial;sans-serif"/>
          <w:b w:val="false"/>
          <w:color w:val="313131"/>
          <w:sz w:val="17"/>
        </w:rPr>
        <w:t xml:space="preserve">the </w:t>
      </w:r>
      <w:r>
        <w:rPr>
          <w:rFonts w:ascii="Arial;sans-serif" w:hAnsi="Arial;sans-serif"/>
          <w:b w:val="false"/>
          <w:color w:val="1C1C1C"/>
          <w:sz w:val="17"/>
        </w:rPr>
        <w:t xml:space="preserve">right to </w:t>
      </w:r>
      <w:r>
        <w:rPr>
          <w:rFonts w:ascii="Arial;sans-serif" w:hAnsi="Arial;sans-serif"/>
          <w:b w:val="false"/>
          <w:color w:val="313131"/>
          <w:sz w:val="17"/>
        </w:rPr>
        <w:t xml:space="preserve">a </w:t>
      </w:r>
      <w:r>
        <w:rPr>
          <w:rFonts w:ascii="Arial;sans-serif" w:hAnsi="Arial;sans-serif"/>
          <w:b w:val="false"/>
          <w:color w:val="1C1C1C"/>
          <w:sz w:val="17"/>
        </w:rPr>
        <w:t xml:space="preserve">trial before </w:t>
      </w:r>
      <w:r>
        <w:rPr>
          <w:rFonts w:ascii="Arial;sans-serif" w:hAnsi="Arial;sans-serif"/>
          <w:b w:val="false"/>
          <w:color w:val="313131"/>
          <w:sz w:val="17"/>
        </w:rPr>
        <w:t xml:space="preserve">a civil </w:t>
      </w:r>
      <w:r>
        <w:rPr>
          <w:rFonts w:ascii="Arial;sans-serif" w:hAnsi="Arial;sans-serif"/>
          <w:b w:val="false"/>
          <w:color w:val="1C1C1C"/>
          <w:sz w:val="17"/>
        </w:rPr>
        <w:t xml:space="preserve">jury. </w:t>
      </w:r>
      <w:r>
        <w:rPr>
          <w:rFonts w:ascii="Arial;sans-serif" w:hAnsi="Arial;sans-serif"/>
          <w:b w:val="false"/>
          <w:color w:val="313131"/>
          <w:sz w:val="17"/>
        </w:rPr>
        <w:t xml:space="preserve">For </w:t>
      </w:r>
      <w:r>
        <w:rPr>
          <w:rFonts w:ascii="Arial;sans-serif" w:hAnsi="Arial;sans-serif"/>
          <w:b w:val="false"/>
          <w:color w:val="1C1C1C"/>
          <w:sz w:val="17"/>
        </w:rPr>
        <w:t xml:space="preserve">purposes </w:t>
      </w:r>
      <w:r>
        <w:rPr>
          <w:rFonts w:ascii="Arial;sans-serif" w:hAnsi="Arial;sans-serif"/>
          <w:b w:val="false"/>
          <w:color w:val="313131"/>
          <w:sz w:val="17"/>
        </w:rPr>
        <w:t xml:space="preserve">of </w:t>
      </w:r>
      <w:r>
        <w:rPr>
          <w:rFonts w:ascii="Arial;sans-serif" w:hAnsi="Arial;sans-serif"/>
          <w:b w:val="false"/>
          <w:color w:val="1C1C1C"/>
          <w:sz w:val="17"/>
        </w:rPr>
        <w:t xml:space="preserve">this </w:t>
      </w:r>
      <w:r>
        <w:rPr>
          <w:rFonts w:ascii="Arial;sans-serif" w:hAnsi="Arial;sans-serif"/>
          <w:b w:val="false"/>
          <w:color w:val="313131"/>
          <w:sz w:val="17"/>
        </w:rPr>
        <w:t xml:space="preserve">Agreement, </w:t>
      </w:r>
      <w:r>
        <w:rPr>
          <w:rFonts w:ascii="Arial;sans-serif" w:hAnsi="Arial;sans-serif"/>
          <w:b w:val="false"/>
          <w:color w:val="1C1C1C"/>
          <w:sz w:val="17"/>
        </w:rPr>
        <w:t xml:space="preserve">Dispute </w:t>
      </w:r>
      <w:r>
        <w:rPr>
          <w:rFonts w:ascii="Arial;sans-serif" w:hAnsi="Arial;sans-serif"/>
          <w:b w:val="false"/>
          <w:color w:val="313131"/>
          <w:sz w:val="17"/>
        </w:rPr>
        <w:t xml:space="preserve">shall be deemed </w:t>
      </w:r>
      <w:r>
        <w:rPr>
          <w:rFonts w:ascii="Arial;sans-serif" w:hAnsi="Arial;sans-serif"/>
          <w:b w:val="false"/>
          <w:color w:val="1C1C1C"/>
          <w:sz w:val="17"/>
        </w:rPr>
        <w:t xml:space="preserve">to include </w:t>
      </w:r>
      <w:r>
        <w:rPr>
          <w:rFonts w:ascii="Arial;sans-serif" w:hAnsi="Arial;sans-serif"/>
          <w:b w:val="false"/>
          <w:color w:val="313131"/>
          <w:sz w:val="17"/>
        </w:rPr>
        <w:t xml:space="preserve">any </w:t>
      </w:r>
      <w:r>
        <w:rPr>
          <w:rFonts w:ascii="Arial;sans-serif" w:hAnsi="Arial;sans-serif"/>
          <w:b w:val="false"/>
          <w:color w:val="1C1C1C"/>
          <w:sz w:val="17"/>
        </w:rPr>
        <w:t xml:space="preserve">disputes </w:t>
      </w:r>
      <w:r>
        <w:rPr>
          <w:rFonts w:ascii="Arial;sans-serif" w:hAnsi="Arial;sans-serif"/>
          <w:b w:val="false"/>
          <w:color w:val="313131"/>
          <w:sz w:val="17"/>
        </w:rPr>
        <w:t xml:space="preserve">relating to: (i) </w:t>
      </w:r>
      <w:r>
        <w:rPr>
          <w:rFonts w:ascii="Arial;sans-serif" w:hAnsi="Arial;sans-serif"/>
          <w:b w:val="false"/>
          <w:color w:val="1C1C1C"/>
          <w:sz w:val="17"/>
        </w:rPr>
        <w:t xml:space="preserve">the terms </w:t>
      </w:r>
      <w:r>
        <w:rPr>
          <w:rFonts w:ascii="Arial;sans-serif" w:hAnsi="Arial;sans-serif"/>
          <w:b w:val="false"/>
          <w:color w:val="313131"/>
          <w:sz w:val="17"/>
        </w:rPr>
        <w:t xml:space="preserve">and conditions of </w:t>
      </w:r>
      <w:r>
        <w:rPr>
          <w:rFonts w:ascii="Arial;sans-serif" w:hAnsi="Arial;sans-serif"/>
          <w:b w:val="false"/>
          <w:color w:val="1C1C1C"/>
          <w:sz w:val="17"/>
        </w:rPr>
        <w:t xml:space="preserve">my </w:t>
      </w:r>
      <w:r>
        <w:rPr>
          <w:rFonts w:ascii="Arial;sans-serif" w:hAnsi="Arial;sans-serif"/>
          <w:b w:val="false"/>
          <w:color w:val="313131"/>
          <w:sz w:val="17"/>
        </w:rPr>
        <w:t xml:space="preserve">employment; (ii) any </w:t>
      </w:r>
      <w:r>
        <w:rPr>
          <w:rFonts w:ascii="Arial;sans-serif" w:hAnsi="Arial;sans-serif"/>
          <w:b w:val="false"/>
          <w:color w:val="1C1C1C"/>
          <w:sz w:val="17"/>
        </w:rPr>
        <w:t xml:space="preserve">claimed </w:t>
      </w:r>
      <w:r>
        <w:rPr>
          <w:rFonts w:ascii="Arial;sans-serif" w:hAnsi="Arial;sans-serif"/>
          <w:b w:val="false"/>
          <w:color w:val="313131"/>
          <w:sz w:val="17"/>
        </w:rPr>
        <w:t xml:space="preserve">breach of </w:t>
      </w:r>
      <w:r>
        <w:rPr>
          <w:rFonts w:ascii="Arial;sans-serif" w:hAnsi="Arial;sans-serif"/>
          <w:b w:val="false"/>
          <w:color w:val="1C1C1C"/>
          <w:sz w:val="17"/>
        </w:rPr>
        <w:t xml:space="preserve">the </w:t>
      </w:r>
      <w:r>
        <w:rPr>
          <w:rFonts w:ascii="Arial;sans-serif" w:hAnsi="Arial;sans-serif"/>
          <w:b w:val="false"/>
          <w:color w:val="313131"/>
          <w:sz w:val="17"/>
        </w:rPr>
        <w:t xml:space="preserve">covenants set forth </w:t>
      </w:r>
      <w:r>
        <w:rPr>
          <w:rFonts w:ascii="Arial;sans-serif" w:hAnsi="Arial;sans-serif"/>
          <w:b w:val="false"/>
          <w:color w:val="0A0A0A"/>
          <w:sz w:val="17"/>
        </w:rPr>
        <w:t xml:space="preserve">in </w:t>
      </w:r>
      <w:r>
        <w:rPr>
          <w:rFonts w:ascii="Arial;sans-serif" w:hAnsi="Arial;sans-serif"/>
          <w:b w:val="false"/>
          <w:color w:val="1C1C1C"/>
          <w:sz w:val="17"/>
        </w:rPr>
        <w:t xml:space="preserve">this </w:t>
      </w:r>
      <w:r>
        <w:rPr>
          <w:rFonts w:ascii="Arial;sans-serif" w:hAnsi="Arial;sans-serif"/>
          <w:b w:val="false"/>
          <w:color w:val="313131"/>
          <w:sz w:val="17"/>
        </w:rPr>
        <w:t xml:space="preserve">Agreement, or </w:t>
      </w:r>
      <w:r>
        <w:rPr>
          <w:rFonts w:ascii="Arial;sans-serif" w:hAnsi="Arial;sans-serif"/>
          <w:b w:val="false"/>
          <w:color w:val="1C1C1C"/>
          <w:sz w:val="17"/>
        </w:rPr>
        <w:t xml:space="preserve">(iii) </w:t>
      </w:r>
      <w:r>
        <w:rPr>
          <w:rFonts w:ascii="Arial;sans-serif" w:hAnsi="Arial;sans-serif"/>
          <w:b w:val="false"/>
          <w:color w:val="313131"/>
          <w:sz w:val="17"/>
        </w:rPr>
        <w:t xml:space="preserve">any dispute relating </w:t>
      </w:r>
      <w:r>
        <w:rPr>
          <w:rFonts w:ascii="Arial;sans-serif" w:hAnsi="Arial;sans-serif"/>
          <w:b w:val="false"/>
          <w:color w:val="1C1C1C"/>
          <w:sz w:val="17"/>
        </w:rPr>
        <w:t xml:space="preserve">to the </w:t>
      </w:r>
      <w:r>
        <w:rPr>
          <w:rFonts w:ascii="Arial;sans-serif" w:hAnsi="Arial;sans-serif"/>
          <w:b w:val="false"/>
          <w:color w:val="313131"/>
          <w:sz w:val="17"/>
        </w:rPr>
        <w:t xml:space="preserve">separation of </w:t>
      </w:r>
      <w:r>
        <w:rPr>
          <w:rFonts w:ascii="Arial;sans-serif" w:hAnsi="Arial;sans-serif"/>
          <w:b w:val="false"/>
          <w:color w:val="1C1C1C"/>
          <w:sz w:val="17"/>
        </w:rPr>
        <w:t xml:space="preserve">my </w:t>
      </w:r>
      <w:r>
        <w:rPr>
          <w:rFonts w:ascii="Arial;sans-serif" w:hAnsi="Arial;sans-serif"/>
          <w:b w:val="false"/>
          <w:color w:val="313131"/>
          <w:sz w:val="17"/>
        </w:rPr>
        <w:t xml:space="preserve">employment, whether voluntary or </w:t>
      </w:r>
      <w:r>
        <w:rPr>
          <w:rFonts w:ascii="Arial;sans-serif" w:hAnsi="Arial;sans-serif"/>
          <w:b w:val="false"/>
          <w:color w:val="1C1C1C"/>
          <w:sz w:val="17"/>
        </w:rPr>
        <w:t xml:space="preserve">involuntary. </w:t>
      </w:r>
      <w:r>
        <w:rPr>
          <w:rFonts w:ascii="Arial;sans-serif" w:hAnsi="Arial;sans-serif"/>
          <w:b w:val="false"/>
          <w:color w:val="313131"/>
          <w:sz w:val="17"/>
        </w:rPr>
        <w:t xml:space="preserve">Specifically </w:t>
      </w:r>
      <w:r>
        <w:rPr>
          <w:rFonts w:ascii="Arial;sans-serif" w:hAnsi="Arial;sans-serif"/>
          <w:b w:val="false"/>
          <w:color w:val="1C1C1C"/>
          <w:sz w:val="17"/>
        </w:rPr>
        <w:t xml:space="preserve">included </w:t>
      </w:r>
      <w:r>
        <w:rPr>
          <w:rFonts w:ascii="Arial;sans-serif" w:hAnsi="Arial;sans-serif"/>
          <w:b w:val="false"/>
          <w:color w:val="313131"/>
          <w:sz w:val="17"/>
        </w:rPr>
        <w:t xml:space="preserve">are any disputes or claims arising </w:t>
      </w:r>
      <w:r>
        <w:rPr>
          <w:rFonts w:ascii="Arial;sans-serif" w:hAnsi="Arial;sans-serif"/>
          <w:b w:val="false"/>
          <w:color w:val="1C1C1C"/>
          <w:sz w:val="17"/>
        </w:rPr>
        <w:t xml:space="preserve">under: </w:t>
      </w:r>
      <w:r>
        <w:rPr>
          <w:rFonts w:ascii="Arial;sans-serif" w:hAnsi="Arial;sans-serif"/>
          <w:b w:val="false"/>
          <w:color w:val="313131"/>
          <w:sz w:val="17"/>
        </w:rPr>
        <w:t xml:space="preserve">(i) any </w:t>
      </w:r>
      <w:r>
        <w:rPr>
          <w:rFonts w:ascii="Arial;sans-serif" w:hAnsi="Arial;sans-serif"/>
          <w:b w:val="false"/>
          <w:color w:val="1C1C1C"/>
          <w:sz w:val="17"/>
        </w:rPr>
        <w:t xml:space="preserve">local, </w:t>
      </w:r>
      <w:r>
        <w:rPr>
          <w:rFonts w:ascii="Arial;sans-serif" w:hAnsi="Arial;sans-serif"/>
          <w:b w:val="false"/>
          <w:color w:val="313131"/>
          <w:sz w:val="17"/>
        </w:rPr>
        <w:t xml:space="preserve">state or </w:t>
      </w:r>
      <w:r>
        <w:rPr>
          <w:rFonts w:ascii="Arial;sans-serif" w:hAnsi="Arial;sans-serif"/>
          <w:b w:val="false"/>
          <w:color w:val="1C1C1C"/>
          <w:sz w:val="17"/>
        </w:rPr>
        <w:t xml:space="preserve">federal discrimination </w:t>
      </w:r>
      <w:r>
        <w:rPr>
          <w:rFonts w:ascii="Arial;sans-serif" w:hAnsi="Arial;sans-serif"/>
          <w:b w:val="false"/>
          <w:color w:val="313131"/>
          <w:sz w:val="17"/>
        </w:rPr>
        <w:t xml:space="preserve">or civil </w:t>
      </w:r>
      <w:r>
        <w:rPr>
          <w:rFonts w:ascii="Arial;sans-serif" w:hAnsi="Arial;sans-serif"/>
          <w:b w:val="false"/>
          <w:color w:val="1C1C1C"/>
          <w:sz w:val="17"/>
        </w:rPr>
        <w:t xml:space="preserve">rights </w:t>
      </w:r>
      <w:r>
        <w:rPr>
          <w:rFonts w:ascii="Arial;sans-serif" w:hAnsi="Arial;sans-serif"/>
          <w:b w:val="false"/>
          <w:color w:val="313131"/>
          <w:sz w:val="17"/>
        </w:rPr>
        <w:t xml:space="preserve">statute, </w:t>
      </w:r>
      <w:r>
        <w:rPr>
          <w:rFonts w:ascii="Arial;sans-serif" w:hAnsi="Arial;sans-serif"/>
          <w:b w:val="false"/>
          <w:color w:val="1C1C1C"/>
          <w:sz w:val="17"/>
        </w:rPr>
        <w:t xml:space="preserve">regulation </w:t>
      </w:r>
      <w:r>
        <w:rPr>
          <w:rFonts w:ascii="Arial;sans-serif" w:hAnsi="Arial;sans-serif"/>
          <w:b w:val="false"/>
          <w:color w:val="313131"/>
          <w:sz w:val="17"/>
        </w:rPr>
        <w:t xml:space="preserve">or order (including, without </w:t>
      </w:r>
      <w:r>
        <w:rPr>
          <w:rFonts w:ascii="Arial;sans-serif" w:hAnsi="Arial;sans-serif"/>
          <w:b w:val="false"/>
          <w:color w:val="1C1C1C"/>
          <w:sz w:val="17"/>
        </w:rPr>
        <w:t xml:space="preserve">limitation, Title </w:t>
      </w:r>
      <w:r>
        <w:rPr>
          <w:rFonts w:ascii="Arial;sans-serif" w:hAnsi="Arial;sans-serif"/>
          <w:b w:val="false"/>
          <w:color w:val="313131"/>
          <w:sz w:val="17"/>
        </w:rPr>
        <w:t xml:space="preserve">VII of </w:t>
      </w:r>
      <w:r>
        <w:rPr>
          <w:rFonts w:ascii="Arial;sans-serif" w:hAnsi="Arial;sans-serif"/>
          <w:b w:val="false"/>
          <w:color w:val="1C1C1C"/>
          <w:sz w:val="17"/>
        </w:rPr>
        <w:t xml:space="preserve">the </w:t>
      </w:r>
      <w:r>
        <w:rPr>
          <w:rFonts w:ascii="Arial;sans-serif" w:hAnsi="Arial;sans-serif"/>
          <w:b w:val="false"/>
          <w:color w:val="313131"/>
          <w:sz w:val="17"/>
        </w:rPr>
        <w:t xml:space="preserve">Civil </w:t>
      </w:r>
      <w:r>
        <w:rPr>
          <w:rFonts w:ascii="Arial;sans-serif" w:hAnsi="Arial;sans-serif"/>
          <w:b w:val="false"/>
          <w:color w:val="1C1C1C"/>
          <w:sz w:val="17"/>
        </w:rPr>
        <w:t xml:space="preserve">Rights </w:t>
      </w:r>
      <w:r>
        <w:rPr>
          <w:rFonts w:ascii="Arial;sans-serif" w:hAnsi="Arial;sans-serif"/>
          <w:b w:val="false"/>
          <w:color w:val="313131"/>
          <w:sz w:val="17"/>
        </w:rPr>
        <w:t xml:space="preserve">Act of 1964, </w:t>
      </w:r>
      <w:r>
        <w:rPr>
          <w:rFonts w:ascii="Arial;sans-serif" w:hAnsi="Arial;sans-serif"/>
          <w:b w:val="false"/>
          <w:color w:val="1C1C1C"/>
          <w:sz w:val="17"/>
        </w:rPr>
        <w:t xml:space="preserve">the </w:t>
      </w:r>
      <w:r>
        <w:rPr>
          <w:rFonts w:ascii="Arial;sans-serif" w:hAnsi="Arial;sans-serif"/>
          <w:b w:val="false"/>
          <w:color w:val="313131"/>
          <w:sz w:val="17"/>
        </w:rPr>
        <w:t xml:space="preserve">Age Discrimination </w:t>
      </w:r>
      <w:r>
        <w:rPr>
          <w:rFonts w:ascii="Arial;sans-serif" w:hAnsi="Arial;sans-serif"/>
          <w:b w:val="false"/>
          <w:color w:val="1C1C1C"/>
          <w:sz w:val="17"/>
        </w:rPr>
        <w:t xml:space="preserve">in Employment </w:t>
      </w:r>
      <w:r>
        <w:rPr>
          <w:rFonts w:ascii="Arial;sans-serif" w:hAnsi="Arial;sans-serif"/>
          <w:b w:val="false"/>
          <w:color w:val="313131"/>
          <w:sz w:val="17"/>
        </w:rPr>
        <w:t xml:space="preserve">Act, the Americans With </w:t>
      </w:r>
      <w:r>
        <w:rPr>
          <w:rFonts w:ascii="Arial;sans-serif" w:hAnsi="Arial;sans-serif"/>
          <w:b w:val="false"/>
          <w:color w:val="1C1C1C"/>
          <w:sz w:val="17"/>
        </w:rPr>
        <w:t xml:space="preserve">Disabilities </w:t>
      </w:r>
      <w:r>
        <w:rPr>
          <w:rFonts w:ascii="Arial;sans-serif" w:hAnsi="Arial;sans-serif"/>
          <w:b w:val="false"/>
          <w:color w:val="313131"/>
          <w:sz w:val="17"/>
        </w:rPr>
        <w:t xml:space="preserve">Act, and any amendments </w:t>
      </w:r>
      <w:r>
        <w:rPr>
          <w:rFonts w:ascii="Arial;sans-serif" w:hAnsi="Arial;sans-serif"/>
          <w:b w:val="false"/>
          <w:color w:val="1C1C1C"/>
          <w:sz w:val="17"/>
        </w:rPr>
        <w:t xml:space="preserve">to the </w:t>
      </w:r>
      <w:r>
        <w:rPr>
          <w:rFonts w:ascii="Arial;sans-serif" w:hAnsi="Arial;sans-serif"/>
          <w:b w:val="false"/>
          <w:color w:val="313131"/>
          <w:sz w:val="17"/>
        </w:rPr>
        <w:t xml:space="preserve">same); (ii) any other </w:t>
      </w:r>
      <w:r>
        <w:rPr>
          <w:rFonts w:ascii="Arial;sans-serif" w:hAnsi="Arial;sans-serif"/>
          <w:b w:val="false"/>
          <w:color w:val="1C1C1C"/>
          <w:sz w:val="17"/>
        </w:rPr>
        <w:t xml:space="preserve">local, </w:t>
      </w:r>
      <w:r>
        <w:rPr>
          <w:rFonts w:ascii="Arial;sans-serif" w:hAnsi="Arial;sans-serif"/>
          <w:b w:val="false"/>
          <w:color w:val="313131"/>
          <w:sz w:val="17"/>
        </w:rPr>
        <w:t xml:space="preserve">state or </w:t>
      </w:r>
      <w:r>
        <w:rPr>
          <w:rFonts w:ascii="Arial;sans-serif" w:hAnsi="Arial;sans-serif"/>
          <w:b w:val="false"/>
          <w:color w:val="1C1C1C"/>
          <w:sz w:val="17"/>
        </w:rPr>
        <w:t xml:space="preserve">federal </w:t>
      </w:r>
      <w:r>
        <w:rPr>
          <w:rFonts w:ascii="Arial;sans-serif" w:hAnsi="Arial;sans-serif"/>
          <w:b w:val="false"/>
          <w:color w:val="313131"/>
          <w:sz w:val="17"/>
        </w:rPr>
        <w:t xml:space="preserve">employment </w:t>
      </w:r>
      <w:r>
        <w:rPr>
          <w:rFonts w:ascii="Arial;sans-serif" w:hAnsi="Arial;sans-serif"/>
          <w:b w:val="false"/>
          <w:color w:val="1C1C1C"/>
          <w:sz w:val="17"/>
        </w:rPr>
        <w:t xml:space="preserve">related </w:t>
      </w:r>
      <w:r>
        <w:rPr>
          <w:rFonts w:ascii="Arial;sans-serif" w:hAnsi="Arial;sans-serif"/>
          <w:b w:val="false"/>
          <w:color w:val="313131"/>
          <w:sz w:val="17"/>
        </w:rPr>
        <w:t xml:space="preserve">statute, </w:t>
      </w:r>
      <w:r>
        <w:rPr>
          <w:rFonts w:ascii="Arial;sans-serif" w:hAnsi="Arial;sans-serif"/>
          <w:b w:val="false"/>
          <w:color w:val="1C1C1C"/>
          <w:sz w:val="17"/>
        </w:rPr>
        <w:t xml:space="preserve">regulation </w:t>
      </w:r>
      <w:r>
        <w:rPr>
          <w:rFonts w:ascii="Arial;sans-serif" w:hAnsi="Arial;sans-serif"/>
          <w:b w:val="false"/>
          <w:color w:val="313131"/>
          <w:sz w:val="17"/>
        </w:rPr>
        <w:t xml:space="preserve">or order relating </w:t>
      </w:r>
      <w:r>
        <w:rPr>
          <w:rFonts w:ascii="Arial;sans-serif" w:hAnsi="Arial;sans-serif"/>
          <w:b w:val="false"/>
          <w:color w:val="1C1C1C"/>
          <w:sz w:val="17"/>
        </w:rPr>
        <w:t xml:space="preserve">to </w:t>
      </w:r>
      <w:r>
        <w:rPr>
          <w:rFonts w:ascii="Arial;sans-serif" w:hAnsi="Arial;sans-serif"/>
          <w:b w:val="false"/>
          <w:color w:val="313131"/>
          <w:sz w:val="17"/>
        </w:rPr>
        <w:t xml:space="preserve">wages, </w:t>
      </w:r>
      <w:r>
        <w:rPr>
          <w:rFonts w:ascii="Arial;sans-serif" w:hAnsi="Arial;sans-serif"/>
          <w:b w:val="false"/>
          <w:color w:val="1C1C1C"/>
          <w:sz w:val="17"/>
        </w:rPr>
        <w:t xml:space="preserve">hours, </w:t>
      </w:r>
      <w:r>
        <w:rPr>
          <w:rFonts w:ascii="Arial;sans-serif" w:hAnsi="Arial;sans-serif"/>
          <w:b w:val="false"/>
          <w:color w:val="313131"/>
          <w:sz w:val="17"/>
        </w:rPr>
        <w:t xml:space="preserve">benefits, or other </w:t>
      </w:r>
      <w:r>
        <w:rPr>
          <w:rFonts w:ascii="Arial;sans-serif" w:hAnsi="Arial;sans-serif"/>
          <w:b w:val="false"/>
          <w:color w:val="1C1C1C"/>
          <w:sz w:val="17"/>
        </w:rPr>
        <w:t xml:space="preserve">terms </w:t>
      </w:r>
      <w:r>
        <w:rPr>
          <w:rFonts w:ascii="Arial;sans-serif" w:hAnsi="Arial;sans-serif"/>
          <w:b w:val="false"/>
          <w:color w:val="313131"/>
          <w:sz w:val="17"/>
        </w:rPr>
        <w:t xml:space="preserve">and conditions of employment; (iii) any </w:t>
      </w:r>
      <w:r>
        <w:rPr>
          <w:rFonts w:ascii="Arial;sans-serif" w:hAnsi="Arial;sans-serif"/>
          <w:b w:val="false"/>
          <w:color w:val="1C1C1C"/>
          <w:sz w:val="17"/>
        </w:rPr>
        <w:t xml:space="preserve">local, </w:t>
      </w:r>
      <w:r>
        <w:rPr>
          <w:rFonts w:ascii="Arial;sans-serif" w:hAnsi="Arial;sans-serif"/>
          <w:b w:val="false"/>
          <w:color w:val="313131"/>
          <w:sz w:val="17"/>
        </w:rPr>
        <w:t xml:space="preserve">state or </w:t>
      </w:r>
      <w:r>
        <w:rPr>
          <w:rFonts w:ascii="Arial;sans-serif" w:hAnsi="Arial;sans-serif"/>
          <w:b w:val="false"/>
          <w:color w:val="1C1C1C"/>
          <w:sz w:val="17"/>
        </w:rPr>
        <w:t xml:space="preserve">federal </w:t>
      </w:r>
      <w:r>
        <w:rPr>
          <w:rFonts w:ascii="Arial;sans-serif" w:hAnsi="Arial;sans-serif"/>
          <w:b w:val="false"/>
          <w:color w:val="313131"/>
          <w:sz w:val="17"/>
        </w:rPr>
        <w:t xml:space="preserve">common </w:t>
      </w:r>
      <w:r>
        <w:rPr>
          <w:rFonts w:ascii="Arial;sans-serif" w:hAnsi="Arial;sans-serif"/>
          <w:b w:val="false"/>
          <w:color w:val="0A0A0A"/>
          <w:sz w:val="17"/>
        </w:rPr>
        <w:t xml:space="preserve">law </w:t>
      </w:r>
      <w:r>
        <w:rPr>
          <w:rFonts w:ascii="Arial;sans-serif" w:hAnsi="Arial;sans-serif"/>
          <w:b w:val="false"/>
          <w:color w:val="1C1C1C"/>
          <w:sz w:val="17"/>
        </w:rPr>
        <w:t xml:space="preserve">theory; </w:t>
      </w:r>
      <w:r>
        <w:rPr>
          <w:rFonts w:ascii="Arial;sans-serif" w:hAnsi="Arial;sans-serif"/>
          <w:b w:val="false"/>
          <w:color w:val="313131"/>
          <w:sz w:val="17"/>
        </w:rPr>
        <w:t xml:space="preserve">or (iv) any </w:t>
      </w:r>
      <w:r>
        <w:rPr>
          <w:rFonts w:ascii="Arial;sans-serif" w:hAnsi="Arial;sans-serif"/>
          <w:b w:val="false"/>
          <w:color w:val="1C1C1C"/>
          <w:sz w:val="17"/>
        </w:rPr>
        <w:t xml:space="preserve">other local, </w:t>
      </w:r>
      <w:r>
        <w:rPr>
          <w:rFonts w:ascii="Arial;sans-serif" w:hAnsi="Arial;sans-serif"/>
          <w:b w:val="false"/>
          <w:color w:val="313131"/>
          <w:sz w:val="17"/>
        </w:rPr>
        <w:t xml:space="preserve">state or </w:t>
      </w:r>
      <w:r>
        <w:rPr>
          <w:rFonts w:ascii="Arial;sans-serif" w:hAnsi="Arial;sans-serif"/>
          <w:b w:val="false"/>
          <w:color w:val="1C1C1C"/>
          <w:sz w:val="17"/>
        </w:rPr>
        <w:t xml:space="preserve">federal </w:t>
      </w:r>
      <w:r>
        <w:rPr>
          <w:rFonts w:ascii="Arial;sans-serif" w:hAnsi="Arial;sans-serif"/>
          <w:b w:val="false"/>
          <w:color w:val="0A0A0A"/>
          <w:sz w:val="17"/>
        </w:rPr>
        <w:t xml:space="preserve">law </w:t>
      </w:r>
      <w:r>
        <w:rPr>
          <w:rFonts w:ascii="Arial;sans-serif" w:hAnsi="Arial;sans-serif"/>
          <w:b w:val="false"/>
          <w:color w:val="1C1C1C"/>
          <w:sz w:val="17"/>
        </w:rPr>
        <w:t xml:space="preserve">or regulation </w:t>
      </w:r>
      <w:r>
        <w:rPr>
          <w:rFonts w:ascii="Arial;sans-serif" w:hAnsi="Arial;sans-serif"/>
          <w:b w:val="false"/>
          <w:color w:val="313131"/>
          <w:sz w:val="17"/>
        </w:rPr>
        <w:t xml:space="preserve">now </w:t>
      </w:r>
      <w:r>
        <w:rPr>
          <w:rFonts w:ascii="Arial;sans-serif" w:hAnsi="Arial;sans-serif"/>
          <w:b w:val="false"/>
          <w:color w:val="1C1C1C"/>
          <w:sz w:val="17"/>
        </w:rPr>
        <w:t xml:space="preserve">in </w:t>
      </w:r>
      <w:r>
        <w:rPr>
          <w:rFonts w:ascii="Arial;sans-serif" w:hAnsi="Arial;sans-serif"/>
          <w:b w:val="false"/>
          <w:color w:val="313131"/>
          <w:sz w:val="17"/>
        </w:rPr>
        <w:t xml:space="preserve">existence or </w:t>
      </w:r>
      <w:r>
        <w:rPr>
          <w:rFonts w:ascii="Arial;sans-serif" w:hAnsi="Arial;sans-serif"/>
          <w:b w:val="false"/>
          <w:color w:val="1C1C1C"/>
          <w:sz w:val="17"/>
        </w:rPr>
        <w:t xml:space="preserve">that hereafter </w:t>
      </w:r>
      <w:r>
        <w:rPr>
          <w:rFonts w:ascii="Arial;sans-serif" w:hAnsi="Arial;sans-serif"/>
          <w:b w:val="false"/>
          <w:color w:val="313131"/>
          <w:sz w:val="17"/>
        </w:rPr>
        <w:t xml:space="preserve">is enacted (and as amended from </w:t>
      </w:r>
      <w:r>
        <w:rPr>
          <w:rFonts w:ascii="Arial;sans-serif" w:hAnsi="Arial;sans-serif"/>
          <w:b w:val="false"/>
          <w:color w:val="1C1C1C"/>
          <w:sz w:val="17"/>
        </w:rPr>
        <w:t xml:space="preserve">time to time) </w:t>
      </w:r>
      <w:r>
        <w:rPr>
          <w:rFonts w:ascii="Arial;sans-serif" w:hAnsi="Arial;sans-serif"/>
          <w:b w:val="false"/>
          <w:color w:val="313131"/>
          <w:sz w:val="17"/>
        </w:rPr>
        <w:t xml:space="preserve">concerning </w:t>
      </w:r>
      <w:r>
        <w:rPr>
          <w:rFonts w:ascii="Arial;sans-serif" w:hAnsi="Arial;sans-serif"/>
          <w:b w:val="false"/>
          <w:color w:val="1C1C1C"/>
          <w:sz w:val="17"/>
        </w:rPr>
        <w:t xml:space="preserve">in </w:t>
      </w:r>
      <w:r>
        <w:rPr>
          <w:rFonts w:ascii="Arial;sans-serif" w:hAnsi="Arial;sans-serif"/>
          <w:b w:val="false"/>
          <w:color w:val="313131"/>
          <w:sz w:val="17"/>
        </w:rPr>
        <w:t xml:space="preserve">any way </w:t>
      </w:r>
      <w:r>
        <w:rPr>
          <w:rFonts w:ascii="Arial;sans-serif" w:hAnsi="Arial;sans-serif"/>
          <w:b w:val="false"/>
          <w:color w:val="1C1C1C"/>
          <w:sz w:val="17"/>
        </w:rPr>
        <w:t xml:space="preserve">the </w:t>
      </w:r>
      <w:r>
        <w:rPr>
          <w:rFonts w:ascii="Arial;sans-serif" w:hAnsi="Arial;sans-serif"/>
          <w:b w:val="false"/>
          <w:color w:val="313131"/>
          <w:sz w:val="17"/>
        </w:rPr>
        <w:t xml:space="preserve">subject of </w:t>
      </w:r>
      <w:r>
        <w:rPr>
          <w:rFonts w:ascii="Arial;sans-serif" w:hAnsi="Arial;sans-serif"/>
          <w:b w:val="false"/>
          <w:color w:val="1C1C1C"/>
          <w:sz w:val="17"/>
        </w:rPr>
        <w:t xml:space="preserve">my </w:t>
      </w:r>
      <w:r>
        <w:rPr>
          <w:rFonts w:ascii="Arial;sans-serif" w:hAnsi="Arial;sans-serif"/>
          <w:b w:val="false"/>
          <w:color w:val="313131"/>
          <w:sz w:val="17"/>
        </w:rPr>
        <w:t xml:space="preserve">employment with </w:t>
      </w:r>
      <w:r>
        <w:rPr>
          <w:rFonts w:ascii="Arial;sans-serif" w:hAnsi="Arial;sans-serif"/>
          <w:b w:val="false"/>
          <w:color w:val="1C1C1C"/>
          <w:sz w:val="17"/>
        </w:rPr>
        <w:t xml:space="preserve">the </w:t>
      </w:r>
      <w:r>
        <w:rPr>
          <w:rFonts w:ascii="Arial;sans-serif" w:hAnsi="Arial;sans-serif"/>
          <w:b w:val="false"/>
          <w:color w:val="313131"/>
          <w:sz w:val="17"/>
        </w:rPr>
        <w:t xml:space="preserve">Company </w:t>
      </w:r>
      <w:r>
        <w:rPr>
          <w:rFonts w:ascii="Arial;sans-serif" w:hAnsi="Arial;sans-serif"/>
          <w:b w:val="false"/>
          <w:color w:val="1C1C1C"/>
          <w:sz w:val="17"/>
        </w:rPr>
        <w:t xml:space="preserve">or its </w:t>
      </w:r>
      <w:r>
        <w:rPr>
          <w:rFonts w:ascii="Arial;sans-serif" w:hAnsi="Arial;sans-serif"/>
          <w:b w:val="false"/>
          <w:color w:val="313131"/>
          <w:sz w:val="17"/>
        </w:rPr>
        <w:t>separation.</w:t>
      </w:r>
    </w:p>
    <w:p>
      <w:pPr>
        <w:pStyle w:val="TextBody"/>
        <w:spacing w:before="11" w:after="283"/>
        <w:rPr/>
      </w:pPr>
      <w:r>
        <w:rPr/>
      </w:r>
    </w:p>
    <w:p>
      <w:pPr>
        <w:pStyle w:val="TextBody"/>
        <w:spacing w:lineRule="auto" w:line="240" w:before="95" w:after="283"/>
        <w:rPr/>
      </w:pPr>
      <w:r>
        <w:rPr>
          <w:rFonts w:ascii="Arial;sans-serif" w:hAnsi="Arial;sans-serif"/>
          <w:b w:val="false"/>
          <w:color w:val="313131"/>
          <w:sz w:val="17"/>
          <w:u w:val="single"/>
        </w:rPr>
        <w:t xml:space="preserve">Choice of </w:t>
      </w:r>
      <w:r>
        <w:rPr>
          <w:rFonts w:ascii="Arial;sans-serif" w:hAnsi="Arial;sans-serif"/>
          <w:b w:val="false"/>
          <w:color w:val="1C1C1C"/>
          <w:sz w:val="17"/>
          <w:u w:val="single"/>
        </w:rPr>
        <w:t xml:space="preserve">Law/Superseding </w:t>
      </w:r>
      <w:r>
        <w:rPr>
          <w:rFonts w:ascii="Arial;sans-serif" w:hAnsi="Arial;sans-serif"/>
          <w:b w:val="false"/>
          <w:color w:val="313131"/>
          <w:sz w:val="17"/>
          <w:u w:val="single"/>
        </w:rPr>
        <w:t>Agreement/Full Agreement</w:t>
      </w:r>
    </w:p>
    <w:p>
      <w:pPr>
        <w:pStyle w:val="TextBody"/>
        <w:spacing w:before="8" w:after="283"/>
        <w:rPr/>
      </w:pPr>
      <w:r>
        <w:rPr/>
      </w:r>
    </w:p>
    <w:p>
      <w:pPr>
        <w:pStyle w:val="TextBody"/>
        <w:spacing w:lineRule="auto" w:line="297" w:before="1" w:after="283"/>
        <w:ind w:left="0" w:right="0" w:hanging="354"/>
        <w:rPr/>
      </w:pPr>
      <w:r>
        <w:rPr>
          <w:rFonts w:ascii="Arial;sans-serif" w:hAnsi="Arial;sans-serif"/>
          <w:b w:val="false"/>
          <w:color w:val="1C1C1C"/>
          <w:sz w:val="17"/>
        </w:rPr>
        <w:t>19.</w:t>
      </w:r>
      <w:r>
        <w:rPr>
          <w:rFonts w:ascii="Arial;sans-serif" w:hAnsi="Arial;sans-serif"/>
          <w:b w:val="false"/>
          <w:color w:val="313131"/>
          <w:sz w:val="17"/>
        </w:rPr>
        <w:t xml:space="preserve">The validity, </w:t>
      </w:r>
      <w:r>
        <w:rPr>
          <w:rFonts w:ascii="Arial;sans-serif" w:hAnsi="Arial;sans-serif"/>
          <w:b w:val="false"/>
          <w:color w:val="0A0A0A"/>
          <w:sz w:val="17"/>
        </w:rPr>
        <w:t xml:space="preserve">interpretation </w:t>
      </w:r>
      <w:r>
        <w:rPr>
          <w:rFonts w:ascii="Arial;sans-serif" w:hAnsi="Arial;sans-serif"/>
          <w:b w:val="false"/>
          <w:color w:val="313131"/>
          <w:sz w:val="17"/>
        </w:rPr>
        <w:t xml:space="preserve">and </w:t>
      </w:r>
      <w:r>
        <w:rPr>
          <w:rFonts w:ascii="Arial;sans-serif" w:hAnsi="Arial;sans-serif"/>
          <w:b w:val="false"/>
          <w:color w:val="1C1C1C"/>
          <w:sz w:val="17"/>
        </w:rPr>
        <w:t xml:space="preserve">performance </w:t>
      </w:r>
      <w:r>
        <w:rPr>
          <w:rFonts w:ascii="Arial;sans-serif" w:hAnsi="Arial;sans-serif"/>
          <w:b w:val="false"/>
          <w:color w:val="313131"/>
          <w:sz w:val="17"/>
        </w:rPr>
        <w:t xml:space="preserve">of </w:t>
      </w:r>
      <w:r>
        <w:rPr>
          <w:rFonts w:ascii="Arial;sans-serif" w:hAnsi="Arial;sans-serif"/>
          <w:b w:val="false"/>
          <w:color w:val="1C1C1C"/>
          <w:sz w:val="17"/>
        </w:rPr>
        <w:t xml:space="preserve">this </w:t>
      </w:r>
      <w:r>
        <w:rPr>
          <w:rFonts w:ascii="Arial;sans-serif" w:hAnsi="Arial;sans-serif"/>
          <w:b w:val="false"/>
          <w:color w:val="313131"/>
          <w:sz w:val="17"/>
        </w:rPr>
        <w:t xml:space="preserve">Agreement shall </w:t>
      </w:r>
      <w:r>
        <w:rPr>
          <w:rFonts w:ascii="Arial;sans-serif" w:hAnsi="Arial;sans-serif"/>
          <w:b w:val="false"/>
          <w:color w:val="1C1C1C"/>
          <w:sz w:val="17"/>
        </w:rPr>
        <w:t xml:space="preserve">be governed by, </w:t>
      </w:r>
      <w:r>
        <w:rPr>
          <w:rFonts w:ascii="Arial;sans-serif" w:hAnsi="Arial;sans-serif"/>
          <w:b w:val="false"/>
          <w:color w:val="313131"/>
          <w:sz w:val="17"/>
        </w:rPr>
        <w:t xml:space="preserve">and construed </w:t>
      </w:r>
      <w:r>
        <w:rPr>
          <w:rFonts w:ascii="Arial;sans-serif" w:hAnsi="Arial;sans-serif"/>
          <w:b w:val="false"/>
          <w:color w:val="1C1C1C"/>
          <w:sz w:val="17"/>
        </w:rPr>
        <w:t xml:space="preserve">in </w:t>
      </w:r>
      <w:r>
        <w:rPr>
          <w:rFonts w:ascii="Arial;sans-serif" w:hAnsi="Arial;sans-serif"/>
          <w:b w:val="false"/>
          <w:color w:val="313131"/>
          <w:sz w:val="17"/>
        </w:rPr>
        <w:t xml:space="preserve">accordance with, </w:t>
      </w:r>
      <w:r>
        <w:rPr>
          <w:rFonts w:ascii="Arial;sans-serif" w:hAnsi="Arial;sans-serif"/>
          <w:b w:val="false"/>
          <w:color w:val="1C1C1C"/>
          <w:sz w:val="17"/>
        </w:rPr>
        <w:t xml:space="preserve">the law </w:t>
      </w:r>
      <w:r>
        <w:rPr>
          <w:rFonts w:ascii="Arial;sans-serif" w:hAnsi="Arial;sans-serif"/>
          <w:b w:val="false"/>
          <w:color w:val="313131"/>
          <w:sz w:val="17"/>
        </w:rPr>
        <w:t xml:space="preserve">of </w:t>
      </w:r>
      <w:r>
        <w:rPr>
          <w:rFonts w:ascii="Arial;sans-serif" w:hAnsi="Arial;sans-serif"/>
          <w:b w:val="false"/>
          <w:color w:val="1C1C1C"/>
          <w:sz w:val="17"/>
        </w:rPr>
        <w:t xml:space="preserve">Delaware. </w:t>
      </w:r>
      <w:r>
        <w:rPr>
          <w:rFonts w:ascii="Arial;sans-serif" w:hAnsi="Arial;sans-serif"/>
          <w:b w:val="false"/>
          <w:color w:val="313131"/>
          <w:sz w:val="17"/>
        </w:rPr>
        <w:t xml:space="preserve">Any action regarding a Dispute (as defined above) shall </w:t>
      </w:r>
      <w:r>
        <w:rPr>
          <w:rFonts w:ascii="Arial;sans-serif" w:hAnsi="Arial;sans-serif"/>
          <w:b w:val="false"/>
          <w:color w:val="1C1C1C"/>
          <w:sz w:val="17"/>
        </w:rPr>
        <w:t xml:space="preserve">be </w:t>
      </w:r>
      <w:r>
        <w:rPr>
          <w:rFonts w:ascii="Arial;sans-serif" w:hAnsi="Arial;sans-serif"/>
          <w:b w:val="false"/>
          <w:color w:val="313131"/>
          <w:sz w:val="17"/>
        </w:rPr>
        <w:t xml:space="preserve">commenced </w:t>
      </w:r>
      <w:r>
        <w:rPr>
          <w:rFonts w:ascii="Arial;sans-serif" w:hAnsi="Arial;sans-serif"/>
          <w:b w:val="false"/>
          <w:color w:val="1C1C1C"/>
          <w:sz w:val="17"/>
        </w:rPr>
        <w:t xml:space="preserve">in </w:t>
      </w:r>
      <w:r>
        <w:rPr>
          <w:rFonts w:ascii="Arial;sans-serif" w:hAnsi="Arial;sans-serif"/>
          <w:b w:val="false"/>
          <w:color w:val="313131"/>
          <w:sz w:val="17"/>
        </w:rPr>
        <w:t xml:space="preserve">a court of competent </w:t>
      </w:r>
      <w:r>
        <w:rPr>
          <w:rFonts w:ascii="Arial;sans-serif" w:hAnsi="Arial;sans-serif"/>
          <w:b w:val="false"/>
          <w:color w:val="1C1C1C"/>
          <w:sz w:val="17"/>
        </w:rPr>
        <w:t xml:space="preserve">jurisdiction </w:t>
      </w:r>
      <w:r>
        <w:rPr>
          <w:rFonts w:ascii="Arial;sans-serif" w:hAnsi="Arial;sans-serif"/>
          <w:b w:val="false"/>
          <w:color w:val="313131"/>
          <w:sz w:val="17"/>
        </w:rPr>
        <w:t xml:space="preserve">in </w:t>
      </w:r>
      <w:r>
        <w:rPr>
          <w:rFonts w:ascii="Arial;sans-serif" w:hAnsi="Arial;sans-serif"/>
          <w:b w:val="false"/>
          <w:color w:val="1C1C1C"/>
          <w:sz w:val="17"/>
        </w:rPr>
        <w:t xml:space="preserve">the </w:t>
      </w:r>
      <w:r>
        <w:rPr>
          <w:rFonts w:ascii="Arial;sans-serif" w:hAnsi="Arial;sans-serif"/>
          <w:b w:val="false"/>
          <w:color w:val="313131"/>
          <w:sz w:val="17"/>
        </w:rPr>
        <w:t xml:space="preserve">state </w:t>
      </w:r>
      <w:r>
        <w:rPr>
          <w:rFonts w:ascii="Arial;sans-serif" w:hAnsi="Arial;sans-serif"/>
          <w:b w:val="false"/>
          <w:color w:val="1C1C1C"/>
          <w:sz w:val="17"/>
        </w:rPr>
        <w:t xml:space="preserve">in </w:t>
      </w:r>
      <w:r>
        <w:rPr>
          <w:rFonts w:ascii="Arial;sans-serif" w:hAnsi="Arial;sans-serif"/>
          <w:b w:val="false"/>
          <w:color w:val="313131"/>
          <w:sz w:val="17"/>
        </w:rPr>
        <w:t xml:space="preserve">which </w:t>
      </w:r>
      <w:r>
        <w:rPr>
          <w:rFonts w:ascii="Arial;sans-serif" w:hAnsi="Arial;sans-serif"/>
          <w:b w:val="false"/>
          <w:color w:val="0A0A0A"/>
          <w:sz w:val="17"/>
        </w:rPr>
        <w:t xml:space="preserve">I </w:t>
      </w:r>
      <w:r>
        <w:rPr>
          <w:rFonts w:ascii="Arial;sans-serif" w:hAnsi="Arial;sans-serif"/>
          <w:b w:val="false"/>
          <w:color w:val="313131"/>
          <w:sz w:val="17"/>
        </w:rPr>
        <w:t xml:space="preserve">am </w:t>
      </w:r>
      <w:r>
        <w:rPr>
          <w:rFonts w:ascii="Arial;sans-serif" w:hAnsi="Arial;sans-serif"/>
          <w:b w:val="false"/>
          <w:color w:val="1C1C1C"/>
          <w:sz w:val="17"/>
        </w:rPr>
        <w:t xml:space="preserve">primarily </w:t>
      </w:r>
      <w:r>
        <w:rPr>
          <w:rFonts w:ascii="Arial;sans-serif" w:hAnsi="Arial;sans-serif"/>
          <w:b w:val="false"/>
          <w:color w:val="313131"/>
          <w:sz w:val="17"/>
        </w:rPr>
        <w:t>employed.</w:t>
      </w:r>
    </w:p>
    <w:p>
      <w:pPr>
        <w:pStyle w:val="TextBody"/>
        <w:spacing w:before="2" w:after="283"/>
        <w:rPr/>
      </w:pPr>
      <w:r>
        <w:rPr/>
      </w:r>
    </w:p>
    <w:p>
      <w:pPr>
        <w:pStyle w:val="TextBody"/>
        <w:spacing w:lineRule="auto" w:line="295" w:before="0" w:after="0"/>
        <w:ind w:left="0" w:right="0" w:hanging="355"/>
        <w:rPr/>
      </w:pPr>
      <w:r>
        <w:rPr>
          <w:rFonts w:ascii="Arial;sans-serif" w:hAnsi="Arial;sans-serif"/>
          <w:b w:val="false"/>
          <w:color w:val="313131"/>
          <w:sz w:val="17"/>
        </w:rPr>
        <w:t xml:space="preserve">20.This Agreement sets forth </w:t>
      </w:r>
      <w:r>
        <w:rPr>
          <w:rFonts w:ascii="Arial;sans-serif" w:hAnsi="Arial;sans-serif"/>
          <w:b w:val="false"/>
          <w:color w:val="1C1C1C"/>
          <w:sz w:val="17"/>
        </w:rPr>
        <w:t xml:space="preserve">the </w:t>
      </w:r>
      <w:r>
        <w:rPr>
          <w:rFonts w:ascii="Arial;sans-serif" w:hAnsi="Arial;sans-serif"/>
          <w:b w:val="false"/>
          <w:color w:val="313131"/>
          <w:sz w:val="17"/>
        </w:rPr>
        <w:t xml:space="preserve">entire agreement and understanding between </w:t>
      </w:r>
      <w:r>
        <w:rPr>
          <w:rFonts w:ascii="Arial;sans-serif" w:hAnsi="Arial;sans-serif"/>
          <w:b w:val="false"/>
          <w:color w:val="1C1C1C"/>
          <w:sz w:val="17"/>
        </w:rPr>
        <w:t xml:space="preserve">the </w:t>
      </w:r>
      <w:r>
        <w:rPr>
          <w:rFonts w:ascii="Arial;sans-serif" w:hAnsi="Arial;sans-serif"/>
          <w:b w:val="false"/>
          <w:color w:val="313131"/>
          <w:sz w:val="17"/>
        </w:rPr>
        <w:t xml:space="preserve">Company and </w:t>
      </w:r>
      <w:r>
        <w:rPr>
          <w:rFonts w:ascii="Arial;sans-serif" w:hAnsi="Arial;sans-serif"/>
          <w:b w:val="false"/>
          <w:color w:val="1C1C1C"/>
          <w:sz w:val="17"/>
        </w:rPr>
        <w:t xml:space="preserve">me </w:t>
      </w:r>
      <w:r>
        <w:rPr>
          <w:rFonts w:ascii="Arial;sans-serif" w:hAnsi="Arial;sans-serif"/>
          <w:b w:val="false"/>
          <w:color w:val="313131"/>
          <w:sz w:val="17"/>
        </w:rPr>
        <w:t xml:space="preserve">relating </w:t>
      </w:r>
      <w:r>
        <w:rPr>
          <w:rFonts w:ascii="Arial;sans-serif" w:hAnsi="Arial;sans-serif"/>
          <w:b w:val="false"/>
          <w:color w:val="1C1C1C"/>
          <w:sz w:val="17"/>
        </w:rPr>
        <w:t xml:space="preserve">to the </w:t>
      </w:r>
      <w:r>
        <w:rPr>
          <w:rFonts w:ascii="Arial;sans-serif" w:hAnsi="Arial;sans-serif"/>
          <w:b w:val="false"/>
          <w:color w:val="313131"/>
          <w:sz w:val="17"/>
        </w:rPr>
        <w:t xml:space="preserve">subject matter herein and </w:t>
      </w:r>
      <w:r>
        <w:rPr>
          <w:rFonts w:ascii="Arial;sans-serif" w:hAnsi="Arial;sans-serif"/>
          <w:b w:val="false"/>
          <w:color w:val="1C1C1C"/>
          <w:sz w:val="17"/>
        </w:rPr>
        <w:t xml:space="preserve">merges </w:t>
      </w:r>
      <w:r>
        <w:rPr>
          <w:rFonts w:ascii="Arial;sans-serif" w:hAnsi="Arial;sans-serif"/>
          <w:b w:val="false"/>
          <w:color w:val="313131"/>
          <w:sz w:val="17"/>
        </w:rPr>
        <w:t xml:space="preserve">all prior discussions between </w:t>
      </w:r>
      <w:r>
        <w:rPr>
          <w:rFonts w:ascii="Arial;sans-serif" w:hAnsi="Arial;sans-serif"/>
          <w:b w:val="false"/>
          <w:color w:val="1C1C1C"/>
          <w:sz w:val="17"/>
        </w:rPr>
        <w:t xml:space="preserve">us. </w:t>
      </w:r>
      <w:r>
        <w:rPr>
          <w:rFonts w:ascii="Arial;sans-serif" w:hAnsi="Arial;sans-serif"/>
          <w:b w:val="false"/>
          <w:color w:val="0A0A0A"/>
          <w:sz w:val="17"/>
        </w:rPr>
        <w:t xml:space="preserve">It </w:t>
      </w:r>
      <w:r>
        <w:rPr>
          <w:rFonts w:ascii="Arial;sans-serif" w:hAnsi="Arial;sans-serif"/>
          <w:b w:val="false"/>
          <w:color w:val="313131"/>
          <w:sz w:val="17"/>
        </w:rPr>
        <w:t xml:space="preserve">supersedes any and all prior agreements (written or oral) </w:t>
      </w:r>
      <w:r>
        <w:rPr>
          <w:rFonts w:ascii="Arial;sans-serif" w:hAnsi="Arial;sans-serif"/>
          <w:b w:val="false"/>
          <w:color w:val="1C1C1C"/>
          <w:sz w:val="17"/>
        </w:rPr>
        <w:t xml:space="preserve">relating </w:t>
      </w:r>
      <w:r>
        <w:rPr>
          <w:rFonts w:ascii="Arial;sans-serif" w:hAnsi="Arial;sans-serif"/>
          <w:b w:val="false"/>
          <w:color w:val="313131"/>
          <w:sz w:val="17"/>
        </w:rPr>
        <w:t xml:space="preserve">to the subject </w:t>
      </w:r>
      <w:r>
        <w:rPr>
          <w:rFonts w:ascii="Arial;sans-serif" w:hAnsi="Arial;sans-serif"/>
          <w:b w:val="false"/>
          <w:color w:val="1C1C1C"/>
          <w:sz w:val="17"/>
        </w:rPr>
        <w:t xml:space="preserve">matters </w:t>
      </w:r>
      <w:r>
        <w:rPr>
          <w:rFonts w:ascii="Arial;sans-serif" w:hAnsi="Arial;sans-serif"/>
          <w:b w:val="false"/>
          <w:color w:val="313131"/>
          <w:sz w:val="17"/>
        </w:rPr>
        <w:t xml:space="preserve">covered by </w:t>
      </w:r>
      <w:r>
        <w:rPr>
          <w:rFonts w:ascii="Arial;sans-serif" w:hAnsi="Arial;sans-serif"/>
          <w:b w:val="false"/>
          <w:color w:val="1C1C1C"/>
          <w:sz w:val="17"/>
        </w:rPr>
        <w:t xml:space="preserve">this </w:t>
      </w:r>
      <w:r>
        <w:rPr>
          <w:rFonts w:ascii="Arial;sans-serif" w:hAnsi="Arial;sans-serif"/>
          <w:b w:val="false"/>
          <w:color w:val="313131"/>
          <w:sz w:val="17"/>
        </w:rPr>
        <w:t xml:space="preserve">Agreement, </w:t>
      </w:r>
      <w:r>
        <w:rPr>
          <w:rFonts w:ascii="Arial;sans-serif" w:hAnsi="Arial;sans-serif"/>
          <w:b w:val="false"/>
          <w:color w:val="1C1C1C"/>
          <w:sz w:val="17"/>
        </w:rPr>
        <w:t xml:space="preserve">including </w:t>
      </w:r>
      <w:r>
        <w:rPr>
          <w:rFonts w:ascii="Arial;sans-serif" w:hAnsi="Arial;sans-serif"/>
          <w:b w:val="false"/>
          <w:color w:val="313131"/>
          <w:sz w:val="17"/>
        </w:rPr>
        <w:t xml:space="preserve">any </w:t>
      </w:r>
      <w:r>
        <w:rPr>
          <w:rFonts w:ascii="Arial;sans-serif" w:hAnsi="Arial;sans-serif"/>
          <w:b w:val="false"/>
          <w:color w:val="1C1C1C"/>
          <w:sz w:val="17"/>
        </w:rPr>
        <w:t xml:space="preserve">prior </w:t>
      </w:r>
      <w:r>
        <w:rPr>
          <w:rFonts w:ascii="Arial;sans-serif" w:hAnsi="Arial;sans-serif"/>
          <w:b w:val="false"/>
          <w:color w:val="313131"/>
          <w:sz w:val="17"/>
        </w:rPr>
        <w:t xml:space="preserve">agreements covering (i) protection of the Company's </w:t>
      </w:r>
      <w:r>
        <w:rPr>
          <w:rFonts w:ascii="Arial;sans-serif" w:hAnsi="Arial;sans-serif"/>
          <w:b w:val="false"/>
          <w:color w:val="1C1C1C"/>
          <w:sz w:val="17"/>
        </w:rPr>
        <w:t>intellectual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5" w:after="283"/>
        <w:rPr/>
      </w:pPr>
      <w:r>
        <w:rPr/>
      </w:r>
    </w:p>
    <w:p>
      <w:pPr>
        <w:pStyle w:val="TextBody"/>
        <w:spacing w:lineRule="auto" w:line="297" w:before="95" w:after="283"/>
        <w:ind w:left="0" w:right="0" w:firstLine="10"/>
        <w:rPr/>
      </w:pPr>
      <w:r>
        <w:rPr>
          <w:rFonts w:ascii="Arial;sans-serif" w:hAnsi="Arial;sans-serif"/>
          <w:b w:val="false"/>
          <w:color w:val="181818"/>
          <w:sz w:val="17"/>
        </w:rPr>
        <w:t xml:space="preserve">property, </w:t>
      </w:r>
      <w:r>
        <w:rPr>
          <w:rFonts w:ascii="Arial;sans-serif" w:hAnsi="Arial;sans-serif"/>
          <w:b w:val="false"/>
          <w:color w:val="2F2F2F"/>
          <w:sz w:val="17"/>
        </w:rPr>
        <w:t xml:space="preserve">or </w:t>
      </w:r>
      <w:r>
        <w:rPr>
          <w:rFonts w:ascii="Arial;sans-serif" w:hAnsi="Arial;sans-serif"/>
          <w:b w:val="false"/>
          <w:color w:val="181818"/>
          <w:sz w:val="17"/>
        </w:rPr>
        <w:t xml:space="preserve">its </w:t>
      </w:r>
      <w:r>
        <w:rPr>
          <w:rFonts w:ascii="Arial;sans-serif" w:hAnsi="Arial;sans-serif"/>
          <w:b w:val="false"/>
          <w:color w:val="2F2F2F"/>
          <w:sz w:val="17"/>
        </w:rPr>
        <w:t xml:space="preserve">confidential </w:t>
      </w:r>
      <w:r>
        <w:rPr>
          <w:rFonts w:ascii="Arial;sans-serif" w:hAnsi="Arial;sans-serif"/>
          <w:b w:val="false"/>
          <w:color w:val="181818"/>
          <w:sz w:val="17"/>
        </w:rPr>
        <w:t xml:space="preserve">and </w:t>
      </w:r>
      <w:r>
        <w:rPr>
          <w:rFonts w:ascii="Arial;sans-serif" w:hAnsi="Arial;sans-serif"/>
          <w:b w:val="false"/>
          <w:color w:val="2F2F2F"/>
          <w:sz w:val="17"/>
        </w:rPr>
        <w:t xml:space="preserve">proprietary </w:t>
      </w:r>
      <w:r>
        <w:rPr>
          <w:rFonts w:ascii="Arial;sans-serif" w:hAnsi="Arial;sans-serif"/>
          <w:b w:val="false"/>
          <w:color w:val="181818"/>
          <w:sz w:val="17"/>
        </w:rPr>
        <w:t xml:space="preserve">information </w:t>
      </w:r>
      <w:r>
        <w:rPr>
          <w:rFonts w:ascii="Arial;sans-serif" w:hAnsi="Arial;sans-serif"/>
          <w:b w:val="false"/>
          <w:color w:val="2F2F2F"/>
          <w:sz w:val="17"/>
        </w:rPr>
        <w:t xml:space="preserve">or documents, and (ii) any </w:t>
      </w:r>
      <w:r>
        <w:rPr>
          <w:rFonts w:ascii="Arial;sans-serif" w:hAnsi="Arial;sans-serif"/>
          <w:b w:val="false"/>
          <w:color w:val="181818"/>
          <w:sz w:val="17"/>
        </w:rPr>
        <w:t xml:space="preserve">dispute resolution process. No modification </w:t>
      </w:r>
      <w:r>
        <w:rPr>
          <w:rFonts w:ascii="Arial;sans-serif" w:hAnsi="Arial;sans-serif"/>
          <w:b w:val="false"/>
          <w:color w:val="2F2F2F"/>
          <w:sz w:val="17"/>
        </w:rPr>
        <w:t xml:space="preserve">of or </w:t>
      </w:r>
      <w:r>
        <w:rPr>
          <w:rFonts w:ascii="Arial;sans-serif" w:hAnsi="Arial;sans-serif"/>
          <w:b w:val="false"/>
          <w:color w:val="181818"/>
          <w:sz w:val="17"/>
        </w:rPr>
        <w:t xml:space="preserve">amendment to this </w:t>
      </w:r>
      <w:r>
        <w:rPr>
          <w:rFonts w:ascii="Arial;sans-serif" w:hAnsi="Arial;sans-serif"/>
          <w:b w:val="false"/>
          <w:color w:val="2F2F2F"/>
          <w:sz w:val="17"/>
        </w:rPr>
        <w:t xml:space="preserve">Agreement, </w:t>
      </w:r>
      <w:r>
        <w:rPr>
          <w:rFonts w:ascii="Arial;sans-serif" w:hAnsi="Arial;sans-serif"/>
          <w:b w:val="false"/>
          <w:color w:val="181818"/>
          <w:sz w:val="17"/>
        </w:rPr>
        <w:t xml:space="preserve">nor any </w:t>
      </w:r>
      <w:r>
        <w:rPr>
          <w:rFonts w:ascii="Arial;sans-serif" w:hAnsi="Arial;sans-serif"/>
          <w:b w:val="false"/>
          <w:color w:val="2F2F2F"/>
          <w:sz w:val="17"/>
        </w:rPr>
        <w:t xml:space="preserve">waiver </w:t>
      </w:r>
      <w:r>
        <w:rPr>
          <w:rFonts w:ascii="Arial;sans-serif" w:hAnsi="Arial;sans-serif"/>
          <w:b w:val="false"/>
          <w:color w:val="181818"/>
          <w:sz w:val="17"/>
        </w:rPr>
        <w:t xml:space="preserve">of any rights under this </w:t>
      </w:r>
      <w:r>
        <w:rPr>
          <w:rFonts w:ascii="Arial;sans-serif" w:hAnsi="Arial;sans-serif"/>
          <w:b w:val="false"/>
          <w:color w:val="2F2F2F"/>
          <w:sz w:val="17"/>
        </w:rPr>
        <w:t xml:space="preserve">Agreement will </w:t>
      </w:r>
      <w:r>
        <w:rPr>
          <w:rFonts w:ascii="Arial;sans-serif" w:hAnsi="Arial;sans-serif"/>
          <w:b w:val="false"/>
          <w:color w:val="181818"/>
          <w:sz w:val="17"/>
        </w:rPr>
        <w:t xml:space="preserve">be </w:t>
      </w:r>
      <w:r>
        <w:rPr>
          <w:rFonts w:ascii="Arial;sans-serif" w:hAnsi="Arial;sans-serif"/>
          <w:b w:val="false"/>
          <w:color w:val="2F2F2F"/>
          <w:sz w:val="17"/>
        </w:rPr>
        <w:t xml:space="preserve">effective </w:t>
      </w:r>
      <w:r>
        <w:rPr>
          <w:rFonts w:ascii="Arial;sans-serif" w:hAnsi="Arial;sans-serif"/>
          <w:b w:val="false"/>
          <w:color w:val="181818"/>
          <w:sz w:val="17"/>
        </w:rPr>
        <w:t xml:space="preserve">unless in </w:t>
      </w:r>
      <w:r>
        <w:rPr>
          <w:rFonts w:ascii="Arial;sans-serif" w:hAnsi="Arial;sans-serif"/>
          <w:b w:val="false"/>
          <w:color w:val="2F2F2F"/>
          <w:sz w:val="17"/>
        </w:rPr>
        <w:t xml:space="preserve">writing signed by an authorized representative of </w:t>
      </w:r>
      <w:r>
        <w:rPr>
          <w:rFonts w:ascii="Arial;sans-serif" w:hAnsi="Arial;sans-serif"/>
          <w:b w:val="false"/>
          <w:color w:val="181818"/>
          <w:sz w:val="17"/>
        </w:rPr>
        <w:t xml:space="preserve">the </w:t>
      </w:r>
      <w:r>
        <w:rPr>
          <w:rFonts w:ascii="Arial;sans-serif" w:hAnsi="Arial;sans-serif"/>
          <w:b w:val="false"/>
          <w:color w:val="2F2F2F"/>
          <w:sz w:val="17"/>
        </w:rPr>
        <w:t xml:space="preserve">party </w:t>
      </w:r>
      <w:r>
        <w:rPr>
          <w:rFonts w:ascii="Arial;sans-serif" w:hAnsi="Arial;sans-serif"/>
          <w:b w:val="false"/>
          <w:color w:val="181818"/>
          <w:sz w:val="17"/>
        </w:rPr>
        <w:t xml:space="preserve">to be </w:t>
      </w:r>
      <w:r>
        <w:rPr>
          <w:rFonts w:ascii="Arial;sans-serif" w:hAnsi="Arial;sans-serif"/>
          <w:b w:val="false"/>
          <w:color w:val="2F2F2F"/>
          <w:sz w:val="17"/>
        </w:rPr>
        <w:t xml:space="preserve">charged, which </w:t>
      </w:r>
      <w:r>
        <w:rPr>
          <w:rFonts w:ascii="Arial;sans-serif" w:hAnsi="Arial;sans-serif"/>
          <w:b w:val="false"/>
          <w:color w:val="181818"/>
          <w:sz w:val="17"/>
        </w:rPr>
        <w:t xml:space="preserve">in the </w:t>
      </w:r>
      <w:r>
        <w:rPr>
          <w:rFonts w:ascii="Arial;sans-serif" w:hAnsi="Arial;sans-serif"/>
          <w:b w:val="false"/>
          <w:color w:val="2F2F2F"/>
          <w:sz w:val="17"/>
        </w:rPr>
        <w:t xml:space="preserve">case of </w:t>
      </w:r>
      <w:r>
        <w:rPr>
          <w:rFonts w:ascii="Arial;sans-serif" w:hAnsi="Arial;sans-serif"/>
          <w:b w:val="false"/>
          <w:color w:val="181818"/>
          <w:sz w:val="17"/>
        </w:rPr>
        <w:t xml:space="preserve">the </w:t>
      </w:r>
      <w:r>
        <w:rPr>
          <w:rFonts w:ascii="Arial;sans-serif" w:hAnsi="Arial;sans-serif"/>
          <w:b w:val="false"/>
          <w:color w:val="2F2F2F"/>
          <w:sz w:val="17"/>
        </w:rPr>
        <w:t xml:space="preserve">Company shall </w:t>
      </w:r>
      <w:r>
        <w:rPr>
          <w:rFonts w:ascii="Arial;sans-serif" w:hAnsi="Arial;sans-serif"/>
          <w:b w:val="false"/>
          <w:color w:val="181818"/>
          <w:sz w:val="17"/>
        </w:rPr>
        <w:t xml:space="preserve">be the Board </w:t>
      </w:r>
      <w:r>
        <w:rPr>
          <w:rFonts w:ascii="Arial;sans-serif" w:hAnsi="Arial;sans-serif"/>
          <w:b w:val="false"/>
          <w:color w:val="2F2F2F"/>
          <w:sz w:val="17"/>
        </w:rPr>
        <w:t xml:space="preserve">of Directors or </w:t>
      </w:r>
      <w:r>
        <w:rPr>
          <w:rFonts w:ascii="Arial;sans-serif" w:hAnsi="Arial;sans-serif"/>
          <w:b w:val="false"/>
          <w:color w:val="181818"/>
          <w:sz w:val="17"/>
        </w:rPr>
        <w:t xml:space="preserve">the </w:t>
      </w:r>
      <w:r>
        <w:rPr>
          <w:rFonts w:ascii="Arial;sans-serif" w:hAnsi="Arial;sans-serif"/>
          <w:b w:val="false"/>
          <w:color w:val="2F2F2F"/>
          <w:sz w:val="17"/>
        </w:rPr>
        <w:t xml:space="preserve">CEO. </w:t>
      </w:r>
      <w:r>
        <w:rPr>
          <w:rFonts w:ascii="Arial;sans-serif" w:hAnsi="Arial;sans-serif"/>
          <w:b w:val="false"/>
          <w:color w:val="181818"/>
          <w:sz w:val="17"/>
        </w:rPr>
        <w:t xml:space="preserve">I further </w:t>
      </w:r>
      <w:r>
        <w:rPr>
          <w:rFonts w:ascii="Arial;sans-serif" w:hAnsi="Arial;sans-serif"/>
          <w:b w:val="false"/>
          <w:color w:val="2F2F2F"/>
          <w:sz w:val="17"/>
        </w:rPr>
        <w:t xml:space="preserve">acknowledge and agree </w:t>
      </w:r>
      <w:r>
        <w:rPr>
          <w:rFonts w:ascii="Arial;sans-serif" w:hAnsi="Arial;sans-serif"/>
          <w:b w:val="false"/>
          <w:color w:val="181818"/>
          <w:sz w:val="17"/>
        </w:rPr>
        <w:t xml:space="preserve">that </w:t>
      </w:r>
      <w:r>
        <w:rPr>
          <w:rFonts w:ascii="Arial;sans-serif" w:hAnsi="Arial;sans-serif"/>
          <w:b w:val="false"/>
          <w:color w:val="2F2F2F"/>
          <w:sz w:val="17"/>
        </w:rPr>
        <w:t xml:space="preserve">any subsequent change or changes </w:t>
      </w:r>
      <w:r>
        <w:rPr>
          <w:rFonts w:ascii="Arial;sans-serif" w:hAnsi="Arial;sans-serif"/>
          <w:b w:val="false"/>
          <w:color w:val="181818"/>
          <w:sz w:val="17"/>
        </w:rPr>
        <w:t xml:space="preserve">in my duties, </w:t>
      </w:r>
      <w:r>
        <w:rPr>
          <w:rFonts w:ascii="Arial;sans-serif" w:hAnsi="Arial;sans-serif"/>
          <w:b w:val="false"/>
          <w:color w:val="2F2F2F"/>
          <w:sz w:val="17"/>
        </w:rPr>
        <w:t xml:space="preserve">salary or compensation, or subsequent </w:t>
      </w:r>
      <w:r>
        <w:rPr>
          <w:rFonts w:ascii="Arial;sans-serif" w:hAnsi="Arial;sans-serif"/>
          <w:b w:val="false"/>
          <w:color w:val="181818"/>
          <w:sz w:val="17"/>
        </w:rPr>
        <w:t xml:space="preserve">employment with </w:t>
      </w:r>
      <w:r>
        <w:rPr>
          <w:rFonts w:ascii="Arial;sans-serif" w:hAnsi="Arial;sans-serif"/>
          <w:b w:val="false"/>
          <w:color w:val="2F2F2F"/>
          <w:sz w:val="17"/>
        </w:rPr>
        <w:t xml:space="preserve">any entity </w:t>
      </w:r>
      <w:r>
        <w:rPr>
          <w:rFonts w:ascii="Arial;sans-serif" w:hAnsi="Arial;sans-serif"/>
          <w:b w:val="false"/>
          <w:color w:val="181818"/>
          <w:sz w:val="17"/>
        </w:rPr>
        <w:t xml:space="preserve">related to </w:t>
      </w:r>
      <w:r>
        <w:rPr>
          <w:rFonts w:ascii="Arial;sans-serif" w:hAnsi="Arial;sans-serif"/>
          <w:b w:val="false"/>
          <w:color w:val="2F2F2F"/>
          <w:sz w:val="17"/>
        </w:rPr>
        <w:t xml:space="preserve">the Company (be it a subsidiary, division, or other affiliate) </w:t>
      </w:r>
      <w:r>
        <w:rPr>
          <w:rFonts w:ascii="Arial;sans-serif" w:hAnsi="Arial;sans-serif"/>
          <w:b w:val="false"/>
          <w:color w:val="181818"/>
          <w:sz w:val="17"/>
        </w:rPr>
        <w:t xml:space="preserve">will not </w:t>
      </w:r>
      <w:r>
        <w:rPr>
          <w:rFonts w:ascii="Arial;sans-serif" w:hAnsi="Arial;sans-serif"/>
          <w:b w:val="false"/>
          <w:color w:val="2F2F2F"/>
          <w:sz w:val="17"/>
        </w:rPr>
        <w:t xml:space="preserve">affect </w:t>
      </w:r>
      <w:r>
        <w:rPr>
          <w:rFonts w:ascii="Arial;sans-serif" w:hAnsi="Arial;sans-serif"/>
          <w:b w:val="false"/>
          <w:color w:val="181818"/>
          <w:sz w:val="17"/>
        </w:rPr>
        <w:t xml:space="preserve">the </w:t>
      </w:r>
      <w:r>
        <w:rPr>
          <w:rFonts w:ascii="Arial;sans-serif" w:hAnsi="Arial;sans-serif"/>
          <w:b w:val="false"/>
          <w:color w:val="2F2F2F"/>
          <w:sz w:val="17"/>
        </w:rPr>
        <w:t xml:space="preserve">validity or scope of </w:t>
      </w:r>
      <w:r>
        <w:rPr>
          <w:rFonts w:ascii="Arial;sans-serif" w:hAnsi="Arial;sans-serif"/>
          <w:b w:val="false"/>
          <w:color w:val="181818"/>
          <w:sz w:val="17"/>
        </w:rPr>
        <w:t xml:space="preserve">this </w:t>
      </w:r>
      <w:r>
        <w:rPr>
          <w:rFonts w:ascii="Arial;sans-serif" w:hAnsi="Arial;sans-serif"/>
          <w:b w:val="false"/>
          <w:color w:val="2F2F2F"/>
          <w:sz w:val="17"/>
        </w:rPr>
        <w:t xml:space="preserve">Agreement, which shall </w:t>
      </w:r>
      <w:r>
        <w:rPr>
          <w:rFonts w:ascii="Arial;sans-serif" w:hAnsi="Arial;sans-serif"/>
          <w:b w:val="false"/>
          <w:color w:val="181818"/>
          <w:sz w:val="17"/>
        </w:rPr>
        <w:t xml:space="preserve">remain in full force </w:t>
      </w:r>
      <w:r>
        <w:rPr>
          <w:rFonts w:ascii="Arial;sans-serif" w:hAnsi="Arial;sans-serif"/>
          <w:b w:val="false"/>
          <w:color w:val="2F2F2F"/>
          <w:sz w:val="17"/>
        </w:rPr>
        <w:t>and effect.</w:t>
      </w:r>
    </w:p>
    <w:p>
      <w:pPr>
        <w:pStyle w:val="TextBody"/>
        <w:spacing w:before="1" w:after="283"/>
        <w:rPr/>
      </w:pPr>
      <w:r>
        <w:rPr/>
      </w:r>
    </w:p>
    <w:p>
      <w:pPr>
        <w:pStyle w:val="TextBody"/>
        <w:spacing w:lineRule="auto" w:line="295" w:before="0" w:after="0"/>
        <w:ind w:left="0" w:right="0" w:hanging="366"/>
        <w:rPr/>
      </w:pPr>
      <w:r>
        <w:rPr>
          <w:rFonts w:ascii="Arial;sans-serif" w:hAnsi="Arial;sans-serif"/>
          <w:b w:val="false"/>
          <w:color w:val="2F2F2F"/>
          <w:sz w:val="17"/>
        </w:rPr>
        <w:t>21.</w:t>
      </w:r>
      <w:r>
        <w:rPr>
          <w:rFonts w:ascii="Arial;sans-serif" w:hAnsi="Arial;sans-serif"/>
          <w:b w:val="false"/>
          <w:color w:val="181818"/>
          <w:sz w:val="17"/>
        </w:rPr>
        <w:t xml:space="preserve">This </w:t>
      </w:r>
      <w:r>
        <w:rPr>
          <w:rFonts w:ascii="Arial;sans-serif" w:hAnsi="Arial;sans-serif"/>
          <w:b w:val="false"/>
          <w:color w:val="2F2F2F"/>
          <w:sz w:val="17"/>
        </w:rPr>
        <w:t xml:space="preserve">Agreement shall </w:t>
      </w:r>
      <w:r>
        <w:rPr>
          <w:rFonts w:ascii="Arial;sans-serif" w:hAnsi="Arial;sans-serif"/>
          <w:b w:val="false"/>
          <w:color w:val="181818"/>
          <w:sz w:val="17"/>
        </w:rPr>
        <w:t xml:space="preserve">inure </w:t>
      </w:r>
      <w:r>
        <w:rPr>
          <w:rFonts w:ascii="Arial;sans-serif" w:hAnsi="Arial;sans-serif"/>
          <w:b w:val="false"/>
          <w:color w:val="2F2F2F"/>
          <w:sz w:val="17"/>
        </w:rPr>
        <w:t xml:space="preserve">to </w:t>
      </w:r>
      <w:r>
        <w:rPr>
          <w:rFonts w:ascii="Arial;sans-serif" w:hAnsi="Arial;sans-serif"/>
          <w:b w:val="false"/>
          <w:color w:val="181818"/>
          <w:sz w:val="17"/>
        </w:rPr>
        <w:t xml:space="preserve">the benefit </w:t>
      </w:r>
      <w:r>
        <w:rPr>
          <w:rFonts w:ascii="Arial;sans-serif" w:hAnsi="Arial;sans-serif"/>
          <w:b w:val="false"/>
          <w:color w:val="2F2F2F"/>
          <w:sz w:val="17"/>
        </w:rPr>
        <w:t xml:space="preserve">of the Company, and any of </w:t>
      </w:r>
      <w:r>
        <w:rPr>
          <w:rFonts w:ascii="Arial;sans-serif" w:hAnsi="Arial;sans-serif"/>
          <w:b w:val="false"/>
          <w:color w:val="181818"/>
          <w:sz w:val="17"/>
        </w:rPr>
        <w:t xml:space="preserve">its </w:t>
      </w:r>
      <w:r>
        <w:rPr>
          <w:rFonts w:ascii="Arial;sans-serif" w:hAnsi="Arial;sans-serif"/>
          <w:b w:val="false"/>
          <w:color w:val="2F2F2F"/>
          <w:sz w:val="17"/>
        </w:rPr>
        <w:t xml:space="preserve">successors and assigns, and </w:t>
      </w:r>
      <w:r>
        <w:rPr>
          <w:rFonts w:ascii="Arial;sans-serif" w:hAnsi="Arial;sans-serif"/>
          <w:b w:val="false"/>
          <w:color w:val="181818"/>
          <w:sz w:val="17"/>
        </w:rPr>
        <w:t xml:space="preserve">I </w:t>
      </w:r>
      <w:r>
        <w:rPr>
          <w:rFonts w:ascii="Arial;sans-serif" w:hAnsi="Arial;sans-serif"/>
          <w:b w:val="false"/>
          <w:color w:val="2F2F2F"/>
          <w:sz w:val="17"/>
        </w:rPr>
        <w:t xml:space="preserve">specifically acknowledge and agree </w:t>
      </w:r>
      <w:r>
        <w:rPr>
          <w:rFonts w:ascii="Arial;sans-serif" w:hAnsi="Arial;sans-serif"/>
          <w:b w:val="false"/>
          <w:color w:val="181818"/>
          <w:sz w:val="17"/>
        </w:rPr>
        <w:t xml:space="preserve">that </w:t>
      </w:r>
      <w:r>
        <w:rPr>
          <w:rFonts w:ascii="Arial;sans-serif" w:hAnsi="Arial;sans-serif"/>
          <w:b w:val="false"/>
          <w:color w:val="2F2F2F"/>
          <w:sz w:val="17"/>
        </w:rPr>
        <w:t xml:space="preserve">the Company </w:t>
      </w:r>
      <w:r>
        <w:rPr>
          <w:rFonts w:ascii="Arial;sans-serif" w:hAnsi="Arial;sans-serif"/>
          <w:b w:val="false"/>
          <w:color w:val="181818"/>
          <w:sz w:val="17"/>
        </w:rPr>
        <w:t xml:space="preserve">maintains the right </w:t>
      </w:r>
      <w:r>
        <w:rPr>
          <w:rFonts w:ascii="Arial;sans-serif" w:hAnsi="Arial;sans-serif"/>
          <w:b w:val="false"/>
          <w:color w:val="2F2F2F"/>
          <w:sz w:val="17"/>
        </w:rPr>
        <w:t xml:space="preserve">to assign </w:t>
      </w:r>
      <w:r>
        <w:rPr>
          <w:rFonts w:ascii="Arial;sans-serif" w:hAnsi="Arial;sans-serif"/>
          <w:b w:val="false"/>
          <w:color w:val="181818"/>
          <w:sz w:val="17"/>
        </w:rPr>
        <w:t xml:space="preserve">this </w:t>
      </w:r>
      <w:r>
        <w:rPr>
          <w:rFonts w:ascii="Arial;sans-serif" w:hAnsi="Arial;sans-serif"/>
          <w:b w:val="false"/>
          <w:color w:val="2F2F2F"/>
          <w:sz w:val="17"/>
        </w:rPr>
        <w:t xml:space="preserve">Agreement </w:t>
      </w:r>
      <w:r>
        <w:rPr>
          <w:rFonts w:ascii="Arial;sans-serif" w:hAnsi="Arial;sans-serif"/>
          <w:b w:val="false"/>
          <w:color w:val="181818"/>
          <w:sz w:val="17"/>
        </w:rPr>
        <w:t xml:space="preserve">to </w:t>
      </w:r>
      <w:r>
        <w:rPr>
          <w:rFonts w:ascii="Arial;sans-serif" w:hAnsi="Arial;sans-serif"/>
          <w:b w:val="false"/>
          <w:color w:val="2F2F2F"/>
          <w:sz w:val="17"/>
        </w:rPr>
        <w:t xml:space="preserve">any of </w:t>
      </w:r>
      <w:r>
        <w:rPr>
          <w:rFonts w:ascii="Arial;sans-serif" w:hAnsi="Arial;sans-serif"/>
          <w:b w:val="false"/>
          <w:color w:val="181818"/>
          <w:sz w:val="17"/>
        </w:rPr>
        <w:t xml:space="preserve">its </w:t>
      </w:r>
      <w:r>
        <w:rPr>
          <w:rFonts w:ascii="Arial;sans-serif" w:hAnsi="Arial;sans-serif"/>
          <w:b w:val="false"/>
          <w:color w:val="2F2F2F"/>
          <w:sz w:val="17"/>
        </w:rPr>
        <w:t xml:space="preserve">successors and </w:t>
      </w:r>
      <w:r>
        <w:rPr>
          <w:rFonts w:ascii="Arial;sans-serif" w:hAnsi="Arial;sans-serif"/>
          <w:b w:val="false"/>
          <w:color w:val="181818"/>
          <w:sz w:val="17"/>
        </w:rPr>
        <w:t xml:space="preserve">assigns, </w:t>
      </w:r>
      <w:r>
        <w:rPr>
          <w:rFonts w:ascii="Arial;sans-serif" w:hAnsi="Arial;sans-serif"/>
          <w:b w:val="false"/>
          <w:color w:val="2F2F2F"/>
          <w:sz w:val="17"/>
        </w:rPr>
        <w:t xml:space="preserve">and </w:t>
      </w:r>
      <w:r>
        <w:rPr>
          <w:rFonts w:ascii="Arial;sans-serif" w:hAnsi="Arial;sans-serif"/>
          <w:b w:val="false"/>
          <w:color w:val="181818"/>
          <w:sz w:val="17"/>
        </w:rPr>
        <w:t xml:space="preserve">that I </w:t>
      </w:r>
      <w:r>
        <w:rPr>
          <w:rFonts w:ascii="Arial;sans-serif" w:hAnsi="Arial;sans-serif"/>
          <w:b w:val="false"/>
          <w:color w:val="2F2F2F"/>
          <w:sz w:val="17"/>
        </w:rPr>
        <w:t xml:space="preserve">shall </w:t>
      </w:r>
      <w:r>
        <w:rPr>
          <w:rFonts w:ascii="Arial;sans-serif" w:hAnsi="Arial;sans-serif"/>
          <w:b w:val="false"/>
          <w:color w:val="181818"/>
          <w:sz w:val="17"/>
        </w:rPr>
        <w:t xml:space="preserve">be fully </w:t>
      </w:r>
      <w:r>
        <w:rPr>
          <w:rFonts w:ascii="Arial;sans-serif" w:hAnsi="Arial;sans-serif"/>
          <w:b w:val="false"/>
          <w:color w:val="2F2F2F"/>
          <w:sz w:val="17"/>
        </w:rPr>
        <w:t xml:space="preserve">bound by the </w:t>
      </w:r>
      <w:r>
        <w:rPr>
          <w:rFonts w:ascii="Arial;sans-serif" w:hAnsi="Arial;sans-serif"/>
          <w:b w:val="false"/>
          <w:color w:val="181818"/>
          <w:sz w:val="17"/>
        </w:rPr>
        <w:t xml:space="preserve">terms </w:t>
      </w:r>
      <w:r>
        <w:rPr>
          <w:rFonts w:ascii="Arial;sans-serif" w:hAnsi="Arial;sans-serif"/>
          <w:b w:val="false"/>
          <w:color w:val="2F2F2F"/>
          <w:sz w:val="17"/>
        </w:rPr>
        <w:t xml:space="preserve">of </w:t>
      </w:r>
      <w:r>
        <w:rPr>
          <w:rFonts w:ascii="Arial;sans-serif" w:hAnsi="Arial;sans-serif"/>
          <w:b w:val="false"/>
          <w:color w:val="181818"/>
          <w:sz w:val="17"/>
        </w:rPr>
        <w:t xml:space="preserve">this </w:t>
      </w:r>
      <w:r>
        <w:rPr>
          <w:rFonts w:ascii="Arial;sans-serif" w:hAnsi="Arial;sans-serif"/>
          <w:b w:val="false"/>
          <w:color w:val="2F2F2F"/>
          <w:sz w:val="17"/>
        </w:rPr>
        <w:t xml:space="preserve">Agreement </w:t>
      </w:r>
      <w:r>
        <w:rPr>
          <w:rFonts w:ascii="Arial;sans-serif" w:hAnsi="Arial;sans-serif"/>
          <w:b w:val="false"/>
          <w:color w:val="181818"/>
          <w:sz w:val="17"/>
        </w:rPr>
        <w:t xml:space="preserve">upon </w:t>
      </w:r>
      <w:r>
        <w:rPr>
          <w:rFonts w:ascii="Arial;sans-serif" w:hAnsi="Arial;sans-serif"/>
          <w:b w:val="false"/>
          <w:color w:val="2F2F2F"/>
          <w:sz w:val="17"/>
        </w:rPr>
        <w:t>such assignment.</w:t>
      </w:r>
    </w:p>
    <w:p>
      <w:pPr>
        <w:pStyle w:val="TextBody"/>
        <w:spacing w:before="7" w:after="283"/>
        <w:rPr/>
      </w:pPr>
      <w:r>
        <w:rPr/>
      </w:r>
    </w:p>
    <w:p>
      <w:pPr>
        <w:pStyle w:val="TextBody"/>
        <w:spacing w:lineRule="auto" w:line="295" w:before="0" w:after="0"/>
        <w:ind w:left="0" w:right="0" w:hanging="366"/>
        <w:rPr/>
      </w:pPr>
      <w:r>
        <w:rPr>
          <w:rFonts w:ascii="Arial;sans-serif" w:hAnsi="Arial;sans-serif"/>
          <w:b w:val="false"/>
          <w:color w:val="2F2F2F"/>
          <w:sz w:val="17"/>
        </w:rPr>
        <w:t>22.</w:t>
      </w:r>
      <w:r>
        <w:rPr>
          <w:rFonts w:ascii="Arial;sans-serif" w:hAnsi="Arial;sans-serif"/>
          <w:b w:val="false"/>
          <w:color w:val="181818"/>
          <w:sz w:val="17"/>
        </w:rPr>
        <w:t xml:space="preserve">It is </w:t>
      </w:r>
      <w:r>
        <w:rPr>
          <w:rFonts w:ascii="Arial;sans-serif" w:hAnsi="Arial;sans-serif"/>
          <w:b w:val="false"/>
          <w:color w:val="2F2F2F"/>
          <w:sz w:val="17"/>
        </w:rPr>
        <w:t xml:space="preserve">agreed and </w:t>
      </w:r>
      <w:r>
        <w:rPr>
          <w:rFonts w:ascii="Arial;sans-serif" w:hAnsi="Arial;sans-serif"/>
          <w:b w:val="false"/>
          <w:color w:val="181818"/>
          <w:sz w:val="17"/>
        </w:rPr>
        <w:t xml:space="preserve">understood that no </w:t>
      </w:r>
      <w:r>
        <w:rPr>
          <w:rFonts w:ascii="Arial;sans-serif" w:hAnsi="Arial;sans-serif"/>
          <w:b w:val="false"/>
          <w:color w:val="2F2F2F"/>
          <w:sz w:val="17"/>
        </w:rPr>
        <w:t xml:space="preserve">changes </w:t>
      </w:r>
      <w:r>
        <w:rPr>
          <w:rFonts w:ascii="Arial;sans-serif" w:hAnsi="Arial;sans-serif"/>
          <w:b w:val="false"/>
          <w:color w:val="181818"/>
          <w:sz w:val="17"/>
        </w:rPr>
        <w:t xml:space="preserve">to the nature </w:t>
      </w:r>
      <w:r>
        <w:rPr>
          <w:rFonts w:ascii="Arial;sans-serif" w:hAnsi="Arial;sans-serif"/>
          <w:b w:val="false"/>
          <w:color w:val="2F2F2F"/>
          <w:sz w:val="17"/>
        </w:rPr>
        <w:t xml:space="preserve">or scope of </w:t>
      </w:r>
      <w:r>
        <w:rPr>
          <w:rFonts w:ascii="Arial;sans-serif" w:hAnsi="Arial;sans-serif"/>
          <w:b w:val="false"/>
          <w:color w:val="181818"/>
          <w:sz w:val="17"/>
        </w:rPr>
        <w:t xml:space="preserve">my </w:t>
      </w:r>
      <w:r>
        <w:rPr>
          <w:rFonts w:ascii="Arial;sans-serif" w:hAnsi="Arial;sans-serif"/>
          <w:b w:val="false"/>
          <w:color w:val="2F2F2F"/>
          <w:sz w:val="17"/>
        </w:rPr>
        <w:t xml:space="preserve">employment </w:t>
      </w:r>
      <w:r>
        <w:rPr>
          <w:rFonts w:ascii="Arial;sans-serif" w:hAnsi="Arial;sans-serif"/>
          <w:b w:val="false"/>
          <w:color w:val="181818"/>
          <w:sz w:val="17"/>
        </w:rPr>
        <w:t xml:space="preserve">relationship with the </w:t>
      </w:r>
      <w:r>
        <w:rPr>
          <w:rFonts w:ascii="Arial;sans-serif" w:hAnsi="Arial;sans-serif"/>
          <w:b w:val="false"/>
          <w:color w:val="2F2F2F"/>
          <w:sz w:val="17"/>
        </w:rPr>
        <w:t xml:space="preserve">Company, </w:t>
      </w:r>
      <w:r>
        <w:rPr>
          <w:rFonts w:ascii="Arial;sans-serif" w:hAnsi="Arial;sans-serif"/>
          <w:b w:val="false"/>
          <w:color w:val="181818"/>
          <w:sz w:val="17"/>
        </w:rPr>
        <w:t xml:space="preserve">including </w:t>
      </w:r>
      <w:r>
        <w:rPr>
          <w:rFonts w:ascii="Arial;sans-serif" w:hAnsi="Arial;sans-serif"/>
          <w:b w:val="false"/>
          <w:color w:val="2F2F2F"/>
          <w:sz w:val="17"/>
        </w:rPr>
        <w:t xml:space="preserve">but </w:t>
      </w:r>
      <w:r>
        <w:rPr>
          <w:rFonts w:ascii="Arial;sans-serif" w:hAnsi="Arial;sans-serif"/>
          <w:b w:val="false"/>
          <w:color w:val="181818"/>
          <w:sz w:val="17"/>
        </w:rPr>
        <w:t xml:space="preserve">not limited </w:t>
      </w:r>
      <w:r>
        <w:rPr>
          <w:rFonts w:ascii="Arial;sans-serif" w:hAnsi="Arial;sans-serif"/>
          <w:b w:val="false"/>
          <w:color w:val="2F2F2F"/>
          <w:sz w:val="17"/>
        </w:rPr>
        <w:t xml:space="preserve">to changes </w:t>
      </w:r>
      <w:r>
        <w:rPr>
          <w:rFonts w:ascii="Arial;sans-serif" w:hAnsi="Arial;sans-serif"/>
          <w:b w:val="false"/>
          <w:color w:val="181818"/>
          <w:sz w:val="17"/>
        </w:rPr>
        <w:t xml:space="preserve">in job title, responsibilities, reporting </w:t>
      </w:r>
      <w:r>
        <w:rPr>
          <w:rFonts w:ascii="Arial;sans-serif" w:hAnsi="Arial;sans-serif"/>
          <w:b w:val="false"/>
          <w:color w:val="2F2F2F"/>
          <w:sz w:val="17"/>
        </w:rPr>
        <w:t xml:space="preserve">structure or compensation, shall operate </w:t>
      </w:r>
      <w:r>
        <w:rPr>
          <w:rFonts w:ascii="Arial;sans-serif" w:hAnsi="Arial;sans-serif"/>
          <w:b w:val="false"/>
          <w:color w:val="181818"/>
          <w:sz w:val="17"/>
        </w:rPr>
        <w:t xml:space="preserve">to </w:t>
      </w:r>
      <w:r>
        <w:rPr>
          <w:rFonts w:ascii="Arial;sans-serif" w:hAnsi="Arial;sans-serif"/>
          <w:b w:val="false"/>
          <w:color w:val="2F2F2F"/>
          <w:sz w:val="17"/>
        </w:rPr>
        <w:t xml:space="preserve">extinguish </w:t>
      </w:r>
      <w:r>
        <w:rPr>
          <w:rFonts w:ascii="Arial;sans-serif" w:hAnsi="Arial;sans-serif"/>
          <w:b w:val="false"/>
          <w:color w:val="181818"/>
          <w:sz w:val="17"/>
        </w:rPr>
        <w:t xml:space="preserve">my </w:t>
      </w:r>
      <w:r>
        <w:rPr>
          <w:rFonts w:ascii="Arial;sans-serif" w:hAnsi="Arial;sans-serif"/>
          <w:b w:val="false"/>
          <w:color w:val="2F2F2F"/>
          <w:sz w:val="17"/>
        </w:rPr>
        <w:t xml:space="preserve">obligations </w:t>
      </w:r>
      <w:r>
        <w:rPr>
          <w:rFonts w:ascii="Arial;sans-serif" w:hAnsi="Arial;sans-serif"/>
          <w:b w:val="false"/>
          <w:color w:val="181818"/>
          <w:sz w:val="17"/>
        </w:rPr>
        <w:t xml:space="preserve">hereunder </w:t>
      </w:r>
      <w:r>
        <w:rPr>
          <w:rFonts w:ascii="Arial;sans-serif" w:hAnsi="Arial;sans-serif"/>
          <w:b w:val="false"/>
          <w:color w:val="2F2F2F"/>
          <w:sz w:val="17"/>
        </w:rPr>
        <w:t xml:space="preserve">or require </w:t>
      </w:r>
      <w:r>
        <w:rPr>
          <w:rFonts w:ascii="Arial;sans-serif" w:hAnsi="Arial;sans-serif"/>
          <w:b w:val="false"/>
          <w:color w:val="181818"/>
          <w:sz w:val="17"/>
        </w:rPr>
        <w:t xml:space="preserve">that this </w:t>
      </w:r>
      <w:r>
        <w:rPr>
          <w:rFonts w:ascii="Arial;sans-serif" w:hAnsi="Arial;sans-serif"/>
          <w:b w:val="false"/>
          <w:color w:val="2F2F2F"/>
          <w:sz w:val="17"/>
        </w:rPr>
        <w:t xml:space="preserve">Agreement </w:t>
      </w:r>
      <w:r>
        <w:rPr>
          <w:rFonts w:ascii="Arial;sans-serif" w:hAnsi="Arial;sans-serif"/>
          <w:b w:val="false"/>
          <w:color w:val="181818"/>
          <w:sz w:val="17"/>
        </w:rPr>
        <w:t xml:space="preserve">be </w:t>
      </w:r>
      <w:r>
        <w:rPr>
          <w:rFonts w:ascii="Arial;sans-serif" w:hAnsi="Arial;sans-serif"/>
          <w:b w:val="false"/>
          <w:color w:val="2F2F2F"/>
          <w:sz w:val="17"/>
        </w:rPr>
        <w:t>re-executed.</w:t>
      </w:r>
    </w:p>
    <w:p>
      <w:pPr>
        <w:pStyle w:val="TextBody"/>
        <w:spacing w:before="1" w:after="283"/>
        <w:rPr/>
      </w:pPr>
      <w:r>
        <w:rPr/>
      </w:r>
    </w:p>
    <w:p>
      <w:pPr>
        <w:pStyle w:val="TextBody"/>
        <w:spacing w:lineRule="auto" w:line="240" w:before="95" w:after="283"/>
        <w:rPr>
          <w:rFonts w:ascii="Arial;sans-serif" w:hAnsi="Arial;sans-serif"/>
          <w:b w:val="false"/>
          <w:color w:val="2F2F2F"/>
          <w:sz w:val="17"/>
          <w:u w:val="single"/>
        </w:rPr>
      </w:pPr>
      <w:r>
        <w:rPr>
          <w:rFonts w:ascii="Arial;sans-serif" w:hAnsi="Arial;sans-serif"/>
          <w:b w:val="false"/>
          <w:color w:val="2F2F2F"/>
          <w:sz w:val="17"/>
          <w:u w:val="single"/>
        </w:rPr>
        <w:t>Corporate Compliance</w:t>
      </w:r>
    </w:p>
    <w:p>
      <w:pPr>
        <w:pStyle w:val="TextBody"/>
        <w:spacing w:before="4" w:after="283"/>
        <w:rPr/>
      </w:pPr>
      <w:r>
        <w:rPr/>
      </w:r>
    </w:p>
    <w:p>
      <w:pPr>
        <w:pStyle w:val="TextBody"/>
        <w:spacing w:lineRule="auto" w:line="297" w:before="0" w:after="0"/>
        <w:ind w:left="0" w:right="0" w:hanging="355"/>
        <w:rPr/>
      </w:pPr>
      <w:r>
        <w:rPr>
          <w:rFonts w:ascii="Arial;sans-serif" w:hAnsi="Arial;sans-serif"/>
          <w:b w:val="false"/>
          <w:color w:val="2F2F2F"/>
          <w:sz w:val="17"/>
        </w:rPr>
        <w:t>23.</w:t>
      </w:r>
      <w:r>
        <w:rPr>
          <w:rFonts w:ascii="Arial;sans-serif" w:hAnsi="Arial;sans-serif"/>
          <w:b w:val="false"/>
          <w:color w:val="181818"/>
          <w:sz w:val="17"/>
        </w:rPr>
        <w:t xml:space="preserve">I </w:t>
      </w:r>
      <w:r>
        <w:rPr>
          <w:rFonts w:ascii="Arial;sans-serif" w:hAnsi="Arial;sans-serif"/>
          <w:b w:val="false"/>
          <w:color w:val="2F2F2F"/>
          <w:sz w:val="17"/>
        </w:rPr>
        <w:t xml:space="preserve">agree </w:t>
      </w:r>
      <w:r>
        <w:rPr>
          <w:rFonts w:ascii="Arial;sans-serif" w:hAnsi="Arial;sans-serif"/>
          <w:b w:val="false"/>
          <w:color w:val="181818"/>
          <w:sz w:val="17"/>
        </w:rPr>
        <w:t xml:space="preserve">that I </w:t>
      </w:r>
      <w:r>
        <w:rPr>
          <w:rFonts w:ascii="Arial;sans-serif" w:hAnsi="Arial;sans-serif"/>
          <w:b w:val="false"/>
          <w:color w:val="2F2F2F"/>
          <w:sz w:val="17"/>
        </w:rPr>
        <w:t xml:space="preserve">will comply with all policies and </w:t>
      </w:r>
      <w:r>
        <w:rPr>
          <w:rFonts w:ascii="Arial;sans-serif" w:hAnsi="Arial;sans-serif"/>
          <w:b w:val="false"/>
          <w:color w:val="181818"/>
          <w:sz w:val="17"/>
        </w:rPr>
        <w:t xml:space="preserve">procedures that the </w:t>
      </w:r>
      <w:r>
        <w:rPr>
          <w:rFonts w:ascii="Arial;sans-serif" w:hAnsi="Arial;sans-serif"/>
          <w:b w:val="false"/>
          <w:color w:val="2F2F2F"/>
          <w:sz w:val="17"/>
        </w:rPr>
        <w:t xml:space="preserve">Company </w:t>
      </w:r>
      <w:r>
        <w:rPr>
          <w:rFonts w:ascii="Arial;sans-serif" w:hAnsi="Arial;sans-serif"/>
          <w:b w:val="false"/>
          <w:color w:val="181818"/>
          <w:sz w:val="17"/>
        </w:rPr>
        <w:t xml:space="preserve">may have in </w:t>
      </w:r>
      <w:r>
        <w:rPr>
          <w:rFonts w:ascii="Arial;sans-serif" w:hAnsi="Arial;sans-serif"/>
          <w:b w:val="false"/>
          <w:color w:val="2F2F2F"/>
          <w:sz w:val="17"/>
        </w:rPr>
        <w:t xml:space="preserve">effect </w:t>
      </w:r>
      <w:r>
        <w:rPr>
          <w:rFonts w:ascii="Arial;sans-serif" w:hAnsi="Arial;sans-serif"/>
          <w:b w:val="false"/>
          <w:color w:val="181818"/>
          <w:sz w:val="17"/>
        </w:rPr>
        <w:t xml:space="preserve">from time to time, including </w:t>
      </w:r>
      <w:r>
        <w:rPr>
          <w:rFonts w:ascii="Arial;sans-serif" w:hAnsi="Arial;sans-serif"/>
          <w:b w:val="false"/>
          <w:color w:val="2F2F2F"/>
          <w:sz w:val="17"/>
        </w:rPr>
        <w:t xml:space="preserve">without </w:t>
      </w:r>
      <w:r>
        <w:rPr>
          <w:rFonts w:ascii="Arial;sans-serif" w:hAnsi="Arial;sans-serif"/>
          <w:b w:val="false"/>
          <w:color w:val="181818"/>
          <w:sz w:val="17"/>
        </w:rPr>
        <w:t xml:space="preserve">limitation, the </w:t>
      </w:r>
      <w:r>
        <w:rPr>
          <w:rFonts w:ascii="Arial;sans-serif" w:hAnsi="Arial;sans-serif"/>
          <w:b w:val="false"/>
          <w:color w:val="2F2F2F"/>
          <w:sz w:val="17"/>
        </w:rPr>
        <w:t xml:space="preserve">Company's Code </w:t>
      </w:r>
      <w:r>
        <w:rPr>
          <w:rFonts w:ascii="Arial;sans-serif" w:hAnsi="Arial;sans-serif"/>
          <w:b w:val="false"/>
          <w:color w:val="181818"/>
          <w:sz w:val="17"/>
        </w:rPr>
        <w:t xml:space="preserve">of Business </w:t>
      </w:r>
      <w:r>
        <w:rPr>
          <w:rFonts w:ascii="Arial;sans-serif" w:hAnsi="Arial;sans-serif"/>
          <w:b w:val="false"/>
          <w:color w:val="2F2F2F"/>
          <w:sz w:val="17"/>
        </w:rPr>
        <w:t xml:space="preserve">Conduct (the "Code") and corporate compliance program. </w:t>
      </w:r>
      <w:r>
        <w:rPr>
          <w:rFonts w:ascii="Arial;sans-serif" w:hAnsi="Arial;sans-serif"/>
          <w:b w:val="false"/>
          <w:color w:val="181818"/>
          <w:sz w:val="17"/>
        </w:rPr>
        <w:t xml:space="preserve">I </w:t>
      </w:r>
      <w:r>
        <w:rPr>
          <w:rFonts w:ascii="Arial;sans-serif" w:hAnsi="Arial;sans-serif"/>
          <w:b w:val="false"/>
          <w:color w:val="2F2F2F"/>
          <w:sz w:val="17"/>
        </w:rPr>
        <w:t xml:space="preserve">acknowledge </w:t>
      </w:r>
      <w:r>
        <w:rPr>
          <w:rFonts w:ascii="Arial;sans-serif" w:hAnsi="Arial;sans-serif"/>
          <w:b w:val="false"/>
          <w:color w:val="181818"/>
          <w:sz w:val="17"/>
        </w:rPr>
        <w:t xml:space="preserve">that failure to </w:t>
      </w:r>
      <w:r>
        <w:rPr>
          <w:rFonts w:ascii="Arial;sans-serif" w:hAnsi="Arial;sans-serif"/>
          <w:b w:val="false"/>
          <w:color w:val="2F2F2F"/>
          <w:sz w:val="17"/>
        </w:rPr>
        <w:t xml:space="preserve">comply </w:t>
      </w:r>
      <w:r>
        <w:rPr>
          <w:rFonts w:ascii="Arial;sans-serif" w:hAnsi="Arial;sans-serif"/>
          <w:b w:val="false"/>
          <w:color w:val="181818"/>
          <w:sz w:val="17"/>
        </w:rPr>
        <w:t xml:space="preserve">with </w:t>
      </w:r>
      <w:r>
        <w:rPr>
          <w:rFonts w:ascii="Arial;sans-serif" w:hAnsi="Arial;sans-serif"/>
          <w:b w:val="false"/>
          <w:color w:val="2F2F2F"/>
          <w:sz w:val="17"/>
        </w:rPr>
        <w:t xml:space="preserve">such policies and procedures </w:t>
      </w:r>
      <w:r>
        <w:rPr>
          <w:rFonts w:ascii="Arial;sans-serif" w:hAnsi="Arial;sans-serif"/>
          <w:b w:val="false"/>
          <w:color w:val="181818"/>
          <w:sz w:val="17"/>
        </w:rPr>
        <w:t xml:space="preserve">may result in disciplinary </w:t>
      </w:r>
      <w:r>
        <w:rPr>
          <w:rFonts w:ascii="Arial;sans-serif" w:hAnsi="Arial;sans-serif"/>
          <w:b w:val="false"/>
          <w:color w:val="2F2F2F"/>
          <w:sz w:val="17"/>
        </w:rPr>
        <w:t xml:space="preserve">action, </w:t>
      </w:r>
      <w:r>
        <w:rPr>
          <w:rFonts w:ascii="Arial;sans-serif" w:hAnsi="Arial;sans-serif"/>
          <w:b w:val="false"/>
          <w:color w:val="181818"/>
          <w:sz w:val="17"/>
        </w:rPr>
        <w:t xml:space="preserve">including immediate termination </w:t>
      </w:r>
      <w:r>
        <w:rPr>
          <w:rFonts w:ascii="Arial;sans-serif" w:hAnsi="Arial;sans-serif"/>
          <w:b w:val="false"/>
          <w:color w:val="2F2F2F"/>
          <w:sz w:val="17"/>
        </w:rPr>
        <w:t xml:space="preserve">of </w:t>
      </w:r>
      <w:r>
        <w:rPr>
          <w:rFonts w:ascii="Arial;sans-serif" w:hAnsi="Arial;sans-serif"/>
          <w:b w:val="false"/>
          <w:color w:val="181818"/>
          <w:sz w:val="17"/>
        </w:rPr>
        <w:t xml:space="preserve">my </w:t>
      </w:r>
      <w:r>
        <w:rPr>
          <w:rFonts w:ascii="Arial;sans-serif" w:hAnsi="Arial;sans-serif"/>
          <w:b w:val="false"/>
          <w:color w:val="2F2F2F"/>
          <w:sz w:val="17"/>
        </w:rPr>
        <w:t>employment.</w:t>
      </w:r>
    </w:p>
    <w:p>
      <w:pPr>
        <w:pStyle w:val="TextBody"/>
        <w:spacing w:before="4" w:after="283"/>
        <w:rPr/>
      </w:pPr>
      <w:r>
        <w:rPr/>
      </w:r>
    </w:p>
    <w:p>
      <w:pPr>
        <w:pStyle w:val="TextBody"/>
        <w:spacing w:lineRule="auto" w:line="240" w:before="95" w:after="283"/>
        <w:rPr>
          <w:rFonts w:ascii="Arial;sans-serif" w:hAnsi="Arial;sans-serif"/>
          <w:b w:val="false"/>
          <w:color w:val="2F2F2F"/>
          <w:sz w:val="17"/>
          <w:u w:val="single"/>
        </w:rPr>
      </w:pPr>
      <w:r>
        <w:rPr>
          <w:rFonts w:ascii="Arial;sans-serif" w:hAnsi="Arial;sans-serif"/>
          <w:b w:val="false"/>
          <w:color w:val="2F2F2F"/>
          <w:sz w:val="17"/>
          <w:u w:val="single"/>
        </w:rPr>
        <w:t>Return of Company Property</w:t>
      </w:r>
    </w:p>
    <w:p>
      <w:pPr>
        <w:pStyle w:val="TextBody"/>
        <w:spacing w:before="9" w:after="283"/>
        <w:rPr/>
      </w:pPr>
      <w:r>
        <w:rPr/>
      </w:r>
    </w:p>
    <w:p>
      <w:pPr>
        <w:pStyle w:val="TextBody"/>
        <w:spacing w:lineRule="auto" w:line="295" w:before="0" w:after="0"/>
        <w:ind w:left="0" w:right="0" w:hanging="355"/>
        <w:rPr/>
      </w:pPr>
      <w:r>
        <w:rPr>
          <w:rFonts w:ascii="Arial;sans-serif" w:hAnsi="Arial;sans-serif"/>
          <w:b w:val="false"/>
          <w:color w:val="2F2F2F"/>
          <w:sz w:val="17"/>
        </w:rPr>
        <w:t xml:space="preserve">24.At any </w:t>
      </w:r>
      <w:r>
        <w:rPr>
          <w:rFonts w:ascii="Arial;sans-serif" w:hAnsi="Arial;sans-serif"/>
          <w:b w:val="false"/>
          <w:color w:val="181818"/>
          <w:sz w:val="17"/>
        </w:rPr>
        <w:t xml:space="preserve">time upon </w:t>
      </w:r>
      <w:r>
        <w:rPr>
          <w:rFonts w:ascii="Arial;sans-serif" w:hAnsi="Arial;sans-serif"/>
          <w:b w:val="false"/>
          <w:color w:val="2F2F2F"/>
          <w:sz w:val="17"/>
        </w:rPr>
        <w:t xml:space="preserve">request of </w:t>
      </w:r>
      <w:r>
        <w:rPr>
          <w:rFonts w:ascii="Arial;sans-serif" w:hAnsi="Arial;sans-serif"/>
          <w:b w:val="false"/>
          <w:color w:val="181818"/>
          <w:sz w:val="17"/>
        </w:rPr>
        <w:t xml:space="preserve">the </w:t>
      </w:r>
      <w:r>
        <w:rPr>
          <w:rFonts w:ascii="Arial;sans-serif" w:hAnsi="Arial;sans-serif"/>
          <w:b w:val="false"/>
          <w:color w:val="2F2F2F"/>
          <w:sz w:val="17"/>
        </w:rPr>
        <w:t xml:space="preserve">Company, and in any event upon the ending of </w:t>
      </w:r>
      <w:r>
        <w:rPr>
          <w:rFonts w:ascii="Arial;sans-serif" w:hAnsi="Arial;sans-serif"/>
          <w:b w:val="false"/>
          <w:color w:val="181818"/>
          <w:sz w:val="17"/>
        </w:rPr>
        <w:t xml:space="preserve">my </w:t>
      </w:r>
      <w:r>
        <w:rPr>
          <w:rFonts w:ascii="Arial;sans-serif" w:hAnsi="Arial;sans-serif"/>
          <w:b w:val="false"/>
          <w:color w:val="2F2F2F"/>
          <w:sz w:val="17"/>
        </w:rPr>
        <w:t xml:space="preserve">employment with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I will immediately return </w:t>
      </w:r>
      <w:r>
        <w:rPr>
          <w:rFonts w:ascii="Arial;sans-serif" w:hAnsi="Arial;sans-serif"/>
          <w:b w:val="false"/>
          <w:color w:val="2F2F2F"/>
          <w:sz w:val="17"/>
        </w:rPr>
        <w:t xml:space="preserve">(and </w:t>
      </w:r>
      <w:r>
        <w:rPr>
          <w:rFonts w:ascii="Arial;sans-serif" w:hAnsi="Arial;sans-serif"/>
          <w:b w:val="false"/>
          <w:color w:val="181818"/>
          <w:sz w:val="17"/>
        </w:rPr>
        <w:t xml:space="preserve">not </w:t>
      </w:r>
      <w:r>
        <w:rPr>
          <w:rFonts w:ascii="Arial;sans-serif" w:hAnsi="Arial;sans-serif"/>
          <w:b w:val="false"/>
          <w:color w:val="2F2F2F"/>
          <w:sz w:val="17"/>
        </w:rPr>
        <w:t xml:space="preserve">destroy) all property of </w:t>
      </w:r>
      <w:r>
        <w:rPr>
          <w:rFonts w:ascii="Arial;sans-serif" w:hAnsi="Arial;sans-serif"/>
          <w:b w:val="false"/>
          <w:color w:val="181818"/>
          <w:sz w:val="17"/>
        </w:rPr>
        <w:t xml:space="preserve">the </w:t>
      </w:r>
      <w:r>
        <w:rPr>
          <w:rFonts w:ascii="Arial;sans-serif" w:hAnsi="Arial;sans-serif"/>
          <w:b w:val="false"/>
          <w:color w:val="2F2F2F"/>
          <w:sz w:val="17"/>
        </w:rPr>
        <w:t xml:space="preserve">Company (including, but not </w:t>
      </w:r>
      <w:r>
        <w:rPr>
          <w:rFonts w:ascii="Arial;sans-serif" w:hAnsi="Arial;sans-serif"/>
          <w:b w:val="false"/>
          <w:color w:val="181818"/>
          <w:sz w:val="17"/>
        </w:rPr>
        <w:t xml:space="preserve">limited to, papers, documents, lab notebooks, files, </w:t>
      </w:r>
      <w:r>
        <w:rPr>
          <w:rFonts w:ascii="Arial;sans-serif" w:hAnsi="Arial;sans-serif"/>
          <w:b w:val="false"/>
          <w:color w:val="2F2F2F"/>
          <w:sz w:val="17"/>
        </w:rPr>
        <w:t xml:space="preserve">and data </w:t>
      </w:r>
      <w:r>
        <w:rPr>
          <w:rFonts w:ascii="Arial;sans-serif" w:hAnsi="Arial;sans-serif"/>
          <w:b w:val="false"/>
          <w:color w:val="181818"/>
          <w:sz w:val="17"/>
        </w:rPr>
        <w:t xml:space="preserve">in </w:t>
      </w:r>
      <w:r>
        <w:rPr>
          <w:rFonts w:ascii="Arial;sans-serif" w:hAnsi="Arial;sans-serif"/>
          <w:b w:val="false"/>
          <w:color w:val="2F2F2F"/>
          <w:sz w:val="17"/>
        </w:rPr>
        <w:t>any format, e</w:t>
      </w:r>
      <w:r>
        <w:rPr>
          <w:rFonts w:ascii="Arial;sans-serif" w:hAnsi="Arial;sans-serif"/>
          <w:b w:val="false"/>
          <w:color w:val="181818"/>
          <w:sz w:val="17"/>
        </w:rPr>
        <w:t xml:space="preserve">mails, </w:t>
      </w:r>
      <w:r>
        <w:rPr>
          <w:rFonts w:ascii="Arial;sans-serif" w:hAnsi="Arial;sans-serif"/>
          <w:b w:val="false"/>
          <w:color w:val="2F2F2F"/>
          <w:sz w:val="17"/>
        </w:rPr>
        <w:t xml:space="preserve">promotional </w:t>
      </w:r>
      <w:r>
        <w:rPr>
          <w:rFonts w:ascii="Arial;sans-serif" w:hAnsi="Arial;sans-serif"/>
          <w:b w:val="false"/>
          <w:color w:val="181818"/>
          <w:sz w:val="17"/>
        </w:rPr>
        <w:t xml:space="preserve">materials, </w:t>
      </w:r>
      <w:r>
        <w:rPr>
          <w:rFonts w:ascii="Arial;sans-serif" w:hAnsi="Arial;sans-serif"/>
          <w:b w:val="false"/>
          <w:color w:val="2F2F2F"/>
          <w:sz w:val="17"/>
        </w:rPr>
        <w:t xml:space="preserve">training </w:t>
      </w:r>
      <w:r>
        <w:rPr>
          <w:rFonts w:ascii="Arial;sans-serif" w:hAnsi="Arial;sans-serif"/>
          <w:b w:val="false"/>
          <w:color w:val="181818"/>
          <w:sz w:val="17"/>
        </w:rPr>
        <w:t xml:space="preserve">materials, </w:t>
      </w:r>
      <w:r>
        <w:rPr>
          <w:rFonts w:ascii="Arial;sans-serif" w:hAnsi="Arial;sans-serif"/>
          <w:b w:val="false"/>
          <w:color w:val="2F2F2F"/>
          <w:sz w:val="17"/>
        </w:rPr>
        <w:t xml:space="preserve">presentations, computers and any accessories, cell phones, </w:t>
      </w:r>
      <w:r>
        <w:rPr>
          <w:rFonts w:ascii="Arial;sans-serif" w:hAnsi="Arial;sans-serif"/>
          <w:b w:val="false"/>
          <w:color w:val="181818"/>
          <w:sz w:val="17"/>
        </w:rPr>
        <w:t xml:space="preserve">PDAs, </w:t>
      </w:r>
      <w:r>
        <w:rPr>
          <w:rFonts w:ascii="Arial;sans-serif" w:hAnsi="Arial;sans-serif"/>
          <w:b w:val="false"/>
          <w:color w:val="2F2F2F"/>
          <w:sz w:val="17"/>
        </w:rPr>
        <w:t xml:space="preserve">credit cards, </w:t>
      </w:r>
      <w:r>
        <w:rPr>
          <w:rFonts w:ascii="Arial;sans-serif" w:hAnsi="Arial;sans-serif"/>
          <w:b w:val="false"/>
          <w:color w:val="181818"/>
          <w:sz w:val="17"/>
        </w:rPr>
        <w:t xml:space="preserve">keys, badges, </w:t>
      </w:r>
      <w:r>
        <w:rPr>
          <w:rFonts w:ascii="Arial;sans-serif" w:hAnsi="Arial;sans-serif"/>
          <w:b w:val="false"/>
          <w:color w:val="2F2F2F"/>
          <w:sz w:val="17"/>
        </w:rPr>
        <w:t xml:space="preserve">and other devices and equipment) </w:t>
      </w:r>
      <w:r>
        <w:rPr>
          <w:rFonts w:ascii="Arial;sans-serif" w:hAnsi="Arial;sans-serif"/>
          <w:b w:val="false"/>
          <w:color w:val="181818"/>
          <w:sz w:val="17"/>
        </w:rPr>
        <w:t xml:space="preserve">in </w:t>
      </w:r>
      <w:r>
        <w:rPr>
          <w:rFonts w:ascii="Arial;sans-serif" w:hAnsi="Arial;sans-serif"/>
          <w:b w:val="false"/>
          <w:color w:val="2F2F2F"/>
          <w:sz w:val="17"/>
        </w:rPr>
        <w:t xml:space="preserve">my possession, custody </w:t>
      </w:r>
      <w:r>
        <w:rPr>
          <w:rFonts w:ascii="Arial;sans-serif" w:hAnsi="Arial;sans-serif"/>
          <w:b w:val="false"/>
          <w:color w:val="181818"/>
          <w:sz w:val="17"/>
        </w:rPr>
        <w:t xml:space="preserve">or </w:t>
      </w:r>
      <w:r>
        <w:rPr>
          <w:rFonts w:ascii="Arial;sans-serif" w:hAnsi="Arial;sans-serif"/>
          <w:b w:val="false"/>
          <w:color w:val="2F2F2F"/>
          <w:sz w:val="17"/>
        </w:rPr>
        <w:t xml:space="preserve">control. </w:t>
      </w:r>
      <w:r>
        <w:rPr>
          <w:rFonts w:ascii="Arial;sans-serif" w:hAnsi="Arial;sans-serif"/>
          <w:b w:val="false"/>
          <w:color w:val="181818"/>
          <w:sz w:val="17"/>
        </w:rPr>
        <w:t xml:space="preserve">I </w:t>
      </w:r>
      <w:r>
        <w:rPr>
          <w:rFonts w:ascii="Arial;sans-serif" w:hAnsi="Arial;sans-serif"/>
          <w:b w:val="false"/>
          <w:color w:val="2F2F2F"/>
          <w:sz w:val="17"/>
        </w:rPr>
        <w:t xml:space="preserve">will </w:t>
      </w:r>
      <w:r>
        <w:rPr>
          <w:rFonts w:ascii="Arial;sans-serif" w:hAnsi="Arial;sans-serif"/>
          <w:b w:val="false"/>
          <w:color w:val="181818"/>
          <w:sz w:val="17"/>
        </w:rPr>
        <w:t xml:space="preserve">not retain, take, </w:t>
      </w:r>
      <w:r>
        <w:rPr>
          <w:rFonts w:ascii="Arial;sans-serif" w:hAnsi="Arial;sans-serif"/>
          <w:b w:val="false"/>
          <w:color w:val="2F2F2F"/>
          <w:sz w:val="17"/>
        </w:rPr>
        <w:t xml:space="preserve">or copy any of </w:t>
      </w:r>
      <w:r>
        <w:rPr>
          <w:rFonts w:ascii="Arial;sans-serif" w:hAnsi="Arial;sans-serif"/>
          <w:b w:val="false"/>
          <w:color w:val="181818"/>
          <w:sz w:val="17"/>
        </w:rPr>
        <w:t xml:space="preserve">the Company's property. </w:t>
      </w:r>
      <w:r>
        <w:rPr>
          <w:rFonts w:ascii="Arial;sans-serif" w:hAnsi="Arial;sans-serif"/>
          <w:b w:val="false"/>
          <w:color w:val="2F2F2F"/>
          <w:sz w:val="17"/>
        </w:rPr>
        <w:t xml:space="preserve">Upon the Company request, </w:t>
      </w:r>
      <w:r>
        <w:rPr>
          <w:rFonts w:ascii="Arial;sans-serif" w:hAnsi="Arial;sans-serif"/>
          <w:b w:val="false"/>
          <w:color w:val="181818"/>
          <w:sz w:val="17"/>
        </w:rPr>
        <w:t xml:space="preserve">I </w:t>
      </w:r>
      <w:r>
        <w:rPr>
          <w:rFonts w:ascii="Arial;sans-serif" w:hAnsi="Arial;sans-serif"/>
          <w:b w:val="false"/>
          <w:color w:val="2F2F2F"/>
          <w:sz w:val="17"/>
        </w:rPr>
        <w:t xml:space="preserve">will certify </w:t>
      </w:r>
      <w:r>
        <w:rPr>
          <w:rFonts w:ascii="Arial;sans-serif" w:hAnsi="Arial;sans-serif"/>
          <w:b w:val="false"/>
          <w:color w:val="181818"/>
          <w:sz w:val="17"/>
        </w:rPr>
        <w:t xml:space="preserve">in writing </w:t>
      </w:r>
      <w:r>
        <w:rPr>
          <w:rFonts w:ascii="Arial;sans-serif" w:hAnsi="Arial;sans-serif"/>
          <w:b w:val="false"/>
          <w:color w:val="2F2F2F"/>
          <w:sz w:val="17"/>
        </w:rPr>
        <w:t xml:space="preserve">and </w:t>
      </w:r>
      <w:r>
        <w:rPr>
          <w:rFonts w:ascii="Arial;sans-serif" w:hAnsi="Arial;sans-serif"/>
          <w:b w:val="false"/>
          <w:color w:val="181818"/>
          <w:sz w:val="17"/>
        </w:rPr>
        <w:t xml:space="preserve">under </w:t>
      </w:r>
      <w:r>
        <w:rPr>
          <w:rFonts w:ascii="Arial;sans-serif" w:hAnsi="Arial;sans-serif"/>
          <w:b w:val="false"/>
          <w:color w:val="2F2F2F"/>
          <w:sz w:val="17"/>
        </w:rPr>
        <w:t xml:space="preserve">oath </w:t>
      </w:r>
      <w:r>
        <w:rPr>
          <w:rFonts w:ascii="Arial;sans-serif" w:hAnsi="Arial;sans-serif"/>
          <w:b w:val="false"/>
          <w:color w:val="181818"/>
          <w:sz w:val="17"/>
        </w:rPr>
        <w:t xml:space="preserve">that I have returned </w:t>
      </w:r>
      <w:r>
        <w:rPr>
          <w:rFonts w:ascii="Arial;sans-serif" w:hAnsi="Arial;sans-serif"/>
          <w:b w:val="false"/>
          <w:color w:val="2F2F2F"/>
          <w:sz w:val="17"/>
        </w:rPr>
        <w:t xml:space="preserve">all such Company </w:t>
      </w:r>
      <w:r>
        <w:rPr>
          <w:rFonts w:ascii="Arial;sans-serif" w:hAnsi="Arial;sans-serif"/>
          <w:b w:val="false"/>
          <w:color w:val="181818"/>
          <w:sz w:val="17"/>
        </w:rPr>
        <w:t xml:space="preserve">materials, that I have retained none, that I have not destroyed any </w:t>
      </w:r>
      <w:r>
        <w:rPr>
          <w:rFonts w:ascii="Arial;sans-serif" w:hAnsi="Arial;sans-serif"/>
          <w:b w:val="false"/>
          <w:color w:val="2F2F2F"/>
          <w:sz w:val="17"/>
        </w:rPr>
        <w:t xml:space="preserve">Company </w:t>
      </w:r>
      <w:r>
        <w:rPr>
          <w:rFonts w:ascii="Arial;sans-serif" w:hAnsi="Arial;sans-serif"/>
          <w:b w:val="false"/>
          <w:color w:val="181818"/>
          <w:sz w:val="17"/>
        </w:rPr>
        <w:t xml:space="preserve">property </w:t>
      </w:r>
      <w:r>
        <w:rPr>
          <w:rFonts w:ascii="Arial;sans-serif" w:hAnsi="Arial;sans-serif"/>
          <w:b w:val="false"/>
          <w:color w:val="2F2F2F"/>
          <w:sz w:val="17"/>
        </w:rPr>
        <w:t xml:space="preserve">or </w:t>
      </w:r>
      <w:r>
        <w:rPr>
          <w:rFonts w:ascii="Arial;sans-serif" w:hAnsi="Arial;sans-serif"/>
          <w:b w:val="false"/>
          <w:color w:val="181818"/>
          <w:sz w:val="17"/>
        </w:rPr>
        <w:t xml:space="preserve">information </w:t>
      </w:r>
      <w:r>
        <w:rPr>
          <w:rFonts w:ascii="Arial;sans-serif" w:hAnsi="Arial;sans-serif"/>
          <w:b w:val="false"/>
          <w:color w:val="2F2F2F"/>
          <w:sz w:val="17"/>
        </w:rPr>
        <w:t xml:space="preserve">(including, without </w:t>
      </w:r>
      <w:r>
        <w:rPr>
          <w:rFonts w:ascii="Arial;sans-serif" w:hAnsi="Arial;sans-serif"/>
          <w:b w:val="false"/>
          <w:color w:val="181818"/>
          <w:sz w:val="17"/>
        </w:rPr>
        <w:t xml:space="preserve">limitation, information maintained </w:t>
      </w:r>
      <w:r>
        <w:rPr>
          <w:rFonts w:ascii="Arial;sans-serif" w:hAnsi="Arial;sans-serif"/>
          <w:b w:val="false"/>
          <w:color w:val="2F2F2F"/>
          <w:sz w:val="17"/>
        </w:rPr>
        <w:t xml:space="preserve">electronically) and that </w:t>
      </w:r>
      <w:r>
        <w:rPr>
          <w:rFonts w:ascii="Arial;sans-serif" w:hAnsi="Arial;sans-serif"/>
          <w:b w:val="false"/>
          <w:color w:val="181818"/>
          <w:sz w:val="17"/>
        </w:rPr>
        <w:t xml:space="preserve">I have no right </w:t>
      </w:r>
      <w:r>
        <w:rPr>
          <w:rFonts w:ascii="Arial;sans-serif" w:hAnsi="Arial;sans-serif"/>
          <w:b w:val="false"/>
          <w:color w:val="2F2F2F"/>
          <w:sz w:val="17"/>
        </w:rPr>
        <w:t xml:space="preserve">of access to such Company </w:t>
      </w:r>
      <w:r>
        <w:rPr>
          <w:rFonts w:ascii="Arial;sans-serif" w:hAnsi="Arial;sans-serif"/>
          <w:b w:val="false"/>
          <w:color w:val="181818"/>
          <w:sz w:val="17"/>
        </w:rPr>
        <w:t>materials.</w:t>
      </w:r>
    </w:p>
    <w:p>
      <w:pPr>
        <w:pStyle w:val="TextBody"/>
        <w:spacing w:before="6" w:after="283"/>
        <w:rPr/>
      </w:pPr>
      <w:r>
        <w:rPr/>
      </w:r>
    </w:p>
    <w:p>
      <w:pPr>
        <w:pStyle w:val="TextBody"/>
        <w:spacing w:lineRule="auto" w:line="240" w:before="95" w:after="283"/>
        <w:rPr/>
      </w:pPr>
      <w:r>
        <w:rPr>
          <w:rFonts w:ascii="Arial;sans-serif" w:hAnsi="Arial;sans-serif"/>
          <w:b w:val="false"/>
          <w:color w:val="181818"/>
          <w:sz w:val="17"/>
          <w:u w:val="single"/>
        </w:rPr>
        <w:t xml:space="preserve">Debarment </w:t>
      </w:r>
      <w:r>
        <w:rPr>
          <w:rFonts w:ascii="Arial;sans-serif" w:hAnsi="Arial;sans-serif"/>
          <w:b w:val="false"/>
          <w:color w:val="2F2F2F"/>
          <w:sz w:val="17"/>
          <w:u w:val="single"/>
        </w:rPr>
        <w:t>and Certain Government Programs</w:t>
      </w:r>
    </w:p>
    <w:p>
      <w:pPr>
        <w:pStyle w:val="TextBody"/>
        <w:spacing w:before="9" w:after="283"/>
        <w:rPr/>
      </w:pPr>
      <w:r>
        <w:rPr/>
      </w:r>
    </w:p>
    <w:p>
      <w:pPr>
        <w:pStyle w:val="TextBody"/>
        <w:spacing w:lineRule="auto" w:line="295" w:before="0" w:after="0"/>
        <w:ind w:left="0" w:right="0" w:hanging="360"/>
        <w:rPr/>
      </w:pPr>
      <w:r>
        <w:rPr>
          <w:rFonts w:ascii="Arial;sans-serif" w:hAnsi="Arial;sans-serif"/>
          <w:b w:val="false"/>
          <w:color w:val="2F2F2F"/>
          <w:sz w:val="17"/>
        </w:rPr>
        <w:t>25.</w:t>
      </w:r>
      <w:r>
        <w:rPr>
          <w:rFonts w:ascii="Arial;sans-serif" w:hAnsi="Arial;sans-serif"/>
          <w:b w:val="false"/>
          <w:color w:val="181818"/>
          <w:sz w:val="17"/>
        </w:rPr>
        <w:t xml:space="preserve">I represent </w:t>
      </w:r>
      <w:r>
        <w:rPr>
          <w:rFonts w:ascii="Arial;sans-serif" w:hAnsi="Arial;sans-serif"/>
          <w:b w:val="false"/>
          <w:color w:val="2F2F2F"/>
          <w:sz w:val="17"/>
        </w:rPr>
        <w:t xml:space="preserve">and warrant </w:t>
      </w:r>
      <w:r>
        <w:rPr>
          <w:rFonts w:ascii="Arial;sans-serif" w:hAnsi="Arial;sans-serif"/>
          <w:b w:val="false"/>
          <w:color w:val="181818"/>
          <w:sz w:val="17"/>
        </w:rPr>
        <w:t xml:space="preserve">that I </w:t>
      </w:r>
      <w:r>
        <w:rPr>
          <w:rFonts w:ascii="Arial;sans-serif" w:hAnsi="Arial;sans-serif"/>
          <w:b w:val="false"/>
          <w:color w:val="2F2F2F"/>
          <w:sz w:val="17"/>
        </w:rPr>
        <w:t xml:space="preserve">am </w:t>
      </w:r>
      <w:r>
        <w:rPr>
          <w:rFonts w:ascii="Arial;sans-serif" w:hAnsi="Arial;sans-serif"/>
          <w:b w:val="false"/>
          <w:color w:val="181818"/>
          <w:sz w:val="17"/>
        </w:rPr>
        <w:t xml:space="preserve">not </w:t>
      </w:r>
      <w:r>
        <w:rPr>
          <w:rFonts w:ascii="Arial;sans-serif" w:hAnsi="Arial;sans-serif"/>
          <w:b w:val="false"/>
          <w:color w:val="2F2F2F"/>
          <w:sz w:val="17"/>
        </w:rPr>
        <w:t xml:space="preserve">excluded, </w:t>
      </w:r>
      <w:r>
        <w:rPr>
          <w:rFonts w:ascii="Arial;sans-serif" w:hAnsi="Arial;sans-serif"/>
          <w:b w:val="false"/>
          <w:color w:val="181818"/>
          <w:sz w:val="17"/>
        </w:rPr>
        <w:t xml:space="preserve">debarred, </w:t>
      </w:r>
      <w:r>
        <w:rPr>
          <w:rFonts w:ascii="Arial;sans-serif" w:hAnsi="Arial;sans-serif"/>
          <w:b w:val="false"/>
          <w:color w:val="2F2F2F"/>
          <w:sz w:val="17"/>
        </w:rPr>
        <w:t xml:space="preserve">suspended, or otherwise ineligible to participate </w:t>
      </w:r>
      <w:r>
        <w:rPr>
          <w:rFonts w:ascii="Arial;sans-serif" w:hAnsi="Arial;sans-serif"/>
          <w:b w:val="false"/>
          <w:color w:val="181818"/>
          <w:sz w:val="17"/>
        </w:rPr>
        <w:t xml:space="preserve">in federal health </w:t>
      </w:r>
      <w:r>
        <w:rPr>
          <w:rFonts w:ascii="Arial;sans-serif" w:hAnsi="Arial;sans-serif"/>
          <w:b w:val="false"/>
          <w:color w:val="2F2F2F"/>
          <w:sz w:val="17"/>
        </w:rPr>
        <w:t xml:space="preserve">care, procurement, or other programs, and </w:t>
      </w:r>
      <w:r>
        <w:rPr>
          <w:rFonts w:ascii="Arial;sans-serif" w:hAnsi="Arial;sans-serif"/>
          <w:b w:val="false"/>
          <w:color w:val="181818"/>
          <w:sz w:val="17"/>
        </w:rPr>
        <w:t xml:space="preserve">have not </w:t>
      </w:r>
      <w:r>
        <w:rPr>
          <w:rFonts w:ascii="Arial;sans-serif" w:hAnsi="Arial;sans-serif"/>
          <w:b w:val="false"/>
          <w:color w:val="2F2F2F"/>
          <w:sz w:val="17"/>
        </w:rPr>
        <w:t xml:space="preserve">been convicted of a criminal offense </w:t>
      </w:r>
      <w:r>
        <w:rPr>
          <w:rFonts w:ascii="Arial;sans-serif" w:hAnsi="Arial;sans-serif"/>
          <w:b w:val="false"/>
          <w:color w:val="181818"/>
          <w:sz w:val="17"/>
        </w:rPr>
        <w:t xml:space="preserve">relating to </w:t>
      </w:r>
      <w:r>
        <w:rPr>
          <w:rFonts w:ascii="Arial;sans-serif" w:hAnsi="Arial;sans-serif"/>
          <w:b w:val="false"/>
          <w:color w:val="2F2F2F"/>
          <w:sz w:val="17"/>
        </w:rPr>
        <w:t xml:space="preserve">health care </w:t>
      </w:r>
      <w:r>
        <w:rPr>
          <w:rFonts w:ascii="Arial;sans-serif" w:hAnsi="Arial;sans-serif"/>
          <w:b w:val="false"/>
          <w:color w:val="181818"/>
          <w:sz w:val="17"/>
        </w:rPr>
        <w:t xml:space="preserve">fraud, </w:t>
      </w:r>
      <w:r>
        <w:rPr>
          <w:rFonts w:ascii="Arial;sans-serif" w:hAnsi="Arial;sans-serif"/>
          <w:b w:val="false"/>
          <w:color w:val="2F2F2F"/>
          <w:sz w:val="17"/>
        </w:rPr>
        <w:t xml:space="preserve">patient abuse, and/or </w:t>
      </w:r>
      <w:r>
        <w:rPr>
          <w:rFonts w:ascii="Arial;sans-serif" w:hAnsi="Arial;sans-serif"/>
          <w:b w:val="false"/>
          <w:color w:val="181818"/>
          <w:sz w:val="17"/>
        </w:rPr>
        <w:t xml:space="preserve">the </w:t>
      </w:r>
      <w:r>
        <w:rPr>
          <w:rFonts w:ascii="Arial;sans-serif" w:hAnsi="Arial;sans-serif"/>
          <w:b w:val="false"/>
          <w:color w:val="2F2F2F"/>
          <w:sz w:val="17"/>
        </w:rPr>
        <w:t xml:space="preserve">development, approval, or regulation of drug products. </w:t>
      </w:r>
      <w:r>
        <w:rPr>
          <w:rFonts w:ascii="Arial;sans-serif" w:hAnsi="Arial;sans-serif"/>
          <w:b w:val="false"/>
          <w:color w:val="181818"/>
          <w:sz w:val="17"/>
        </w:rPr>
        <w:t xml:space="preserve">I </w:t>
      </w:r>
      <w:r>
        <w:rPr>
          <w:rFonts w:ascii="Arial;sans-serif" w:hAnsi="Arial;sans-serif"/>
          <w:b w:val="false"/>
          <w:color w:val="2F2F2F"/>
          <w:sz w:val="17"/>
        </w:rPr>
        <w:t xml:space="preserve">agree </w:t>
      </w:r>
      <w:r>
        <w:rPr>
          <w:rFonts w:ascii="Arial;sans-serif" w:hAnsi="Arial;sans-serif"/>
          <w:b w:val="false"/>
          <w:color w:val="181818"/>
          <w:sz w:val="17"/>
        </w:rPr>
        <w:t xml:space="preserve">to notify </w:t>
      </w:r>
      <w:r>
        <w:rPr>
          <w:rFonts w:ascii="Arial;sans-serif" w:hAnsi="Arial;sans-serif"/>
          <w:b w:val="false"/>
          <w:color w:val="2F2F2F"/>
          <w:sz w:val="17"/>
        </w:rPr>
        <w:t xml:space="preserve">the Company </w:t>
      </w:r>
      <w:r>
        <w:rPr>
          <w:rFonts w:ascii="Arial;sans-serif" w:hAnsi="Arial;sans-serif"/>
          <w:b w:val="false"/>
          <w:color w:val="181818"/>
          <w:sz w:val="17"/>
        </w:rPr>
        <w:t xml:space="preserve">in </w:t>
      </w:r>
      <w:r>
        <w:rPr>
          <w:rFonts w:ascii="Arial;sans-serif" w:hAnsi="Arial;sans-serif"/>
          <w:b w:val="false"/>
          <w:color w:val="2F2F2F"/>
          <w:sz w:val="17"/>
        </w:rPr>
        <w:t xml:space="preserve">writing </w:t>
      </w:r>
      <w:r>
        <w:rPr>
          <w:rFonts w:ascii="Arial;sans-serif" w:hAnsi="Arial;sans-serif"/>
          <w:b w:val="false"/>
          <w:color w:val="181818"/>
          <w:sz w:val="17"/>
        </w:rPr>
        <w:t xml:space="preserve">if I </w:t>
      </w:r>
      <w:r>
        <w:rPr>
          <w:rFonts w:ascii="Arial;sans-serif" w:hAnsi="Arial;sans-serif"/>
          <w:b w:val="false"/>
          <w:color w:val="2F2F2F"/>
          <w:sz w:val="17"/>
        </w:rPr>
        <w:t xml:space="preserve">become excluded, </w:t>
      </w:r>
      <w:r>
        <w:rPr>
          <w:rFonts w:ascii="Arial;sans-serif" w:hAnsi="Arial;sans-serif"/>
          <w:b w:val="false"/>
          <w:color w:val="181818"/>
          <w:sz w:val="17"/>
        </w:rPr>
        <w:t xml:space="preserve">debarred, </w:t>
      </w:r>
      <w:r>
        <w:rPr>
          <w:rFonts w:ascii="Arial;sans-serif" w:hAnsi="Arial;sans-serif"/>
          <w:b w:val="false"/>
          <w:color w:val="2F2F2F"/>
          <w:sz w:val="17"/>
        </w:rPr>
        <w:t xml:space="preserve">suspended, or otherwise </w:t>
      </w:r>
      <w:r>
        <w:rPr>
          <w:rFonts w:ascii="Arial;sans-serif" w:hAnsi="Arial;sans-serif"/>
          <w:b w:val="false"/>
          <w:color w:val="181818"/>
          <w:sz w:val="17"/>
        </w:rPr>
        <w:t xml:space="preserve">ineligible to </w:t>
      </w:r>
      <w:r>
        <w:rPr>
          <w:rFonts w:ascii="Arial;sans-serif" w:hAnsi="Arial;sans-serif"/>
          <w:b w:val="false"/>
          <w:color w:val="2F2F2F"/>
          <w:sz w:val="17"/>
        </w:rPr>
        <w:t xml:space="preserve">participate </w:t>
      </w:r>
      <w:r>
        <w:rPr>
          <w:rFonts w:ascii="Arial;sans-serif" w:hAnsi="Arial;sans-serif"/>
          <w:b w:val="false"/>
          <w:color w:val="181818"/>
          <w:sz w:val="17"/>
        </w:rPr>
        <w:t xml:space="preserve">in federal health </w:t>
      </w:r>
      <w:r>
        <w:rPr>
          <w:rFonts w:ascii="Arial;sans-serif" w:hAnsi="Arial;sans-serif"/>
          <w:b w:val="false"/>
          <w:color w:val="2F2F2F"/>
          <w:sz w:val="17"/>
        </w:rPr>
        <w:t xml:space="preserve">care, procurement, or other </w:t>
      </w:r>
      <w:r>
        <w:rPr>
          <w:rFonts w:ascii="Arial;sans-serif" w:hAnsi="Arial;sans-serif"/>
          <w:b w:val="false"/>
          <w:color w:val="181818"/>
          <w:sz w:val="17"/>
        </w:rPr>
        <w:t xml:space="preserve">programs, </w:t>
      </w:r>
      <w:r>
        <w:rPr>
          <w:rFonts w:ascii="Arial;sans-serif" w:hAnsi="Arial;sans-serif"/>
          <w:b w:val="false"/>
          <w:color w:val="2F2F2F"/>
          <w:sz w:val="17"/>
        </w:rPr>
        <w:t xml:space="preserve">am convicted of a criminal offense </w:t>
      </w:r>
      <w:r>
        <w:rPr>
          <w:rFonts w:ascii="Arial;sans-serif" w:hAnsi="Arial;sans-serif"/>
          <w:b w:val="false"/>
          <w:color w:val="181818"/>
          <w:sz w:val="17"/>
        </w:rPr>
        <w:t xml:space="preserve">relating to healthcare fraud, </w:t>
      </w:r>
      <w:r>
        <w:rPr>
          <w:rFonts w:ascii="Arial;sans-serif" w:hAnsi="Arial;sans-serif"/>
          <w:b w:val="false"/>
          <w:color w:val="2F2F2F"/>
          <w:sz w:val="17"/>
        </w:rPr>
        <w:t xml:space="preserve">patient abuse, and/or </w:t>
      </w:r>
      <w:r>
        <w:rPr>
          <w:rFonts w:ascii="Arial;sans-serif" w:hAnsi="Arial;sans-serif"/>
          <w:b w:val="false"/>
          <w:color w:val="181818"/>
          <w:sz w:val="17"/>
        </w:rPr>
        <w:t xml:space="preserve">the </w:t>
      </w:r>
      <w:r>
        <w:rPr>
          <w:rFonts w:ascii="Arial;sans-serif" w:hAnsi="Arial;sans-serif"/>
          <w:b w:val="false"/>
          <w:color w:val="2F2F2F"/>
          <w:sz w:val="17"/>
        </w:rPr>
        <w:t xml:space="preserve">development, approval, or regulation of </w:t>
      </w:r>
      <w:r>
        <w:rPr>
          <w:rFonts w:ascii="Arial;sans-serif" w:hAnsi="Arial;sans-serif"/>
          <w:b w:val="false"/>
          <w:color w:val="181818"/>
          <w:sz w:val="17"/>
        </w:rPr>
        <w:t xml:space="preserve">drug products, </w:t>
      </w:r>
      <w:r>
        <w:rPr>
          <w:rFonts w:ascii="Arial;sans-serif" w:hAnsi="Arial;sans-serif"/>
          <w:b w:val="false"/>
          <w:color w:val="2F2F2F"/>
          <w:sz w:val="17"/>
        </w:rPr>
        <w:t xml:space="preserve">or am convicted of a felony offense relating </w:t>
      </w:r>
      <w:r>
        <w:rPr>
          <w:rFonts w:ascii="Arial;sans-serif" w:hAnsi="Arial;sans-serif"/>
          <w:b w:val="false"/>
          <w:color w:val="181818"/>
          <w:sz w:val="17"/>
        </w:rPr>
        <w:t xml:space="preserve">to </w:t>
      </w:r>
      <w:r>
        <w:rPr>
          <w:rFonts w:ascii="Arial;sans-serif" w:hAnsi="Arial;sans-serif"/>
          <w:b w:val="false"/>
          <w:color w:val="2F2F2F"/>
          <w:sz w:val="17"/>
        </w:rPr>
        <w:t xml:space="preserve">the </w:t>
      </w:r>
      <w:r>
        <w:rPr>
          <w:rFonts w:ascii="Arial;sans-serif" w:hAnsi="Arial;sans-serif"/>
          <w:b w:val="false"/>
          <w:color w:val="181818"/>
          <w:sz w:val="17"/>
        </w:rPr>
        <w:t xml:space="preserve">unlawful manufacture, </w:t>
      </w:r>
      <w:r>
        <w:rPr>
          <w:rFonts w:ascii="Arial;sans-serif" w:hAnsi="Arial;sans-serif"/>
          <w:b w:val="false"/>
          <w:color w:val="2F2F2F"/>
          <w:sz w:val="17"/>
        </w:rPr>
        <w:t>distribution, prescription, or dispensing of a controlled substance.</w:t>
      </w:r>
    </w:p>
    <w:p>
      <w:pPr>
        <w:pStyle w:val="TextBody"/>
        <w:spacing w:before="11" w:after="283"/>
        <w:rPr/>
      </w:pPr>
      <w:r>
        <w:rPr/>
      </w:r>
    </w:p>
    <w:p>
      <w:pPr>
        <w:pStyle w:val="TextBody"/>
        <w:spacing w:lineRule="auto" w:line="297" w:before="0" w:after="0"/>
        <w:ind w:left="0" w:right="0" w:hanging="353"/>
        <w:rPr/>
      </w:pPr>
      <w:r>
        <w:rPr>
          <w:rFonts w:ascii="Arial;sans-serif" w:hAnsi="Arial;sans-serif"/>
          <w:b w:val="false"/>
          <w:color w:val="2F2F2F"/>
          <w:sz w:val="17"/>
        </w:rPr>
        <w:t>26.</w:t>
      </w:r>
      <w:r>
        <w:rPr>
          <w:rFonts w:ascii="Arial;sans-serif" w:hAnsi="Arial;sans-serif"/>
          <w:b w:val="false"/>
          <w:color w:val="181818"/>
          <w:sz w:val="17"/>
        </w:rPr>
        <w:t xml:space="preserve">I </w:t>
      </w:r>
      <w:r>
        <w:rPr>
          <w:rFonts w:ascii="Arial;sans-serif" w:hAnsi="Arial;sans-serif"/>
          <w:b w:val="false"/>
          <w:color w:val="2F2F2F"/>
          <w:sz w:val="17"/>
        </w:rPr>
        <w:t xml:space="preserve">agree </w:t>
      </w:r>
      <w:r>
        <w:rPr>
          <w:rFonts w:ascii="Arial;sans-serif" w:hAnsi="Arial;sans-serif"/>
          <w:b w:val="false"/>
          <w:color w:val="181818"/>
          <w:sz w:val="17"/>
        </w:rPr>
        <w:t xml:space="preserve">to </w:t>
      </w:r>
      <w:r>
        <w:rPr>
          <w:rFonts w:ascii="Arial;sans-serif" w:hAnsi="Arial;sans-serif"/>
          <w:b w:val="false"/>
          <w:color w:val="2F2F2F"/>
          <w:sz w:val="17"/>
        </w:rPr>
        <w:t xml:space="preserve">comply with all </w:t>
      </w:r>
      <w:r>
        <w:rPr>
          <w:rFonts w:ascii="Arial;sans-serif" w:hAnsi="Arial;sans-serif"/>
          <w:b w:val="false"/>
          <w:color w:val="181818"/>
          <w:sz w:val="17"/>
        </w:rPr>
        <w:t xml:space="preserve">laws, </w:t>
      </w:r>
      <w:r>
        <w:rPr>
          <w:rFonts w:ascii="Arial;sans-serif" w:hAnsi="Arial;sans-serif"/>
          <w:b w:val="false"/>
          <w:color w:val="2F2F2F"/>
          <w:sz w:val="17"/>
        </w:rPr>
        <w:t xml:space="preserve">regulations, </w:t>
      </w:r>
      <w:r>
        <w:rPr>
          <w:rFonts w:ascii="Arial;sans-serif" w:hAnsi="Arial;sans-serif"/>
          <w:b w:val="false"/>
          <w:color w:val="181818"/>
          <w:sz w:val="17"/>
        </w:rPr>
        <w:t xml:space="preserve">rules, </w:t>
      </w:r>
      <w:r>
        <w:rPr>
          <w:rFonts w:ascii="Arial;sans-serif" w:hAnsi="Arial;sans-serif"/>
          <w:b w:val="false"/>
          <w:color w:val="2F2F2F"/>
          <w:sz w:val="17"/>
        </w:rPr>
        <w:t xml:space="preserve">and policies pertaining to Medicare, Medicaid, or any other </w:t>
      </w:r>
      <w:r>
        <w:rPr>
          <w:rFonts w:ascii="Arial;sans-serif" w:hAnsi="Arial;sans-serif"/>
          <w:b w:val="false"/>
          <w:color w:val="181818"/>
          <w:sz w:val="17"/>
        </w:rPr>
        <w:t xml:space="preserve">federal health </w:t>
      </w:r>
      <w:r>
        <w:rPr>
          <w:rFonts w:ascii="Arial;sans-serif" w:hAnsi="Arial;sans-serif"/>
          <w:b w:val="false"/>
          <w:color w:val="2F2F2F"/>
          <w:sz w:val="17"/>
        </w:rPr>
        <w:t xml:space="preserve">care </w:t>
      </w:r>
      <w:r>
        <w:rPr>
          <w:rFonts w:ascii="Arial;sans-serif" w:hAnsi="Arial;sans-serif"/>
          <w:b w:val="false"/>
          <w:color w:val="181818"/>
          <w:sz w:val="17"/>
        </w:rPr>
        <w:t xml:space="preserve">program </w:t>
      </w:r>
      <w:r>
        <w:rPr>
          <w:rFonts w:ascii="Arial;sans-serif" w:hAnsi="Arial;sans-serif"/>
          <w:b w:val="false"/>
          <w:color w:val="2F2F2F"/>
          <w:sz w:val="17"/>
        </w:rPr>
        <w:t xml:space="preserve">while employed at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I </w:t>
      </w:r>
      <w:r>
        <w:rPr>
          <w:rFonts w:ascii="Arial;sans-serif" w:hAnsi="Arial;sans-serif"/>
          <w:b w:val="false"/>
          <w:color w:val="2F2F2F"/>
          <w:sz w:val="17"/>
        </w:rPr>
        <w:t xml:space="preserve">will inform </w:t>
      </w:r>
      <w:r>
        <w:rPr>
          <w:rFonts w:ascii="Arial;sans-serif" w:hAnsi="Arial;sans-serif"/>
          <w:b w:val="false"/>
          <w:color w:val="181818"/>
          <w:sz w:val="17"/>
        </w:rPr>
        <w:t xml:space="preserve">the </w:t>
      </w:r>
      <w:r>
        <w:rPr>
          <w:rFonts w:ascii="Arial;sans-serif" w:hAnsi="Arial;sans-serif"/>
          <w:b w:val="false"/>
          <w:color w:val="2F2F2F"/>
          <w:sz w:val="17"/>
        </w:rPr>
        <w:t xml:space="preserve">Company of (i) any non-compliant conduct by </w:t>
      </w:r>
      <w:r>
        <w:rPr>
          <w:rFonts w:ascii="Arial;sans-serif" w:hAnsi="Arial;sans-serif"/>
          <w:b w:val="false"/>
          <w:color w:val="181818"/>
          <w:sz w:val="17"/>
        </w:rPr>
        <w:t xml:space="preserve">the </w:t>
      </w:r>
      <w:r>
        <w:rPr>
          <w:rFonts w:ascii="Arial;sans-serif" w:hAnsi="Arial;sans-serif"/>
          <w:b w:val="false"/>
          <w:color w:val="2F2F2F"/>
          <w:sz w:val="17"/>
        </w:rPr>
        <w:t xml:space="preserve">Company or </w:t>
      </w:r>
      <w:r>
        <w:rPr>
          <w:rFonts w:ascii="Arial;sans-serif" w:hAnsi="Arial;sans-serif"/>
          <w:b w:val="false"/>
          <w:color w:val="181818"/>
          <w:sz w:val="17"/>
        </w:rPr>
        <w:t xml:space="preserve">its </w:t>
      </w:r>
      <w:r>
        <w:rPr>
          <w:rFonts w:ascii="Arial;sans-serif" w:hAnsi="Arial;sans-serif"/>
          <w:b w:val="false"/>
          <w:color w:val="2F2F2F"/>
          <w:sz w:val="17"/>
        </w:rPr>
        <w:t xml:space="preserve">employees; </w:t>
      </w:r>
      <w:r>
        <w:rPr>
          <w:rFonts w:ascii="Arial;sans-serif" w:hAnsi="Arial;sans-serif"/>
          <w:b w:val="false"/>
          <w:color w:val="181818"/>
          <w:sz w:val="17"/>
        </w:rPr>
        <w:t xml:space="preserve">or </w:t>
      </w:r>
      <w:r>
        <w:rPr>
          <w:rFonts w:ascii="Arial;sans-serif" w:hAnsi="Arial;sans-serif"/>
          <w:b w:val="false"/>
          <w:color w:val="2F2F2F"/>
          <w:sz w:val="17"/>
        </w:rPr>
        <w:t xml:space="preserve">(ii) any wrongdoing, </w:t>
      </w:r>
      <w:r>
        <w:rPr>
          <w:rFonts w:ascii="Arial;sans-serif" w:hAnsi="Arial;sans-serif"/>
          <w:b w:val="false"/>
          <w:color w:val="181818"/>
          <w:sz w:val="17"/>
        </w:rPr>
        <w:t xml:space="preserve">irregularities, improprieties </w:t>
      </w:r>
      <w:r>
        <w:rPr>
          <w:rFonts w:ascii="Arial;sans-serif" w:hAnsi="Arial;sans-serif"/>
          <w:b w:val="false"/>
          <w:color w:val="2F2F2F"/>
          <w:sz w:val="17"/>
        </w:rPr>
        <w:t xml:space="preserve">or </w:t>
      </w:r>
      <w:r>
        <w:rPr>
          <w:rFonts w:ascii="Arial;sans-serif" w:hAnsi="Arial;sans-serif"/>
          <w:b w:val="false"/>
          <w:color w:val="181818"/>
          <w:sz w:val="17"/>
        </w:rPr>
        <w:t xml:space="preserve">illegalities regarding </w:t>
      </w:r>
      <w:r>
        <w:rPr>
          <w:rFonts w:ascii="Arial;sans-serif" w:hAnsi="Arial;sans-serif"/>
          <w:b w:val="false"/>
          <w:color w:val="2F2F2F"/>
          <w:sz w:val="17"/>
        </w:rPr>
        <w:t xml:space="preserve">the ordering or </w:t>
      </w:r>
      <w:r>
        <w:rPr>
          <w:rFonts w:ascii="Arial;sans-serif" w:hAnsi="Arial;sans-serif"/>
          <w:b w:val="false"/>
          <w:color w:val="181818"/>
          <w:sz w:val="17"/>
        </w:rPr>
        <w:t xml:space="preserve">delivery </w:t>
      </w:r>
      <w:r>
        <w:rPr>
          <w:rFonts w:ascii="Arial;sans-serif" w:hAnsi="Arial;sans-serif"/>
          <w:b w:val="false"/>
          <w:color w:val="2F2F2F"/>
          <w:sz w:val="17"/>
        </w:rPr>
        <w:t xml:space="preserve">of any </w:t>
      </w:r>
      <w:r>
        <w:rPr>
          <w:rFonts w:ascii="Arial;sans-serif" w:hAnsi="Arial;sans-serif"/>
          <w:b w:val="false"/>
          <w:color w:val="181818"/>
          <w:sz w:val="17"/>
        </w:rPr>
        <w:t xml:space="preserve">item </w:t>
      </w:r>
      <w:r>
        <w:rPr>
          <w:rFonts w:ascii="Arial;sans-serif" w:hAnsi="Arial;sans-serif"/>
          <w:b w:val="false"/>
          <w:color w:val="2F2F2F"/>
          <w:sz w:val="17"/>
        </w:rPr>
        <w:t xml:space="preserve">or performance of any service by </w:t>
      </w:r>
      <w:r>
        <w:rPr>
          <w:rFonts w:ascii="Arial;sans-serif" w:hAnsi="Arial;sans-serif"/>
          <w:b w:val="false"/>
          <w:color w:val="181818"/>
          <w:sz w:val="17"/>
        </w:rPr>
        <w:t xml:space="preserve">the </w:t>
      </w:r>
      <w:r>
        <w:rPr>
          <w:rFonts w:ascii="Arial;sans-serif" w:hAnsi="Arial;sans-serif"/>
          <w:b w:val="false"/>
          <w:color w:val="2F2F2F"/>
          <w:sz w:val="17"/>
        </w:rPr>
        <w:t xml:space="preserve">Company </w:t>
      </w:r>
      <w:r>
        <w:rPr>
          <w:rFonts w:ascii="Arial;sans-serif" w:hAnsi="Arial;sans-serif"/>
          <w:b w:val="false"/>
          <w:color w:val="181818"/>
          <w:sz w:val="17"/>
        </w:rPr>
        <w:t xml:space="preserve">that is reimbursable </w:t>
      </w:r>
      <w:r>
        <w:rPr>
          <w:rFonts w:ascii="Arial;sans-serif" w:hAnsi="Arial;sans-serif"/>
          <w:b w:val="false"/>
          <w:color w:val="2F2F2F"/>
          <w:sz w:val="17"/>
        </w:rPr>
        <w:t xml:space="preserve">by Medicare, </w:t>
      </w:r>
      <w:r>
        <w:rPr>
          <w:rFonts w:ascii="Arial;sans-serif" w:hAnsi="Arial;sans-serif"/>
          <w:b w:val="false"/>
          <w:color w:val="181818"/>
          <w:sz w:val="17"/>
        </w:rPr>
        <w:t xml:space="preserve">Medicaid, </w:t>
      </w:r>
      <w:r>
        <w:rPr>
          <w:rFonts w:ascii="Arial;sans-serif" w:hAnsi="Arial;sans-serif"/>
          <w:b w:val="false"/>
          <w:color w:val="2F2F2F"/>
          <w:sz w:val="17"/>
        </w:rPr>
        <w:t xml:space="preserve">or any other federal </w:t>
      </w:r>
      <w:r>
        <w:rPr>
          <w:rFonts w:ascii="Arial;sans-serif" w:hAnsi="Arial;sans-serif"/>
          <w:b w:val="false"/>
          <w:color w:val="181818"/>
          <w:sz w:val="17"/>
        </w:rPr>
        <w:t xml:space="preserve">health </w:t>
      </w:r>
      <w:r>
        <w:rPr>
          <w:rFonts w:ascii="Arial;sans-serif" w:hAnsi="Arial;sans-serif"/>
          <w:b w:val="false"/>
          <w:color w:val="2F2F2F"/>
          <w:sz w:val="17"/>
        </w:rPr>
        <w:t>care program.</w:t>
      </w:r>
    </w:p>
    <w:p>
      <w:pPr>
        <w:pStyle w:val="TextBody"/>
        <w:spacing w:before="4" w:after="283"/>
        <w:rPr/>
      </w:pPr>
      <w:r>
        <w:rPr/>
      </w:r>
    </w:p>
    <w:p>
      <w:pPr>
        <w:pStyle w:val="TextBody"/>
        <w:spacing w:lineRule="auto" w:line="240" w:before="95" w:after="283"/>
        <w:rPr>
          <w:rFonts w:ascii="Arial;sans-serif" w:hAnsi="Arial;sans-serif"/>
          <w:b w:val="false"/>
          <w:color w:val="2F2F2F"/>
          <w:sz w:val="17"/>
          <w:u w:val="single"/>
        </w:rPr>
      </w:pPr>
      <w:r>
        <w:rPr>
          <w:rFonts w:ascii="Arial;sans-serif" w:hAnsi="Arial;sans-serif"/>
          <w:b w:val="false"/>
          <w:color w:val="2F2F2F"/>
          <w:sz w:val="17"/>
          <w:u w:val="single"/>
        </w:rPr>
        <w:t>Defend Trade Secrets Act of 2016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8" w:after="283"/>
        <w:rPr/>
      </w:pPr>
      <w:r>
        <w:rPr/>
      </w:r>
    </w:p>
    <w:p>
      <w:pPr>
        <w:pStyle w:val="TextBody"/>
        <w:spacing w:before="1" w:after="283"/>
        <w:rPr/>
      </w:pPr>
      <w:r>
        <w:rPr/>
      </w:r>
    </w:p>
    <w:p>
      <w:pPr>
        <w:pStyle w:val="TextBody"/>
        <w:spacing w:lineRule="auto" w:line="295" w:before="1" w:after="283"/>
        <w:ind w:left="0" w:right="0" w:hanging="360"/>
        <w:rPr/>
      </w:pPr>
      <w:r>
        <w:rPr>
          <w:rFonts w:ascii="Arial;sans-serif" w:hAnsi="Arial;sans-serif"/>
          <w:b w:val="false"/>
          <w:color w:val="2D2D2D"/>
          <w:sz w:val="17"/>
        </w:rPr>
        <w:t xml:space="preserve">27.Under the federal Defend Trade Secrets Act of 2016, I shall not be held criminally or civilly liable under any </w:t>
      </w:r>
      <w:r>
        <w:rPr>
          <w:rFonts w:ascii="Arial;sans-serif" w:hAnsi="Arial;sans-serif"/>
          <w:b w:val="false"/>
          <w:color w:val="181818"/>
          <w:sz w:val="17"/>
        </w:rPr>
        <w:t xml:space="preserve">federal or </w:t>
      </w:r>
      <w:r>
        <w:rPr>
          <w:rFonts w:ascii="Arial;sans-serif" w:hAnsi="Arial;sans-serif"/>
          <w:b w:val="false"/>
          <w:color w:val="2D2D2D"/>
          <w:sz w:val="17"/>
        </w:rPr>
        <w:t xml:space="preserve">state </w:t>
      </w:r>
      <w:r>
        <w:rPr>
          <w:rFonts w:ascii="Arial;sans-serif" w:hAnsi="Arial;sans-serif"/>
          <w:b w:val="false"/>
          <w:color w:val="181818"/>
          <w:sz w:val="17"/>
        </w:rPr>
        <w:t xml:space="preserve">trade </w:t>
      </w:r>
      <w:r>
        <w:rPr>
          <w:rFonts w:ascii="Arial;sans-serif" w:hAnsi="Arial;sans-serif"/>
          <w:b w:val="false"/>
          <w:color w:val="2D2D2D"/>
          <w:sz w:val="17"/>
        </w:rPr>
        <w:t xml:space="preserve">secret </w:t>
      </w:r>
      <w:r>
        <w:rPr>
          <w:rFonts w:ascii="Arial;sans-serif" w:hAnsi="Arial;sans-serif"/>
          <w:b w:val="false"/>
          <w:color w:val="181818"/>
          <w:sz w:val="17"/>
        </w:rPr>
        <w:t xml:space="preserve">law for the disclosure </w:t>
      </w:r>
      <w:r>
        <w:rPr>
          <w:rFonts w:ascii="Arial;sans-serif" w:hAnsi="Arial;sans-serif"/>
          <w:b w:val="false"/>
          <w:color w:val="2D2D2D"/>
          <w:sz w:val="17"/>
        </w:rPr>
        <w:t xml:space="preserve">of a trade secret </w:t>
      </w:r>
      <w:r>
        <w:rPr>
          <w:rFonts w:ascii="Arial;sans-serif" w:hAnsi="Arial;sans-serif"/>
          <w:b w:val="false"/>
          <w:color w:val="181818"/>
          <w:sz w:val="17"/>
        </w:rPr>
        <w:t xml:space="preserve">that: </w:t>
      </w:r>
      <w:r>
        <w:rPr>
          <w:rFonts w:ascii="Arial;sans-serif" w:hAnsi="Arial;sans-serif"/>
          <w:b w:val="false"/>
          <w:color w:val="2D2D2D"/>
          <w:sz w:val="17"/>
        </w:rPr>
        <w:t xml:space="preserve">(a) </w:t>
      </w:r>
      <w:r>
        <w:rPr>
          <w:rFonts w:ascii="Arial;sans-serif" w:hAnsi="Arial;sans-serif"/>
          <w:b w:val="false"/>
          <w:color w:val="181818"/>
          <w:sz w:val="17"/>
        </w:rPr>
        <w:t xml:space="preserve">is made </w:t>
      </w:r>
      <w:r>
        <w:rPr>
          <w:rFonts w:ascii="Arial;sans-serif" w:hAnsi="Arial;sans-serif"/>
          <w:b w:val="false"/>
          <w:color w:val="2D2D2D"/>
          <w:sz w:val="17"/>
        </w:rPr>
        <w:t xml:space="preserve">(i) </w:t>
      </w:r>
      <w:r>
        <w:rPr>
          <w:rFonts w:ascii="Arial;sans-serif" w:hAnsi="Arial;sans-serif"/>
          <w:b w:val="false"/>
          <w:color w:val="181818"/>
          <w:sz w:val="17"/>
        </w:rPr>
        <w:t xml:space="preserve">in </w:t>
      </w:r>
      <w:r>
        <w:rPr>
          <w:rFonts w:ascii="Arial;sans-serif" w:hAnsi="Arial;sans-serif"/>
          <w:b w:val="false"/>
          <w:color w:val="2D2D2D"/>
          <w:sz w:val="17"/>
        </w:rPr>
        <w:t xml:space="preserve">confidence </w:t>
      </w:r>
      <w:r>
        <w:rPr>
          <w:rFonts w:ascii="Arial;sans-serif" w:hAnsi="Arial;sans-serif"/>
          <w:b w:val="false"/>
          <w:color w:val="181818"/>
          <w:sz w:val="17"/>
        </w:rPr>
        <w:t xml:space="preserve">to </w:t>
      </w:r>
      <w:r>
        <w:rPr>
          <w:rFonts w:ascii="Arial;sans-serif" w:hAnsi="Arial;sans-serif"/>
          <w:b w:val="false"/>
          <w:color w:val="2D2D2D"/>
          <w:sz w:val="17"/>
        </w:rPr>
        <w:t xml:space="preserve">a </w:t>
      </w:r>
      <w:r>
        <w:rPr>
          <w:rFonts w:ascii="Arial;sans-serif" w:hAnsi="Arial;sans-serif"/>
          <w:b w:val="false"/>
          <w:color w:val="181818"/>
          <w:sz w:val="17"/>
        </w:rPr>
        <w:t xml:space="preserve">federal, </w:t>
      </w:r>
      <w:r>
        <w:rPr>
          <w:rFonts w:ascii="Arial;sans-serif" w:hAnsi="Arial;sans-serif"/>
          <w:b w:val="false"/>
          <w:color w:val="2D2D2D"/>
          <w:sz w:val="17"/>
        </w:rPr>
        <w:t xml:space="preserve">state, </w:t>
      </w:r>
      <w:r>
        <w:rPr>
          <w:rFonts w:ascii="Arial;sans-serif" w:hAnsi="Arial;sans-serif"/>
          <w:b w:val="false"/>
          <w:color w:val="181818"/>
          <w:sz w:val="17"/>
        </w:rPr>
        <w:t>or lo</w:t>
      </w:r>
      <w:r>
        <w:rPr>
          <w:rFonts w:ascii="Arial;sans-serif" w:hAnsi="Arial;sans-serif"/>
          <w:b w:val="false"/>
          <w:color w:val="444444"/>
          <w:sz w:val="17"/>
        </w:rPr>
        <w:t xml:space="preserve">cal </w:t>
      </w:r>
      <w:r>
        <w:rPr>
          <w:rFonts w:ascii="Arial;sans-serif" w:hAnsi="Arial;sans-serif"/>
          <w:b w:val="false"/>
          <w:color w:val="2D2D2D"/>
          <w:sz w:val="17"/>
        </w:rPr>
        <w:t xml:space="preserve">government official, either </w:t>
      </w:r>
      <w:r>
        <w:rPr>
          <w:rFonts w:ascii="Arial;sans-serif" w:hAnsi="Arial;sans-serif"/>
          <w:b w:val="false"/>
          <w:color w:val="181818"/>
          <w:sz w:val="17"/>
        </w:rPr>
        <w:t xml:space="preserve">directly </w:t>
      </w:r>
      <w:r>
        <w:rPr>
          <w:rFonts w:ascii="Arial;sans-serif" w:hAnsi="Arial;sans-serif"/>
          <w:b w:val="false"/>
          <w:color w:val="2D2D2D"/>
          <w:sz w:val="17"/>
        </w:rPr>
        <w:t xml:space="preserve">or </w:t>
      </w:r>
      <w:r>
        <w:rPr>
          <w:rFonts w:ascii="Arial;sans-serif" w:hAnsi="Arial;sans-serif"/>
          <w:b w:val="false"/>
          <w:color w:val="181818"/>
          <w:sz w:val="17"/>
        </w:rPr>
        <w:t xml:space="preserve">indirectly, </w:t>
      </w:r>
      <w:r>
        <w:rPr>
          <w:rFonts w:ascii="Arial;sans-serif" w:hAnsi="Arial;sans-serif"/>
          <w:b w:val="false"/>
          <w:color w:val="2D2D2D"/>
          <w:sz w:val="17"/>
        </w:rPr>
        <w:t xml:space="preserve">or </w:t>
      </w:r>
      <w:r>
        <w:rPr>
          <w:rFonts w:ascii="Arial;sans-serif" w:hAnsi="Arial;sans-serif"/>
          <w:b w:val="false"/>
          <w:color w:val="181818"/>
          <w:sz w:val="17"/>
        </w:rPr>
        <w:t xml:space="preserve">to </w:t>
      </w:r>
      <w:r>
        <w:rPr>
          <w:rFonts w:ascii="Arial;sans-serif" w:hAnsi="Arial;sans-serif"/>
          <w:b w:val="false"/>
          <w:color w:val="2D2D2D"/>
          <w:sz w:val="17"/>
        </w:rPr>
        <w:t xml:space="preserve">an attorney; and </w:t>
      </w:r>
      <w:r>
        <w:rPr>
          <w:rFonts w:ascii="Arial;sans-serif" w:hAnsi="Arial;sans-serif"/>
          <w:b w:val="false"/>
          <w:color w:val="181818"/>
          <w:sz w:val="17"/>
        </w:rPr>
        <w:t xml:space="preserve">(ii) </w:t>
      </w:r>
      <w:r>
        <w:rPr>
          <w:rFonts w:ascii="Arial;sans-serif" w:hAnsi="Arial;sans-serif"/>
          <w:b w:val="false"/>
          <w:color w:val="2D2D2D"/>
          <w:sz w:val="17"/>
        </w:rPr>
        <w:t xml:space="preserve">solely </w:t>
      </w:r>
      <w:r>
        <w:rPr>
          <w:rFonts w:ascii="Arial;sans-serif" w:hAnsi="Arial;sans-serif"/>
          <w:b w:val="false"/>
          <w:color w:val="181818"/>
          <w:sz w:val="17"/>
        </w:rPr>
        <w:t xml:space="preserve">for </w:t>
      </w:r>
      <w:r>
        <w:rPr>
          <w:rFonts w:ascii="Arial;sans-serif" w:hAnsi="Arial;sans-serif"/>
          <w:b w:val="false"/>
          <w:color w:val="2D2D2D"/>
          <w:sz w:val="17"/>
        </w:rPr>
        <w:t xml:space="preserve">the purpose </w:t>
      </w:r>
      <w:r>
        <w:rPr>
          <w:rFonts w:ascii="Arial;sans-serif" w:hAnsi="Arial;sans-serif"/>
          <w:b w:val="false"/>
          <w:color w:val="181818"/>
          <w:sz w:val="17"/>
        </w:rPr>
        <w:t xml:space="preserve">of reporting </w:t>
      </w:r>
      <w:r>
        <w:rPr>
          <w:rFonts w:ascii="Arial;sans-serif" w:hAnsi="Arial;sans-serif"/>
          <w:b w:val="false"/>
          <w:color w:val="2D2D2D"/>
          <w:sz w:val="17"/>
        </w:rPr>
        <w:t xml:space="preserve">or </w:t>
      </w:r>
      <w:r>
        <w:rPr>
          <w:rFonts w:ascii="Arial;sans-serif" w:hAnsi="Arial;sans-serif"/>
          <w:b w:val="false"/>
          <w:color w:val="181818"/>
          <w:sz w:val="17"/>
        </w:rPr>
        <w:t xml:space="preserve">investigating </w:t>
      </w:r>
      <w:r>
        <w:rPr>
          <w:rFonts w:ascii="Arial;sans-serif" w:hAnsi="Arial;sans-serif"/>
          <w:b w:val="false"/>
          <w:color w:val="2D2D2D"/>
          <w:sz w:val="17"/>
        </w:rPr>
        <w:t xml:space="preserve">a suspected </w:t>
      </w:r>
      <w:r>
        <w:rPr>
          <w:rFonts w:ascii="Arial;sans-serif" w:hAnsi="Arial;sans-serif"/>
          <w:b w:val="false"/>
          <w:color w:val="181818"/>
          <w:sz w:val="17"/>
        </w:rPr>
        <w:t xml:space="preserve">violation </w:t>
      </w:r>
      <w:r>
        <w:rPr>
          <w:rFonts w:ascii="Arial;sans-serif" w:hAnsi="Arial;sans-serif"/>
          <w:b w:val="false"/>
          <w:color w:val="2D2D2D"/>
          <w:sz w:val="17"/>
        </w:rPr>
        <w:t xml:space="preserve">of </w:t>
      </w:r>
      <w:r>
        <w:rPr>
          <w:rFonts w:ascii="Arial;sans-serif" w:hAnsi="Arial;sans-serif"/>
          <w:b w:val="false"/>
          <w:color w:val="181818"/>
          <w:sz w:val="17"/>
        </w:rPr>
        <w:t xml:space="preserve">law; </w:t>
      </w:r>
      <w:r>
        <w:rPr>
          <w:rFonts w:ascii="Arial;sans-serif" w:hAnsi="Arial;sans-serif"/>
          <w:b w:val="false"/>
          <w:color w:val="2D2D2D"/>
          <w:sz w:val="17"/>
        </w:rPr>
        <w:t>or</w:t>
      </w:r>
    </w:p>
    <w:p>
      <w:pPr>
        <w:pStyle w:val="TextBody"/>
        <w:spacing w:lineRule="auto" w:line="297" w:before="1" w:after="283"/>
        <w:ind w:left="0" w:right="0" w:firstLine="2"/>
        <w:jc w:val="both"/>
        <w:rPr/>
      </w:pPr>
      <w:r>
        <w:rPr>
          <w:rFonts w:ascii="Arial;sans-serif" w:hAnsi="Arial;sans-serif"/>
          <w:b w:val="false"/>
          <w:color w:val="2D2D2D"/>
          <w:sz w:val="17"/>
        </w:rPr>
        <w:t xml:space="preserve">(b) </w:t>
      </w:r>
      <w:r>
        <w:rPr>
          <w:rFonts w:ascii="Arial;sans-serif" w:hAnsi="Arial;sans-serif"/>
          <w:b w:val="false"/>
          <w:color w:val="181818"/>
          <w:sz w:val="17"/>
        </w:rPr>
        <w:t xml:space="preserve">is made to my </w:t>
      </w:r>
      <w:r>
        <w:rPr>
          <w:rFonts w:ascii="Arial;sans-serif" w:hAnsi="Arial;sans-serif"/>
          <w:b w:val="false"/>
          <w:color w:val="2D2D2D"/>
          <w:sz w:val="17"/>
        </w:rPr>
        <w:t xml:space="preserve">attorney </w:t>
      </w:r>
      <w:r>
        <w:rPr>
          <w:rFonts w:ascii="Arial;sans-serif" w:hAnsi="Arial;sans-serif"/>
          <w:b w:val="false"/>
          <w:color w:val="181818"/>
          <w:sz w:val="17"/>
        </w:rPr>
        <w:t xml:space="preserve">in relation to </w:t>
      </w:r>
      <w:r>
        <w:rPr>
          <w:rFonts w:ascii="Arial;sans-serif" w:hAnsi="Arial;sans-serif"/>
          <w:b w:val="false"/>
          <w:color w:val="2D2D2D"/>
          <w:sz w:val="17"/>
        </w:rPr>
        <w:t xml:space="preserve">a lawsuit </w:t>
      </w:r>
      <w:r>
        <w:rPr>
          <w:rFonts w:ascii="Arial;sans-serif" w:hAnsi="Arial;sans-serif"/>
          <w:b w:val="false"/>
          <w:color w:val="181818"/>
          <w:sz w:val="17"/>
        </w:rPr>
        <w:t xml:space="preserve">for retaliation against the </w:t>
      </w:r>
      <w:r>
        <w:rPr>
          <w:rFonts w:ascii="Arial;sans-serif" w:hAnsi="Arial;sans-serif"/>
          <w:b w:val="false"/>
          <w:color w:val="2D2D2D"/>
          <w:sz w:val="17"/>
        </w:rPr>
        <w:t xml:space="preserve">Company </w:t>
      </w:r>
      <w:r>
        <w:rPr>
          <w:rFonts w:ascii="Arial;sans-serif" w:hAnsi="Arial;sans-serif"/>
          <w:b w:val="false"/>
          <w:color w:val="181818"/>
          <w:sz w:val="17"/>
        </w:rPr>
        <w:t>for report</w:t>
      </w:r>
      <w:r>
        <w:rPr>
          <w:rFonts w:ascii="Arial;sans-serif" w:hAnsi="Arial;sans-serif"/>
          <w:b w:val="false"/>
          <w:color w:val="444444"/>
          <w:sz w:val="17"/>
        </w:rPr>
        <w:t xml:space="preserve">ing </w:t>
      </w:r>
      <w:r>
        <w:rPr>
          <w:rFonts w:ascii="Arial;sans-serif" w:hAnsi="Arial;sans-serif"/>
          <w:b w:val="false"/>
          <w:color w:val="2D2D2D"/>
          <w:sz w:val="17"/>
        </w:rPr>
        <w:t xml:space="preserve">a suspected violation of </w:t>
      </w:r>
      <w:r>
        <w:rPr>
          <w:rFonts w:ascii="Arial;sans-serif" w:hAnsi="Arial;sans-serif"/>
          <w:b w:val="false"/>
          <w:color w:val="181818"/>
          <w:sz w:val="17"/>
        </w:rPr>
        <w:t xml:space="preserve">law; </w:t>
      </w:r>
      <w:r>
        <w:rPr>
          <w:rFonts w:ascii="Arial;sans-serif" w:hAnsi="Arial;sans-serif"/>
          <w:b w:val="false"/>
          <w:color w:val="2D2D2D"/>
          <w:sz w:val="17"/>
        </w:rPr>
        <w:t xml:space="preserve">or (c) is </w:t>
      </w:r>
      <w:r>
        <w:rPr>
          <w:rFonts w:ascii="Arial;sans-serif" w:hAnsi="Arial;sans-serif"/>
          <w:b w:val="false"/>
          <w:color w:val="181818"/>
          <w:sz w:val="17"/>
        </w:rPr>
        <w:t xml:space="preserve">made in </w:t>
      </w:r>
      <w:r>
        <w:rPr>
          <w:rFonts w:ascii="Arial;sans-serif" w:hAnsi="Arial;sans-serif"/>
          <w:b w:val="false"/>
          <w:color w:val="2D2D2D"/>
          <w:sz w:val="17"/>
        </w:rPr>
        <w:t xml:space="preserve">a complaint </w:t>
      </w:r>
      <w:r>
        <w:rPr>
          <w:rFonts w:ascii="Arial;sans-serif" w:hAnsi="Arial;sans-serif"/>
          <w:b w:val="false"/>
          <w:color w:val="181818"/>
          <w:sz w:val="17"/>
        </w:rPr>
        <w:t xml:space="preserve">or </w:t>
      </w:r>
      <w:r>
        <w:rPr>
          <w:rFonts w:ascii="Arial;sans-serif" w:hAnsi="Arial;sans-serif"/>
          <w:b w:val="false"/>
          <w:color w:val="2D2D2D"/>
          <w:sz w:val="17"/>
        </w:rPr>
        <w:t xml:space="preserve">other </w:t>
      </w:r>
      <w:r>
        <w:rPr>
          <w:rFonts w:ascii="Arial;sans-serif" w:hAnsi="Arial;sans-serif"/>
          <w:b w:val="false"/>
          <w:color w:val="181818"/>
          <w:sz w:val="17"/>
        </w:rPr>
        <w:t xml:space="preserve">document filed in </w:t>
      </w:r>
      <w:r>
        <w:rPr>
          <w:rFonts w:ascii="Arial;sans-serif" w:hAnsi="Arial;sans-serif"/>
          <w:b w:val="false"/>
          <w:color w:val="2D2D2D"/>
          <w:sz w:val="17"/>
        </w:rPr>
        <w:t xml:space="preserve">a </w:t>
      </w:r>
      <w:r>
        <w:rPr>
          <w:rFonts w:ascii="Arial;sans-serif" w:hAnsi="Arial;sans-serif"/>
          <w:b w:val="false"/>
          <w:color w:val="181818"/>
          <w:sz w:val="17"/>
        </w:rPr>
        <w:t xml:space="preserve">lawsuit </w:t>
      </w:r>
      <w:r>
        <w:rPr>
          <w:rFonts w:ascii="Arial;sans-serif" w:hAnsi="Arial;sans-serif"/>
          <w:b w:val="false"/>
          <w:color w:val="2D2D2D"/>
          <w:sz w:val="17"/>
        </w:rPr>
        <w:t xml:space="preserve">or other </w:t>
      </w:r>
      <w:r>
        <w:rPr>
          <w:rFonts w:ascii="Arial;sans-serif" w:hAnsi="Arial;sans-serif"/>
          <w:b w:val="false"/>
          <w:color w:val="181818"/>
          <w:sz w:val="17"/>
        </w:rPr>
        <w:t>proceeding</w:t>
      </w:r>
      <w:r>
        <w:rPr>
          <w:rFonts w:ascii="Arial;sans-serif" w:hAnsi="Arial;sans-serif"/>
          <w:b w:val="false"/>
          <w:color w:val="444444"/>
          <w:sz w:val="17"/>
        </w:rPr>
        <w:t xml:space="preserve">, </w:t>
      </w:r>
      <w:r>
        <w:rPr>
          <w:rFonts w:ascii="Arial;sans-serif" w:hAnsi="Arial;sans-serif"/>
          <w:b w:val="false"/>
          <w:color w:val="181818"/>
          <w:sz w:val="17"/>
        </w:rPr>
        <w:t xml:space="preserve">if </w:t>
      </w:r>
      <w:r>
        <w:rPr>
          <w:rFonts w:ascii="Arial;sans-serif" w:hAnsi="Arial;sans-serif"/>
          <w:b w:val="false"/>
          <w:color w:val="2D2D2D"/>
          <w:sz w:val="17"/>
        </w:rPr>
        <w:t xml:space="preserve">such </w:t>
      </w:r>
      <w:r>
        <w:rPr>
          <w:rFonts w:ascii="Arial;sans-serif" w:hAnsi="Arial;sans-serif"/>
          <w:b w:val="false"/>
          <w:color w:val="181818"/>
          <w:sz w:val="17"/>
        </w:rPr>
        <w:t xml:space="preserve">filing is made </w:t>
      </w:r>
      <w:r>
        <w:rPr>
          <w:rFonts w:ascii="Arial;sans-serif" w:hAnsi="Arial;sans-serif"/>
          <w:b w:val="false"/>
          <w:color w:val="2D2D2D"/>
          <w:sz w:val="17"/>
        </w:rPr>
        <w:t>under seal.</w:t>
      </w:r>
    </w:p>
    <w:p>
      <w:pPr>
        <w:pStyle w:val="TextBody"/>
        <w:spacing w:before="0" w:after="0"/>
        <w:jc w:val="both"/>
        <w:rPr/>
      </w:pPr>
      <w:r>
        <w:rPr/>
      </w:r>
    </w:p>
    <w:p>
      <w:pPr>
        <w:pStyle w:val="TextBody"/>
        <w:spacing w:lineRule="auto" w:line="240" w:before="0" w:after="0"/>
        <w:rPr/>
      </w:pPr>
      <w:r>
        <w:rPr>
          <w:rFonts w:ascii="Arial;sans-serif" w:hAnsi="Arial;sans-serif"/>
          <w:b w:val="false"/>
          <w:color w:val="181818"/>
          <w:sz w:val="17"/>
          <w:u w:val="single"/>
        </w:rPr>
        <w:t xml:space="preserve">Delivery </w:t>
      </w:r>
      <w:r>
        <w:rPr>
          <w:rFonts w:ascii="Arial;sans-serif" w:hAnsi="Arial;sans-serif"/>
          <w:b w:val="false"/>
          <w:color w:val="2D2D2D"/>
          <w:sz w:val="17"/>
          <w:u w:val="single"/>
        </w:rPr>
        <w:t xml:space="preserve">and </w:t>
      </w:r>
      <w:r>
        <w:rPr>
          <w:rFonts w:ascii="Arial;sans-serif" w:hAnsi="Arial;sans-serif"/>
          <w:b w:val="false"/>
          <w:color w:val="181818"/>
          <w:sz w:val="17"/>
          <w:u w:val="single"/>
        </w:rPr>
        <w:t xml:space="preserve">Legal </w:t>
      </w:r>
      <w:r>
        <w:rPr>
          <w:rFonts w:ascii="Arial;sans-serif" w:hAnsi="Arial;sans-serif"/>
          <w:b w:val="false"/>
          <w:color w:val="2D2D2D"/>
          <w:sz w:val="17"/>
          <w:u w:val="single"/>
        </w:rPr>
        <w:t>Consultation</w:t>
      </w:r>
    </w:p>
    <w:p>
      <w:pPr>
        <w:pStyle w:val="TextBody"/>
        <w:spacing w:before="6" w:after="283"/>
        <w:rPr/>
      </w:pPr>
      <w:r>
        <w:rPr/>
      </w:r>
    </w:p>
    <w:p>
      <w:pPr>
        <w:pStyle w:val="TextBody"/>
        <w:spacing w:lineRule="auto" w:line="292" w:before="0" w:after="0"/>
        <w:ind w:left="0" w:right="0" w:firstLine="2"/>
        <w:rPr/>
      </w:pPr>
      <w:r>
        <w:rPr>
          <w:rFonts w:ascii="Arial;sans-serif" w:hAnsi="Arial;sans-serif"/>
          <w:b w:val="false"/>
          <w:color w:val="181818"/>
          <w:sz w:val="17"/>
        </w:rPr>
        <w:t xml:space="preserve">I </w:t>
      </w:r>
      <w:r>
        <w:rPr>
          <w:rFonts w:ascii="Arial;sans-serif" w:hAnsi="Arial;sans-serif"/>
          <w:b w:val="false"/>
          <w:color w:val="2D2D2D"/>
          <w:sz w:val="17"/>
        </w:rPr>
        <w:t xml:space="preserve">acknowledge </w:t>
      </w:r>
      <w:r>
        <w:rPr>
          <w:rFonts w:ascii="Arial;sans-serif" w:hAnsi="Arial;sans-serif"/>
          <w:b w:val="false"/>
          <w:color w:val="181818"/>
          <w:sz w:val="17"/>
        </w:rPr>
        <w:t xml:space="preserve">that I </w:t>
      </w:r>
      <w:r>
        <w:rPr>
          <w:rFonts w:ascii="Arial;sans-serif" w:hAnsi="Arial;sans-serif"/>
          <w:b w:val="false"/>
          <w:color w:val="2D2D2D"/>
          <w:sz w:val="17"/>
        </w:rPr>
        <w:t xml:space="preserve">was provided </w:t>
      </w:r>
      <w:r>
        <w:rPr>
          <w:rFonts w:ascii="Arial;sans-serif" w:hAnsi="Arial;sans-serif"/>
          <w:b w:val="false"/>
          <w:color w:val="181818"/>
          <w:sz w:val="17"/>
        </w:rPr>
        <w:t xml:space="preserve">this </w:t>
      </w:r>
      <w:r>
        <w:rPr>
          <w:rFonts w:ascii="Arial;sans-serif" w:hAnsi="Arial;sans-serif"/>
          <w:b w:val="false"/>
          <w:color w:val="2D2D2D"/>
          <w:sz w:val="17"/>
        </w:rPr>
        <w:t xml:space="preserve">Agreement </w:t>
      </w:r>
      <w:r>
        <w:rPr>
          <w:rFonts w:ascii="Arial;sans-serif" w:hAnsi="Arial;sans-serif"/>
          <w:b w:val="false"/>
          <w:color w:val="181818"/>
          <w:sz w:val="17"/>
        </w:rPr>
        <w:t xml:space="preserve">the </w:t>
      </w:r>
      <w:r>
        <w:rPr>
          <w:rFonts w:ascii="Arial;sans-serif" w:hAnsi="Arial;sans-serif"/>
          <w:b w:val="false"/>
          <w:color w:val="2D2D2D"/>
          <w:sz w:val="17"/>
        </w:rPr>
        <w:t xml:space="preserve">earlier of either a </w:t>
      </w:r>
      <w:r>
        <w:rPr>
          <w:rFonts w:ascii="Arial;sans-serif" w:hAnsi="Arial;sans-serif"/>
          <w:b w:val="false"/>
          <w:color w:val="181818"/>
          <w:sz w:val="17"/>
        </w:rPr>
        <w:t xml:space="preserve">formal </w:t>
      </w:r>
      <w:r>
        <w:rPr>
          <w:rFonts w:ascii="Arial;sans-serif" w:hAnsi="Arial;sans-serif"/>
          <w:b w:val="false"/>
          <w:color w:val="2D2D2D"/>
          <w:sz w:val="17"/>
        </w:rPr>
        <w:t xml:space="preserve">offer </w:t>
      </w:r>
      <w:r>
        <w:rPr>
          <w:rFonts w:ascii="Arial;sans-serif" w:hAnsi="Arial;sans-serif"/>
          <w:b w:val="false"/>
          <w:color w:val="181818"/>
          <w:sz w:val="17"/>
        </w:rPr>
        <w:t xml:space="preserve">from the </w:t>
      </w:r>
      <w:r>
        <w:rPr>
          <w:rFonts w:ascii="Arial;sans-serif" w:hAnsi="Arial;sans-serif"/>
          <w:b w:val="false"/>
          <w:color w:val="2D2D2D"/>
          <w:sz w:val="17"/>
        </w:rPr>
        <w:t xml:space="preserve">Company or </w:t>
      </w:r>
      <w:r>
        <w:rPr>
          <w:rFonts w:ascii="Arial;sans-serif" w:hAnsi="Arial;sans-serif"/>
          <w:b w:val="false"/>
          <w:color w:val="181818"/>
          <w:sz w:val="17"/>
        </w:rPr>
        <w:t>1</w:t>
      </w:r>
      <w:r>
        <w:rPr>
          <w:rFonts w:ascii="Arial;sans-serif" w:hAnsi="Arial;sans-serif"/>
          <w:b w:val="false"/>
          <w:color w:val="2D2D2D"/>
          <w:sz w:val="18"/>
        </w:rPr>
        <w:t xml:space="preserve">O </w:t>
      </w:r>
      <w:r>
        <w:rPr>
          <w:rFonts w:ascii="Arial;sans-serif" w:hAnsi="Arial;sans-serif"/>
          <w:b w:val="false"/>
          <w:color w:val="2D2D2D"/>
          <w:sz w:val="17"/>
        </w:rPr>
        <w:t xml:space="preserve">business </w:t>
      </w:r>
      <w:r>
        <w:rPr>
          <w:rFonts w:ascii="Arial;sans-serif" w:hAnsi="Arial;sans-serif"/>
          <w:b w:val="false"/>
          <w:color w:val="181818"/>
          <w:sz w:val="17"/>
        </w:rPr>
        <w:t xml:space="preserve">days before the </w:t>
      </w:r>
      <w:r>
        <w:rPr>
          <w:rFonts w:ascii="Arial;sans-serif" w:hAnsi="Arial;sans-serif"/>
          <w:b w:val="false"/>
          <w:color w:val="2D2D2D"/>
          <w:sz w:val="17"/>
        </w:rPr>
        <w:t xml:space="preserve">commencement of </w:t>
      </w:r>
      <w:r>
        <w:rPr>
          <w:rFonts w:ascii="Arial;sans-serif" w:hAnsi="Arial;sans-serif"/>
          <w:b w:val="false"/>
          <w:color w:val="181818"/>
          <w:sz w:val="17"/>
        </w:rPr>
        <w:t xml:space="preserve">my </w:t>
      </w:r>
      <w:r>
        <w:rPr>
          <w:rFonts w:ascii="Arial;sans-serif" w:hAnsi="Arial;sans-serif"/>
          <w:b w:val="false"/>
          <w:color w:val="2D2D2D"/>
          <w:sz w:val="17"/>
        </w:rPr>
        <w:t xml:space="preserve">employment with </w:t>
      </w:r>
      <w:r>
        <w:rPr>
          <w:rFonts w:ascii="Arial;sans-serif" w:hAnsi="Arial;sans-serif"/>
          <w:b w:val="false"/>
          <w:color w:val="181818"/>
          <w:sz w:val="17"/>
        </w:rPr>
        <w:t xml:space="preserve">the </w:t>
      </w:r>
      <w:r>
        <w:rPr>
          <w:rFonts w:ascii="Arial;sans-serif" w:hAnsi="Arial;sans-serif"/>
          <w:b w:val="false"/>
          <w:color w:val="2D2D2D"/>
          <w:sz w:val="17"/>
        </w:rPr>
        <w:t xml:space="preserve">Company, or </w:t>
      </w:r>
      <w:r>
        <w:rPr>
          <w:rFonts w:ascii="Arial;sans-serif" w:hAnsi="Arial;sans-serif"/>
          <w:b w:val="false"/>
          <w:color w:val="181818"/>
          <w:sz w:val="17"/>
        </w:rPr>
        <w:t xml:space="preserve">if I </w:t>
      </w:r>
      <w:r>
        <w:rPr>
          <w:rFonts w:ascii="Arial;sans-serif" w:hAnsi="Arial;sans-serif"/>
          <w:b w:val="false"/>
          <w:color w:val="2D2D2D"/>
          <w:sz w:val="17"/>
        </w:rPr>
        <w:t xml:space="preserve">am employed as of </w:t>
      </w:r>
      <w:r>
        <w:rPr>
          <w:rFonts w:ascii="Arial;sans-serif" w:hAnsi="Arial;sans-serif"/>
          <w:b w:val="false"/>
          <w:color w:val="181818"/>
          <w:sz w:val="17"/>
        </w:rPr>
        <w:t xml:space="preserve">the date this </w:t>
      </w:r>
      <w:r>
        <w:rPr>
          <w:rFonts w:ascii="Arial;sans-serif" w:hAnsi="Arial;sans-serif"/>
          <w:b w:val="false"/>
          <w:color w:val="2D2D2D"/>
          <w:sz w:val="17"/>
        </w:rPr>
        <w:t xml:space="preserve">Agreement </w:t>
      </w:r>
      <w:r>
        <w:rPr>
          <w:rFonts w:ascii="Arial;sans-serif" w:hAnsi="Arial;sans-serif"/>
          <w:b w:val="false"/>
          <w:color w:val="181818"/>
          <w:sz w:val="17"/>
        </w:rPr>
        <w:t xml:space="preserve">is </w:t>
      </w:r>
      <w:r>
        <w:rPr>
          <w:rFonts w:ascii="Arial;sans-serif" w:hAnsi="Arial;sans-serif"/>
          <w:b w:val="false"/>
          <w:color w:val="2D2D2D"/>
          <w:sz w:val="17"/>
        </w:rPr>
        <w:t xml:space="preserve">executed, </w:t>
      </w:r>
      <w:r>
        <w:rPr>
          <w:rFonts w:ascii="Arial;sans-serif" w:hAnsi="Arial;sans-serif"/>
          <w:b w:val="false"/>
          <w:color w:val="181818"/>
          <w:sz w:val="17"/>
        </w:rPr>
        <w:t xml:space="preserve">10 business days </w:t>
      </w:r>
      <w:r>
        <w:rPr>
          <w:rFonts w:ascii="Arial;sans-serif" w:hAnsi="Arial;sans-serif"/>
          <w:b w:val="false"/>
          <w:color w:val="2D2D2D"/>
          <w:sz w:val="17"/>
        </w:rPr>
        <w:t xml:space="preserve">before </w:t>
      </w:r>
      <w:r>
        <w:rPr>
          <w:rFonts w:ascii="Arial;sans-serif" w:hAnsi="Arial;sans-serif"/>
          <w:b w:val="false"/>
          <w:color w:val="181818"/>
          <w:sz w:val="17"/>
        </w:rPr>
        <w:t xml:space="preserve">the </w:t>
      </w:r>
      <w:r>
        <w:rPr>
          <w:rFonts w:ascii="Arial;sans-serif" w:hAnsi="Arial;sans-serif"/>
          <w:b w:val="false"/>
          <w:color w:val="2D2D2D"/>
          <w:sz w:val="17"/>
        </w:rPr>
        <w:t xml:space="preserve">effective date of </w:t>
      </w:r>
      <w:r>
        <w:rPr>
          <w:rFonts w:ascii="Arial;sans-serif" w:hAnsi="Arial;sans-serif"/>
          <w:b w:val="false"/>
          <w:color w:val="181818"/>
          <w:sz w:val="17"/>
        </w:rPr>
        <w:t xml:space="preserve">this </w:t>
      </w:r>
      <w:r>
        <w:rPr>
          <w:rFonts w:ascii="Arial;sans-serif" w:hAnsi="Arial;sans-serif"/>
          <w:b w:val="false"/>
          <w:color w:val="2D2D2D"/>
          <w:sz w:val="17"/>
        </w:rPr>
        <w:t xml:space="preserve">Agreement. </w:t>
      </w:r>
      <w:r>
        <w:rPr>
          <w:rFonts w:ascii="Arial;sans-serif" w:hAnsi="Arial;sans-serif"/>
          <w:b w:val="false"/>
          <w:color w:val="181818"/>
          <w:sz w:val="17"/>
        </w:rPr>
        <w:t xml:space="preserve">I further </w:t>
      </w:r>
      <w:r>
        <w:rPr>
          <w:rFonts w:ascii="Arial;sans-serif" w:hAnsi="Arial;sans-serif"/>
          <w:b w:val="false"/>
          <w:color w:val="2D2D2D"/>
          <w:sz w:val="17"/>
        </w:rPr>
        <w:t xml:space="preserve">acknowledge </w:t>
      </w:r>
      <w:r>
        <w:rPr>
          <w:rFonts w:ascii="Arial;sans-serif" w:hAnsi="Arial;sans-serif"/>
          <w:b w:val="false"/>
          <w:color w:val="181818"/>
          <w:sz w:val="17"/>
        </w:rPr>
        <w:t xml:space="preserve">that I have </w:t>
      </w:r>
      <w:r>
        <w:rPr>
          <w:rFonts w:ascii="Arial;sans-serif" w:hAnsi="Arial;sans-serif"/>
          <w:b w:val="false"/>
          <w:color w:val="2D2D2D"/>
          <w:sz w:val="17"/>
        </w:rPr>
        <w:t xml:space="preserve">the </w:t>
      </w:r>
      <w:r>
        <w:rPr>
          <w:rFonts w:ascii="Arial;sans-serif" w:hAnsi="Arial;sans-serif"/>
          <w:b w:val="false"/>
          <w:color w:val="181818"/>
          <w:sz w:val="17"/>
        </w:rPr>
        <w:t xml:space="preserve">right to </w:t>
      </w:r>
      <w:r>
        <w:rPr>
          <w:rFonts w:ascii="Arial;sans-serif" w:hAnsi="Arial;sans-serif"/>
          <w:b w:val="false"/>
          <w:color w:val="2D2D2D"/>
          <w:sz w:val="17"/>
        </w:rPr>
        <w:t xml:space="preserve">consult counsel </w:t>
      </w:r>
      <w:r>
        <w:rPr>
          <w:rFonts w:ascii="Arial;sans-serif" w:hAnsi="Arial;sans-serif"/>
          <w:b w:val="false"/>
          <w:color w:val="181818"/>
          <w:sz w:val="17"/>
        </w:rPr>
        <w:t xml:space="preserve">prior to </w:t>
      </w:r>
      <w:r>
        <w:rPr>
          <w:rFonts w:ascii="Arial;sans-serif" w:hAnsi="Arial;sans-serif"/>
          <w:b w:val="false"/>
          <w:color w:val="2D2D2D"/>
          <w:sz w:val="17"/>
        </w:rPr>
        <w:t xml:space="preserve">signing </w:t>
      </w:r>
      <w:r>
        <w:rPr>
          <w:rFonts w:ascii="Arial;sans-serif" w:hAnsi="Arial;sans-serif"/>
          <w:b w:val="false"/>
          <w:color w:val="181818"/>
          <w:sz w:val="17"/>
        </w:rPr>
        <w:t xml:space="preserve">this </w:t>
      </w:r>
      <w:r>
        <w:rPr>
          <w:rFonts w:ascii="Arial;sans-serif" w:hAnsi="Arial;sans-serif"/>
          <w:b w:val="false"/>
          <w:color w:val="2D2D2D"/>
          <w:sz w:val="17"/>
        </w:rPr>
        <w:t>agreement.</w:t>
      </w:r>
    </w:p>
    <w:p>
      <w:pPr>
        <w:pStyle w:val="TextBody"/>
        <w:spacing w:before="0" w:after="0"/>
        <w:rPr/>
      </w:pPr>
      <w:r>
        <w:rPr/>
      </w:r>
    </w:p>
    <w:p>
      <w:pPr>
        <w:pStyle w:val="TextBody"/>
        <w:spacing w:before="0" w:after="0"/>
        <w:rPr/>
      </w:pPr>
      <w:r>
        <w:rPr/>
      </w:r>
    </w:p>
    <w:p>
      <w:pPr>
        <w:pStyle w:val="TextBody"/>
        <w:spacing w:lineRule="auto" w:line="285" w:before="0" w:after="0"/>
        <w:ind w:left="0" w:right="0" w:hanging="5"/>
        <w:rPr/>
      </w:pPr>
      <w:r>
        <w:rPr>
          <w:rFonts w:ascii="Arial;sans-serif" w:hAnsi="Arial;sans-serif"/>
          <w:b w:val="false"/>
          <w:color w:val="181818"/>
          <w:sz w:val="17"/>
        </w:rPr>
        <w:t xml:space="preserve">I have read this </w:t>
      </w:r>
      <w:r>
        <w:rPr>
          <w:rFonts w:ascii="Arial;sans-serif" w:hAnsi="Arial;sans-serif"/>
          <w:b w:val="false"/>
          <w:color w:val="2D2D2D"/>
          <w:sz w:val="17"/>
        </w:rPr>
        <w:t xml:space="preserve">Agreement and </w:t>
      </w:r>
      <w:r>
        <w:rPr>
          <w:rFonts w:ascii="Arial;sans-serif" w:hAnsi="Arial;sans-serif"/>
          <w:b w:val="false"/>
          <w:color w:val="181818"/>
          <w:sz w:val="17"/>
        </w:rPr>
        <w:t xml:space="preserve">I understand it. I </w:t>
      </w:r>
      <w:r>
        <w:rPr>
          <w:rFonts w:ascii="Arial;sans-serif" w:hAnsi="Arial;sans-serif"/>
          <w:b w:val="false"/>
          <w:color w:val="2D2D2D"/>
          <w:sz w:val="17"/>
        </w:rPr>
        <w:t xml:space="preserve">am signing this Agreement voluntarily. My signature </w:t>
      </w:r>
      <w:r>
        <w:rPr>
          <w:rFonts w:ascii="Arial;sans-serif" w:hAnsi="Arial;sans-serif"/>
          <w:b w:val="false"/>
          <w:color w:val="181818"/>
          <w:sz w:val="17"/>
        </w:rPr>
        <w:t xml:space="preserve">below represents my understanding </w:t>
      </w:r>
      <w:r>
        <w:rPr>
          <w:rFonts w:ascii="Arial;sans-serif" w:hAnsi="Arial;sans-serif"/>
          <w:b w:val="false"/>
          <w:color w:val="2D2D2D"/>
          <w:sz w:val="17"/>
        </w:rPr>
        <w:t xml:space="preserve">of, and agreement to, </w:t>
      </w:r>
      <w:r>
        <w:rPr>
          <w:rFonts w:ascii="Arial;sans-serif" w:hAnsi="Arial;sans-serif"/>
          <w:b w:val="false"/>
          <w:color w:val="181818"/>
          <w:sz w:val="17"/>
        </w:rPr>
        <w:t xml:space="preserve">the </w:t>
      </w:r>
      <w:r>
        <w:rPr>
          <w:rFonts w:ascii="Arial;sans-serif" w:hAnsi="Arial;sans-serif"/>
          <w:b w:val="false"/>
          <w:color w:val="2D2D2D"/>
          <w:sz w:val="17"/>
        </w:rPr>
        <w:t xml:space="preserve">above </w:t>
      </w:r>
      <w:r>
        <w:rPr>
          <w:rFonts w:ascii="Arial;sans-serif" w:hAnsi="Arial;sans-serif"/>
          <w:b w:val="false"/>
          <w:color w:val="181818"/>
          <w:sz w:val="17"/>
        </w:rPr>
        <w:t>terms.</w:t>
      </w:r>
    </w:p>
    <w:p>
      <w:pPr>
        <w:pStyle w:val="TextBody"/>
        <w:spacing w:lineRule="auto" w:line="568" w:before="0" w:after="0"/>
        <w:rPr/>
      </w:pPr>
      <w:r>
        <w:rPr>
          <w:rFonts w:ascii="Arial;sans-serif" w:hAnsi="Arial;sans-serif"/>
          <w:b w:val="false"/>
          <w:color w:val="181818"/>
          <w:sz w:val="17"/>
        </w:rPr>
        <w:t xml:space="preserve">PRINT NAME: </w:t>
      </w:r>
      <w:r>
        <w:rPr>
          <w:rFonts w:ascii="Arial;sans-serif" w:hAnsi="Arial;sans-serif"/>
          <w:b w:val="false"/>
          <w:color w:val="2D2D2D"/>
          <w:sz w:val="18"/>
        </w:rPr>
        <w:t>Nicole Murphy</w:t>
      </w:r>
    </w:p>
    <w:p>
      <w:pPr>
        <w:pStyle w:val="TextBody"/>
        <w:spacing w:lineRule="auto" w:line="688" w:before="0" w:after="0"/>
        <w:rPr/>
      </w:pPr>
      <w:r>
        <w:rPr>
          <w:rFonts w:ascii="Arial;sans-serif" w:hAnsi="Arial;sans-serif"/>
          <w:b w:val="false"/>
          <w:color w:val="2D2D2D"/>
          <w:sz w:val="17"/>
        </w:rPr>
        <w:t>SIGNATURE</w:t>
      </w:r>
      <w:r>
        <w:rPr>
          <w:rFonts w:ascii="Arial;sans-serif" w:hAnsi="Arial;sans-serif"/>
          <w:b w:val="false"/>
          <w:color w:val="2D2D2D"/>
          <w:sz w:val="18"/>
          <w:u w:val="single"/>
        </w:rPr>
        <w:t>:                     </w:t>
      </w:r>
    </w:p>
    <w:p>
      <w:pPr>
        <w:pStyle w:val="TextBody"/>
        <w:spacing w:lineRule="auto" w:line="240" w:before="1" w:after="283"/>
        <w:rPr/>
      </w:pPr>
      <w:r>
        <w:rPr>
          <w:rFonts w:ascii="Arial;sans-serif" w:hAnsi="Arial;sans-serif"/>
          <w:b w:val="false"/>
          <w:color w:val="181818"/>
          <w:sz w:val="17"/>
        </w:rPr>
        <w:t>DATED:     </w:t>
      </w:r>
      <w:r>
        <w:rPr>
          <w:color w:val="181818"/>
          <w:u w:val="single"/>
        </w:rPr>
        <w:t>                    </w:t>
      </w:r>
    </w:p>
    <w:p>
      <w:pPr>
        <w:pStyle w:val="TextBody"/>
        <w:spacing w:before="6" w:after="283"/>
        <w:rPr/>
      </w:pPr>
      <w:r>
        <w:rPr/>
      </w:r>
    </w:p>
    <w:p>
      <w:pPr>
        <w:pStyle w:val="TextBody"/>
        <w:spacing w:lineRule="auto" w:line="240" w:before="0" w:after="0"/>
        <w:rPr/>
      </w:pPr>
      <w:r>
        <w:rPr>
          <w:rFonts w:ascii="Arial;sans-serif" w:hAnsi="Arial;sans-serif"/>
          <w:b w:val="false"/>
          <w:color w:val="181818"/>
          <w:sz w:val="17"/>
        </w:rPr>
        <w:t xml:space="preserve">ACCEPTED </w:t>
      </w:r>
      <w:r>
        <w:rPr>
          <w:rFonts w:ascii="Arial;sans-serif" w:hAnsi="Arial;sans-serif"/>
          <w:b w:val="false"/>
          <w:color w:val="2D2D2D"/>
          <w:sz w:val="17"/>
        </w:rPr>
        <w:t xml:space="preserve">AND AGREED </w:t>
      </w:r>
      <w:r>
        <w:rPr>
          <w:rFonts w:ascii="Arial;sans-serif" w:hAnsi="Arial;sans-serif"/>
          <w:b w:val="false"/>
          <w:color w:val="181818"/>
          <w:sz w:val="17"/>
        </w:rPr>
        <w:t>TO</w:t>
      </w:r>
      <w:r>
        <w:rPr>
          <w:rFonts w:ascii="Arial;sans-serif" w:hAnsi="Arial;sans-serif"/>
          <w:b w:val="false"/>
          <w:color w:val="444444"/>
          <w:sz w:val="17"/>
        </w:rPr>
        <w:t>:</w:t>
      </w:r>
    </w:p>
    <w:p>
      <w:pPr>
        <w:pStyle w:val="TextBody"/>
        <w:spacing w:lineRule="auto" w:line="672" w:before="8" w:after="283"/>
        <w:ind w:left="0" w:right="0" w:hanging="3"/>
        <w:rPr/>
      </w:pPr>
      <w:r>
        <w:rPr>
          <w:rFonts w:ascii="Arial;sans-serif" w:hAnsi="Arial;sans-serif"/>
          <w:b w:val="false"/>
          <w:color w:val="2D2D2D"/>
          <w:sz w:val="17"/>
        </w:rPr>
        <w:t xml:space="preserve">On behalf of </w:t>
      </w:r>
      <w:r>
        <w:rPr>
          <w:rFonts w:ascii="Arial;sans-serif" w:hAnsi="Arial;sans-serif"/>
          <w:b w:val="false"/>
          <w:color w:val="181818"/>
          <w:sz w:val="17"/>
        </w:rPr>
        <w:t xml:space="preserve">BIOGEN INC., its </w:t>
      </w:r>
      <w:r>
        <w:rPr>
          <w:rFonts w:ascii="Arial;sans-serif" w:hAnsi="Arial;sans-serif"/>
          <w:b w:val="false"/>
          <w:color w:val="2D2D2D"/>
          <w:sz w:val="17"/>
        </w:rPr>
        <w:t xml:space="preserve">subsidiaries, and </w:t>
      </w:r>
      <w:r>
        <w:rPr>
          <w:rFonts w:ascii="Arial;sans-serif" w:hAnsi="Arial;sans-serif"/>
          <w:b w:val="false"/>
          <w:color w:val="181818"/>
          <w:sz w:val="17"/>
        </w:rPr>
        <w:t xml:space="preserve">other </w:t>
      </w:r>
      <w:r>
        <w:rPr>
          <w:rFonts w:ascii="Arial;sans-serif" w:hAnsi="Arial;sans-serif"/>
          <w:b w:val="false"/>
          <w:color w:val="2D2D2D"/>
          <w:sz w:val="17"/>
        </w:rPr>
        <w:t>corporate affiliates BY: Ginger Gregory</w:t>
      </w:r>
    </w:p>
    <w:p>
      <w:pPr>
        <w:pStyle w:val="TextBody"/>
        <w:spacing w:lineRule="auto" w:line="616" w:before="16" w:after="283"/>
        <w:ind w:left="0" w:right="0" w:hanging="102"/>
        <w:rPr/>
      </w:pPr>
      <w:r>
        <w:rPr>
          <w:rFonts w:ascii="Arial;sans-serif" w:hAnsi="Arial;sans-serif"/>
          <w:b w:val="false"/>
          <w:color w:val="2D2D2D"/>
          <w:sz w:val="17"/>
        </w:rPr>
        <w:t xml:space="preserve">Chief </w:t>
      </w:r>
      <w:r>
        <w:rPr>
          <w:rFonts w:ascii="Arial;sans-serif" w:hAnsi="Arial;sans-serif"/>
          <w:b w:val="false"/>
          <w:color w:val="181818"/>
          <w:sz w:val="17"/>
        </w:rPr>
        <w:t xml:space="preserve">Human </w:t>
      </w:r>
      <w:r>
        <w:rPr>
          <w:rFonts w:ascii="Arial;sans-serif" w:hAnsi="Arial;sans-serif"/>
          <w:b w:val="false"/>
          <w:color w:val="2D2D2D"/>
          <w:sz w:val="17"/>
        </w:rPr>
        <w:t>Resources Officer SIGNATURE: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8" w:after="283"/>
        <w:rPr/>
      </w:pPr>
      <w:r>
        <w:rPr/>
      </w:r>
    </w:p>
    <w:p>
      <w:pPr>
        <w:pStyle w:val="TextBody"/>
        <w:spacing w:lineRule="auto" w:line="240" w:before="94" w:after="283"/>
        <w:jc w:val="center"/>
        <w:rPr/>
      </w:pPr>
      <w:r>
        <w:rPr>
          <w:rFonts w:ascii="Arial;sans-serif" w:hAnsi="Arial;sans-serif"/>
          <w:b w:val="false"/>
          <w:color w:val="161616"/>
          <w:sz w:val="18"/>
          <w:u w:val="single"/>
        </w:rPr>
        <w:t xml:space="preserve">Exhibit </w:t>
      </w:r>
      <w:r>
        <w:rPr>
          <w:rFonts w:ascii="Arial;sans-serif" w:hAnsi="Arial;sans-serif"/>
          <w:b w:val="false"/>
          <w:color w:val="282828"/>
          <w:sz w:val="18"/>
          <w:u w:val="single"/>
        </w:rPr>
        <w:t>A</w:t>
      </w:r>
    </w:p>
    <w:p>
      <w:pPr>
        <w:pStyle w:val="TextBody"/>
        <w:spacing w:before="0" w:after="0"/>
        <w:rPr/>
      </w:pPr>
      <w:r>
        <w:rPr/>
      </w:r>
    </w:p>
    <w:p>
      <w:pPr>
        <w:pStyle w:val="TextBody"/>
        <w:spacing w:before="4" w:after="283"/>
        <w:rPr/>
      </w:pPr>
      <w:r>
        <w:rPr/>
      </w:r>
    </w:p>
    <w:p>
      <w:pPr>
        <w:pStyle w:val="TextBody"/>
        <w:spacing w:lineRule="auto" w:line="240" w:before="1" w:after="283"/>
        <w:jc w:val="both"/>
        <w:rPr/>
      </w:pPr>
      <w:r>
        <w:rPr>
          <w:rFonts w:ascii="Arial;sans-serif" w:hAnsi="Arial;sans-serif"/>
          <w:b w:val="false"/>
          <w:color w:val="282828"/>
          <w:sz w:val="18"/>
        </w:rPr>
        <w:t xml:space="preserve">The following </w:t>
      </w:r>
      <w:r>
        <w:rPr>
          <w:rFonts w:ascii="Arial;sans-serif" w:hAnsi="Arial;sans-serif"/>
          <w:b w:val="false"/>
          <w:color w:val="161616"/>
          <w:sz w:val="18"/>
        </w:rPr>
        <w:t xml:space="preserve">is </w:t>
      </w:r>
      <w:r>
        <w:rPr>
          <w:rFonts w:ascii="Arial;sans-serif" w:hAnsi="Arial;sans-serif"/>
          <w:b w:val="false"/>
          <w:color w:val="282828"/>
          <w:sz w:val="18"/>
        </w:rPr>
        <w:t xml:space="preserve">a complete </w:t>
      </w:r>
      <w:r>
        <w:rPr>
          <w:rFonts w:ascii="Arial;sans-serif" w:hAnsi="Arial;sans-serif"/>
          <w:b w:val="false"/>
          <w:color w:val="161616"/>
          <w:sz w:val="18"/>
        </w:rPr>
        <w:t xml:space="preserve">list </w:t>
      </w:r>
      <w:r>
        <w:rPr>
          <w:rFonts w:ascii="Arial;sans-serif" w:hAnsi="Arial;sans-serif"/>
          <w:b w:val="false"/>
          <w:color w:val="282828"/>
          <w:sz w:val="18"/>
        </w:rPr>
        <w:t xml:space="preserve">of </w:t>
      </w:r>
      <w:r>
        <w:rPr>
          <w:rFonts w:ascii="Arial;sans-serif" w:hAnsi="Arial;sans-serif"/>
          <w:b w:val="false"/>
          <w:color w:val="161616"/>
          <w:sz w:val="18"/>
        </w:rPr>
        <w:t>intellectual property that I have</w:t>
      </w:r>
      <w:r>
        <w:rPr>
          <w:rFonts w:ascii="Arial;sans-serif" w:hAnsi="Arial;sans-serif"/>
          <w:b w:val="false"/>
          <w:color w:val="4B4B4B"/>
          <w:sz w:val="18"/>
        </w:rPr>
        <w:t xml:space="preserve">, </w:t>
      </w:r>
      <w:r>
        <w:rPr>
          <w:rFonts w:ascii="Arial;sans-serif" w:hAnsi="Arial;sans-serif"/>
          <w:b w:val="false"/>
          <w:color w:val="282828"/>
          <w:sz w:val="18"/>
        </w:rPr>
        <w:t xml:space="preserve">alone or </w:t>
      </w:r>
      <w:r>
        <w:rPr>
          <w:rFonts w:ascii="Arial;sans-serif" w:hAnsi="Arial;sans-serif"/>
          <w:b w:val="false"/>
          <w:color w:val="161616"/>
          <w:sz w:val="18"/>
        </w:rPr>
        <w:t xml:space="preserve">jointly </w:t>
      </w:r>
      <w:r>
        <w:rPr>
          <w:rFonts w:ascii="Arial;sans-serif" w:hAnsi="Arial;sans-serif"/>
          <w:b w:val="false"/>
          <w:color w:val="282828"/>
          <w:sz w:val="18"/>
        </w:rPr>
        <w:t xml:space="preserve">with others, authored, </w:t>
      </w:r>
      <w:r>
        <w:rPr>
          <w:rFonts w:ascii="Arial;sans-serif" w:hAnsi="Arial;sans-serif"/>
          <w:b w:val="false"/>
          <w:color w:val="161616"/>
          <w:sz w:val="18"/>
        </w:rPr>
        <w:t xml:space="preserve">made, </w:t>
      </w:r>
      <w:r>
        <w:rPr>
          <w:rFonts w:ascii="Arial;sans-serif" w:hAnsi="Arial;sans-serif"/>
          <w:b w:val="false"/>
          <w:color w:val="282828"/>
          <w:sz w:val="18"/>
        </w:rPr>
        <w:t xml:space="preserve">developed, conceived and/or reduced </w:t>
      </w:r>
      <w:r>
        <w:rPr>
          <w:rFonts w:ascii="Arial;sans-serif" w:hAnsi="Arial;sans-serif"/>
          <w:b w:val="false"/>
          <w:color w:val="161616"/>
          <w:sz w:val="18"/>
        </w:rPr>
        <w:t xml:space="preserve">to </w:t>
      </w:r>
      <w:r>
        <w:rPr>
          <w:rFonts w:ascii="Arial;sans-serif" w:hAnsi="Arial;sans-serif"/>
          <w:b w:val="false"/>
          <w:color w:val="282828"/>
          <w:sz w:val="18"/>
        </w:rPr>
        <w:t xml:space="preserve">practice prior </w:t>
      </w:r>
      <w:r>
        <w:rPr>
          <w:rFonts w:ascii="Arial;sans-serif" w:hAnsi="Arial;sans-serif"/>
          <w:b w:val="false"/>
          <w:color w:val="161616"/>
          <w:sz w:val="18"/>
        </w:rPr>
        <w:t xml:space="preserve">to my </w:t>
      </w:r>
      <w:r>
        <w:rPr>
          <w:rFonts w:ascii="Arial;sans-serif" w:hAnsi="Arial;sans-serif"/>
          <w:b w:val="false"/>
          <w:color w:val="282828"/>
          <w:sz w:val="18"/>
        </w:rPr>
        <w:t xml:space="preserve">employment with </w:t>
      </w:r>
      <w:r>
        <w:rPr>
          <w:rFonts w:ascii="Arial;sans-serif" w:hAnsi="Arial;sans-serif"/>
          <w:b w:val="false"/>
          <w:color w:val="161616"/>
          <w:sz w:val="18"/>
        </w:rPr>
        <w:t xml:space="preserve">the </w:t>
      </w:r>
      <w:r>
        <w:rPr>
          <w:rFonts w:ascii="Arial;sans-serif" w:hAnsi="Arial;sans-serif"/>
          <w:b w:val="false"/>
          <w:color w:val="383838"/>
          <w:sz w:val="18"/>
        </w:rPr>
        <w:t xml:space="preserve">Company </w:t>
      </w:r>
      <w:r>
        <w:rPr>
          <w:rFonts w:ascii="Arial;sans-serif" w:hAnsi="Arial;sans-serif"/>
          <w:b w:val="false"/>
          <w:color w:val="161616"/>
          <w:sz w:val="18"/>
        </w:rPr>
        <w:t xml:space="preserve">that I </w:t>
      </w:r>
      <w:r>
        <w:rPr>
          <w:rFonts w:ascii="Arial;sans-serif" w:hAnsi="Arial;sans-serif"/>
          <w:b w:val="false"/>
          <w:color w:val="383838"/>
          <w:sz w:val="18"/>
        </w:rPr>
        <w:t xml:space="preserve">consider </w:t>
      </w:r>
      <w:r>
        <w:rPr>
          <w:rFonts w:ascii="Arial;sans-serif" w:hAnsi="Arial;sans-serif"/>
          <w:b w:val="false"/>
          <w:color w:val="161616"/>
          <w:sz w:val="18"/>
        </w:rPr>
        <w:t xml:space="preserve">to </w:t>
      </w:r>
      <w:r>
        <w:rPr>
          <w:rFonts w:ascii="Arial;sans-serif" w:hAnsi="Arial;sans-serif"/>
          <w:b w:val="false"/>
          <w:color w:val="282828"/>
          <w:sz w:val="18"/>
        </w:rPr>
        <w:t xml:space="preserve">be my property or </w:t>
      </w:r>
      <w:r>
        <w:rPr>
          <w:rFonts w:ascii="Arial;sans-serif" w:hAnsi="Arial;sans-serif"/>
          <w:b w:val="false"/>
          <w:color w:val="161616"/>
          <w:sz w:val="18"/>
        </w:rPr>
        <w:t xml:space="preserve">the property </w:t>
      </w:r>
      <w:r>
        <w:rPr>
          <w:rFonts w:ascii="Arial;sans-serif" w:hAnsi="Arial;sans-serif"/>
          <w:b w:val="false"/>
          <w:color w:val="282828"/>
          <w:sz w:val="18"/>
        </w:rPr>
        <w:t xml:space="preserve">of </w:t>
      </w:r>
      <w:r>
        <w:rPr>
          <w:rFonts w:ascii="Arial;sans-serif" w:hAnsi="Arial;sans-serif"/>
          <w:b w:val="false"/>
          <w:color w:val="161616"/>
          <w:sz w:val="18"/>
        </w:rPr>
        <w:t xml:space="preserve">third </w:t>
      </w:r>
      <w:r>
        <w:rPr>
          <w:rFonts w:ascii="Arial;sans-serif" w:hAnsi="Arial;sans-serif"/>
          <w:b w:val="false"/>
          <w:color w:val="282828"/>
          <w:sz w:val="18"/>
        </w:rPr>
        <w:t xml:space="preserve">parties and </w:t>
      </w:r>
      <w:r>
        <w:rPr>
          <w:rFonts w:ascii="Arial;sans-serif" w:hAnsi="Arial;sans-serif"/>
          <w:b w:val="false"/>
          <w:color w:val="161616"/>
          <w:sz w:val="18"/>
        </w:rPr>
        <w:t xml:space="preserve">that </w:t>
      </w:r>
      <w:r>
        <w:rPr>
          <w:rFonts w:ascii="Arial;sans-serif" w:hAnsi="Arial;sans-serif"/>
          <w:b w:val="false"/>
          <w:color w:val="383838"/>
          <w:sz w:val="18"/>
        </w:rPr>
        <w:t xml:space="preserve">I </w:t>
      </w:r>
      <w:r>
        <w:rPr>
          <w:rFonts w:ascii="Arial;sans-serif" w:hAnsi="Arial;sans-serif"/>
          <w:b w:val="false"/>
          <w:color w:val="282828"/>
          <w:sz w:val="18"/>
        </w:rPr>
        <w:t xml:space="preserve">wish </w:t>
      </w:r>
      <w:r>
        <w:rPr>
          <w:rFonts w:ascii="Arial;sans-serif" w:hAnsi="Arial;sans-serif"/>
          <w:b w:val="false"/>
          <w:color w:val="161616"/>
          <w:sz w:val="18"/>
        </w:rPr>
        <w:t xml:space="preserve">to have </w:t>
      </w:r>
      <w:r>
        <w:rPr>
          <w:rFonts w:ascii="Arial;sans-serif" w:hAnsi="Arial;sans-serif"/>
          <w:b w:val="false"/>
          <w:color w:val="282828"/>
          <w:sz w:val="18"/>
        </w:rPr>
        <w:t xml:space="preserve">excluded </w:t>
      </w:r>
      <w:r>
        <w:rPr>
          <w:rFonts w:ascii="Arial;sans-serif" w:hAnsi="Arial;sans-serif"/>
          <w:b w:val="false"/>
          <w:color w:val="161616"/>
          <w:sz w:val="18"/>
        </w:rPr>
        <w:t xml:space="preserve">from </w:t>
      </w:r>
      <w:r>
        <w:rPr>
          <w:rFonts w:ascii="Arial;sans-serif" w:hAnsi="Arial;sans-serif"/>
          <w:b w:val="false"/>
          <w:color w:val="282828"/>
          <w:sz w:val="18"/>
        </w:rPr>
        <w:t xml:space="preserve">the </w:t>
      </w:r>
      <w:r>
        <w:rPr>
          <w:rFonts w:ascii="Arial;sans-serif" w:hAnsi="Arial;sans-serif"/>
          <w:b w:val="false"/>
          <w:color w:val="383838"/>
          <w:sz w:val="18"/>
        </w:rPr>
        <w:t xml:space="preserve">scope of </w:t>
      </w:r>
      <w:r>
        <w:rPr>
          <w:rFonts w:ascii="Arial;sans-serif" w:hAnsi="Arial;sans-serif"/>
          <w:b w:val="false"/>
          <w:color w:val="161616"/>
          <w:sz w:val="18"/>
        </w:rPr>
        <w:t xml:space="preserve">the </w:t>
      </w:r>
      <w:r>
        <w:rPr>
          <w:rFonts w:ascii="Arial;sans-serif" w:hAnsi="Arial;sans-serif"/>
          <w:b w:val="false"/>
          <w:color w:val="282828"/>
          <w:sz w:val="18"/>
        </w:rPr>
        <w:t xml:space="preserve">Company's </w:t>
      </w:r>
      <w:r>
        <w:rPr>
          <w:rFonts w:ascii="Arial;sans-serif" w:hAnsi="Arial;sans-serif"/>
          <w:b w:val="false"/>
          <w:color w:val="383838"/>
          <w:sz w:val="18"/>
        </w:rPr>
        <w:t xml:space="preserve">"Employee </w:t>
      </w:r>
      <w:r>
        <w:rPr>
          <w:rFonts w:ascii="Arial;sans-serif" w:hAnsi="Arial;sans-serif"/>
          <w:b w:val="false"/>
          <w:color w:val="282828"/>
          <w:sz w:val="18"/>
        </w:rPr>
        <w:t xml:space="preserve">Proprietary </w:t>
      </w:r>
      <w:r>
        <w:rPr>
          <w:rFonts w:ascii="Arial;sans-serif" w:hAnsi="Arial;sans-serif"/>
          <w:b w:val="false"/>
          <w:color w:val="161616"/>
          <w:sz w:val="18"/>
        </w:rPr>
        <w:t xml:space="preserve">Information </w:t>
      </w:r>
      <w:r>
        <w:rPr>
          <w:rFonts w:ascii="Arial;sans-serif" w:hAnsi="Arial;sans-serif"/>
          <w:b w:val="false"/>
          <w:color w:val="282828"/>
          <w:sz w:val="18"/>
        </w:rPr>
        <w:t xml:space="preserve">and </w:t>
      </w:r>
      <w:r>
        <w:rPr>
          <w:rFonts w:ascii="Arial;sans-serif" w:hAnsi="Arial;sans-serif"/>
          <w:b w:val="false"/>
          <w:color w:val="161616"/>
          <w:sz w:val="18"/>
        </w:rPr>
        <w:t xml:space="preserve">Inventions </w:t>
      </w:r>
      <w:r>
        <w:rPr>
          <w:rFonts w:ascii="Arial;sans-serif" w:hAnsi="Arial;sans-serif"/>
          <w:b w:val="false"/>
          <w:color w:val="282828"/>
          <w:sz w:val="18"/>
        </w:rPr>
        <w:t xml:space="preserve">Agreement". </w:t>
      </w:r>
      <w:r>
        <w:rPr>
          <w:rFonts w:ascii="Arial;sans-serif" w:hAnsi="Arial;sans-serif"/>
          <w:b w:val="false"/>
          <w:color w:val="161616"/>
          <w:sz w:val="18"/>
        </w:rPr>
        <w:t xml:space="preserve">I </w:t>
      </w:r>
      <w:r>
        <w:rPr>
          <w:rFonts w:ascii="Arial;sans-serif" w:hAnsi="Arial;sans-serif"/>
          <w:b w:val="false"/>
          <w:color w:val="383838"/>
          <w:sz w:val="18"/>
        </w:rPr>
        <w:t xml:space="preserve">acknowledge </w:t>
      </w:r>
      <w:r>
        <w:rPr>
          <w:rFonts w:ascii="Arial;sans-serif" w:hAnsi="Arial;sans-serif"/>
          <w:b w:val="false"/>
          <w:color w:val="282828"/>
          <w:sz w:val="18"/>
        </w:rPr>
        <w:t xml:space="preserve">and </w:t>
      </w:r>
      <w:r>
        <w:rPr>
          <w:rFonts w:ascii="Arial;sans-serif" w:hAnsi="Arial;sans-serif"/>
          <w:b w:val="false"/>
          <w:color w:val="383838"/>
          <w:sz w:val="18"/>
        </w:rPr>
        <w:t xml:space="preserve">agree </w:t>
      </w:r>
      <w:r>
        <w:rPr>
          <w:rFonts w:ascii="Arial;sans-serif" w:hAnsi="Arial;sans-serif"/>
          <w:b w:val="false"/>
          <w:color w:val="161616"/>
          <w:sz w:val="18"/>
        </w:rPr>
        <w:t xml:space="preserve">that Exhibit </w:t>
      </w:r>
      <w:r>
        <w:rPr>
          <w:rFonts w:ascii="Arial;sans-serif" w:hAnsi="Arial;sans-serif"/>
          <w:b w:val="false"/>
          <w:color w:val="282828"/>
          <w:sz w:val="18"/>
        </w:rPr>
        <w:t xml:space="preserve">A must be accepted </w:t>
      </w:r>
      <w:r>
        <w:rPr>
          <w:rFonts w:ascii="Arial;sans-serif" w:hAnsi="Arial;sans-serif"/>
          <w:b w:val="false"/>
          <w:color w:val="161616"/>
          <w:sz w:val="18"/>
        </w:rPr>
        <w:t xml:space="preserve">in </w:t>
      </w:r>
      <w:r>
        <w:rPr>
          <w:rFonts w:ascii="Arial;sans-serif" w:hAnsi="Arial;sans-serif"/>
          <w:b w:val="false"/>
          <w:color w:val="282828"/>
          <w:sz w:val="18"/>
        </w:rPr>
        <w:t xml:space="preserve">writing by </w:t>
      </w:r>
      <w:r>
        <w:rPr>
          <w:rFonts w:ascii="Arial;sans-serif" w:hAnsi="Arial;sans-serif"/>
          <w:b w:val="false"/>
          <w:color w:val="161616"/>
          <w:sz w:val="18"/>
        </w:rPr>
        <w:t xml:space="preserve">the </w:t>
      </w:r>
      <w:r>
        <w:rPr>
          <w:rFonts w:ascii="Arial;sans-serif" w:hAnsi="Arial;sans-serif"/>
          <w:b w:val="false"/>
          <w:color w:val="383838"/>
          <w:sz w:val="18"/>
        </w:rPr>
        <w:t xml:space="preserve">Company </w:t>
      </w:r>
      <w:r>
        <w:rPr>
          <w:rFonts w:ascii="Arial;sans-serif" w:hAnsi="Arial;sans-serif"/>
          <w:b w:val="false"/>
          <w:color w:val="282828"/>
          <w:sz w:val="18"/>
        </w:rPr>
        <w:t xml:space="preserve">for </w:t>
      </w:r>
      <w:r>
        <w:rPr>
          <w:rFonts w:ascii="Arial;sans-serif" w:hAnsi="Arial;sans-serif"/>
          <w:b w:val="false"/>
          <w:color w:val="161616"/>
          <w:sz w:val="18"/>
        </w:rPr>
        <w:t xml:space="preserve">the </w:t>
      </w:r>
      <w:r>
        <w:rPr>
          <w:rFonts w:ascii="Arial;sans-serif" w:hAnsi="Arial;sans-serif"/>
          <w:b w:val="false"/>
          <w:color w:val="282828"/>
          <w:sz w:val="18"/>
        </w:rPr>
        <w:t xml:space="preserve">Prior Inventions </w:t>
      </w:r>
      <w:r>
        <w:rPr>
          <w:rFonts w:ascii="Arial;sans-serif" w:hAnsi="Arial;sans-serif"/>
          <w:b w:val="false"/>
          <w:color w:val="161616"/>
          <w:sz w:val="18"/>
        </w:rPr>
        <w:t xml:space="preserve">to </w:t>
      </w:r>
      <w:r>
        <w:rPr>
          <w:rFonts w:ascii="Arial;sans-serif" w:hAnsi="Arial;sans-serif"/>
          <w:b w:val="false"/>
          <w:color w:val="282828"/>
          <w:sz w:val="18"/>
        </w:rPr>
        <w:t xml:space="preserve">be </w:t>
      </w:r>
      <w:r>
        <w:rPr>
          <w:rFonts w:ascii="Arial;sans-serif" w:hAnsi="Arial;sans-serif"/>
          <w:b w:val="false"/>
          <w:color w:val="383838"/>
          <w:sz w:val="18"/>
        </w:rPr>
        <w:t xml:space="preserve">so </w:t>
      </w:r>
      <w:r>
        <w:rPr>
          <w:rFonts w:ascii="Arial;sans-serif" w:hAnsi="Arial;sans-serif"/>
          <w:b w:val="false"/>
          <w:color w:val="282828"/>
          <w:sz w:val="18"/>
        </w:rPr>
        <w:t>excluded.</w:t>
      </w:r>
    </w:p>
    <w:p>
      <w:pPr>
        <w:pStyle w:val="TextBody"/>
        <w:spacing w:before="0" w:after="0"/>
        <w:rPr/>
      </w:pPr>
      <w:r>
        <w:rPr/>
      </w:r>
    </w:p>
    <w:p>
      <w:pPr>
        <w:pStyle w:val="TextBody"/>
        <w:spacing w:before="7" w:after="283"/>
        <w:rPr/>
      </w:pPr>
      <w:r>
        <w:rPr/>
      </w:r>
    </w:p>
    <w:p>
      <w:pPr>
        <w:pStyle w:val="TextBody"/>
        <w:spacing w:lineRule="auto" w:line="300" w:before="0" w:after="0"/>
        <w:rPr/>
      </w:pPr>
      <w:r>
        <w:rPr>
          <w:rFonts w:ascii="Arial;sans-serif" w:hAnsi="Arial;sans-serif"/>
          <w:b w:val="false"/>
          <w:color w:val="161616"/>
          <w:sz w:val="18"/>
        </w:rPr>
        <w:t xml:space="preserve">List </w:t>
      </w:r>
      <w:r>
        <w:rPr>
          <w:rFonts w:ascii="Arial;sans-serif" w:hAnsi="Arial;sans-serif"/>
          <w:b w:val="false"/>
          <w:color w:val="282828"/>
          <w:sz w:val="18"/>
        </w:rPr>
        <w:t xml:space="preserve">of </w:t>
      </w:r>
      <w:r>
        <w:rPr>
          <w:rFonts w:ascii="Arial;sans-serif" w:hAnsi="Arial;sans-serif"/>
          <w:b w:val="false"/>
          <w:color w:val="161616"/>
          <w:sz w:val="18"/>
        </w:rPr>
        <w:t xml:space="preserve">Prior Inventions: If no </w:t>
      </w:r>
      <w:r>
        <w:rPr>
          <w:rFonts w:ascii="Arial;sans-serif" w:hAnsi="Arial;sans-serif"/>
          <w:b w:val="false"/>
          <w:color w:val="282828"/>
          <w:sz w:val="18"/>
        </w:rPr>
        <w:t xml:space="preserve">inventions to declared please enter </w:t>
      </w:r>
      <w:r>
        <w:rPr>
          <w:rFonts w:ascii="Arial;sans-serif" w:hAnsi="Arial;sans-serif"/>
          <w:b w:val="false"/>
          <w:color w:val="161616"/>
          <w:sz w:val="18"/>
        </w:rPr>
        <w:t>"no inventions".</w:t>
      </w:r>
    </w:p>
    <w:p>
      <w:pPr>
        <w:pStyle w:val="TextBody"/>
        <w:spacing w:before="0" w:after="0"/>
        <w:rPr/>
      </w:pPr>
      <w:r>
        <w:rPr/>
      </w:r>
    </w:p>
    <w:p>
      <w:pPr>
        <w:pStyle w:val="TextBody"/>
        <w:spacing w:lineRule="auto" w:line="300" w:before="0" w:after="0"/>
        <w:rPr>
          <w:rFonts w:ascii="Arial;sans-serif" w:hAnsi="Arial;sans-serif"/>
          <w:b w:val="false"/>
          <w:color w:val="161616"/>
          <w:sz w:val="18"/>
        </w:rPr>
      </w:pPr>
      <w:r>
        <w:rPr>
          <w:rFonts w:ascii="Arial;sans-serif" w:hAnsi="Arial;sans-serif"/>
          <w:b w:val="false"/>
          <w:color w:val="161616"/>
          <w:sz w:val="18"/>
        </w:rPr>
        <w:t>No Inventions</w:t>
      </w:r>
    </w:p>
    <w:p>
      <w:pPr>
        <w:pStyle w:val="TextBody"/>
        <w:spacing w:before="0" w:after="0"/>
        <w:rPr/>
      </w:pPr>
      <w:r>
        <w:rPr/>
      </w:r>
    </w:p>
    <w:p>
      <w:pPr>
        <w:pStyle w:val="TextBody"/>
        <w:spacing w:before="0" w:after="0"/>
        <w:rPr/>
      </w:pPr>
      <w:r>
        <w:rPr/>
      </w:r>
    </w:p>
    <w:p>
      <w:pPr>
        <w:pStyle w:val="TextBody"/>
        <w:spacing w:before="8" w:after="283"/>
        <w:rPr/>
      </w:pPr>
      <w:r>
        <w:rPr/>
      </w:r>
    </w:p>
    <w:p>
      <w:pPr>
        <w:pStyle w:val="TextBody"/>
        <w:spacing w:lineRule="auto" w:line="240" w:before="0" w:after="0"/>
        <w:rPr/>
      </w:pPr>
      <w:r>
        <w:rPr>
          <w:rFonts w:ascii="Arial;sans-serif" w:hAnsi="Arial;sans-serif"/>
          <w:b w:val="false"/>
          <w:color w:val="282828"/>
          <w:sz w:val="18"/>
        </w:rPr>
        <w:t xml:space="preserve">PRINT </w:t>
      </w:r>
      <w:r>
        <w:rPr>
          <w:rFonts w:ascii="Arial;sans-serif" w:hAnsi="Arial;sans-serif"/>
          <w:b w:val="false"/>
          <w:color w:val="161616"/>
          <w:sz w:val="18"/>
        </w:rPr>
        <w:t xml:space="preserve">NAME </w:t>
      </w:r>
      <w:r>
        <w:rPr>
          <w:rFonts w:ascii="Arial;sans-serif" w:hAnsi="Arial;sans-serif"/>
          <w:b w:val="false"/>
          <w:color w:val="282828"/>
          <w:sz w:val="18"/>
        </w:rPr>
        <w:t>of EMPLOYEE: Nicole Murphy</w:t>
      </w:r>
    </w:p>
    <w:p>
      <w:pPr>
        <w:pStyle w:val="TextBody"/>
        <w:spacing w:before="9" w:after="283"/>
        <w:rPr/>
      </w:pPr>
      <w:r>
        <w:rPr/>
      </w:r>
    </w:p>
    <w:p>
      <w:pPr>
        <w:pStyle w:val="TextBody"/>
        <w:spacing w:lineRule="auto" w:line="240" w:before="0" w:after="0"/>
        <w:rPr/>
      </w:pPr>
      <w:r>
        <w:rPr>
          <w:rFonts w:ascii="Arial;sans-serif" w:hAnsi="Arial;sans-serif"/>
          <w:b w:val="false"/>
          <w:color w:val="383838"/>
          <w:sz w:val="18"/>
        </w:rPr>
        <w:t xml:space="preserve">SIGNATURE </w:t>
      </w:r>
      <w:r>
        <w:rPr>
          <w:rFonts w:ascii="Arial;sans-serif" w:hAnsi="Arial;sans-serif"/>
          <w:b w:val="false"/>
          <w:color w:val="282828"/>
          <w:sz w:val="18"/>
        </w:rPr>
        <w:t xml:space="preserve">of EMPLOYEE: </w:t>
      </w:r>
      <w:r>
        <w:rPr>
          <w:color w:val="282828"/>
          <w:u w:val="single"/>
        </w:rPr>
        <w:t>                    </w:t>
      </w:r>
    </w:p>
    <w:p>
      <w:pPr>
        <w:pStyle w:val="TextBody"/>
        <w:spacing w:before="0" w:after="0"/>
        <w:rPr/>
      </w:pPr>
      <w:r>
        <w:rPr/>
      </w:r>
    </w:p>
    <w:p>
      <w:pPr>
        <w:pStyle w:val="TextBody"/>
        <w:spacing w:lineRule="auto" w:line="240" w:before="0" w:after="0"/>
        <w:rPr/>
      </w:pPr>
      <w:r>
        <w:rPr>
          <w:rFonts w:ascii="Arial;sans-serif" w:hAnsi="Arial;sans-serif"/>
          <w:b w:val="false"/>
          <w:color w:val="000000"/>
          <w:sz w:val="18"/>
        </w:rPr>
        <w:t>Date:         </w:t>
      </w:r>
      <w:r>
        <w:rPr>
          <w:color w:val="000000"/>
          <w:u w:val="single"/>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31.1</w:t>
      </w:r>
    </w:p>
    <w:p>
      <w:pPr>
        <w:pStyle w:val="TextBody"/>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 OF CHIEF EXECUTIVE OFFICER PURSUANT TO</w:t>
      </w:r>
    </w:p>
    <w:p>
      <w:pPr>
        <w:pStyle w:val="TextBody"/>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SECTION 302 OF THE SARBANES-OXLEY ACT OF 2002</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 Christopher A. Viehbacher, certify that:</w:t>
      </w:r>
    </w:p>
    <w:p>
      <w:pPr>
        <w:pStyle w:val="TextBody"/>
        <w:spacing w:before="180" w:after="283"/>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1.I have reviewed this quarterly report of Biogen Inc.;</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(b)Any fraud, whether or not material, that involves management or other employees who have a significant role in the registrant’s internal control over financial reporting.</w:t>
      </w:r>
    </w:p>
    <w:tbl>
      <w:tblPr>
        <w:tblW w:w="6160" w:type="dxa"/>
        <w:jc w:val="left"/>
        <w:tblInd w:w="0" w:type="dxa"/>
        <w:tblCellMar>
          <w:top w:w="28" w:type="dxa"/>
          <w:left w:w="28" w:type="dxa"/>
          <w:bottom w:w="28" w:type="dxa"/>
          <w:right w:w="28" w:type="dxa"/>
        </w:tblCellMar>
      </w:tblPr>
      <w:tblGrid>
        <w:gridCol w:w="744"/>
        <w:gridCol w:w="652"/>
        <w:gridCol w:w="658"/>
        <w:gridCol w:w="109"/>
        <w:gridCol w:w="109"/>
        <w:gridCol w:w="109"/>
        <w:gridCol w:w="1107"/>
        <w:gridCol w:w="1107"/>
        <w:gridCol w:w="1565"/>
      </w:tblGrid>
      <w:tr>
        <w:trPr/>
        <w:tc>
          <w:tcPr>
            <w:tcW w:w="744"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25,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 Christopher A. Viehbacher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Christopher A. Viehbacher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31.2</w:t>
      </w:r>
    </w:p>
    <w:p>
      <w:pPr>
        <w:pStyle w:val="TextBody"/>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 OF CHIEF FINANCIAL OFFICER PURSUANT TO</w:t>
      </w:r>
    </w:p>
    <w:p>
      <w:pPr>
        <w:pStyle w:val="TextBody"/>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SECTION 302 OF THE SARBANES-OXLEY ACT OF 2002</w:t>
      </w:r>
    </w:p>
    <w:p>
      <w:pPr>
        <w:pStyle w:val="TextBody"/>
        <w:spacing w:lineRule="auto" w:line="288" w:before="180" w:after="283"/>
        <w:rPr>
          <w:rFonts w:ascii="Franklin Gothic Book;sans-serif" w:hAnsi="Franklin Gothic Book;sans-serif"/>
          <w:b w:val="false"/>
          <w:color w:val="000000"/>
          <w:sz w:val="20"/>
        </w:rPr>
      </w:pPr>
      <w:r>
        <w:rPr>
          <w:rFonts w:ascii="Franklin Gothic Book;sans-serif" w:hAnsi="Franklin Gothic Book;sans-serif"/>
          <w:b w:val="false"/>
          <w:color w:val="000000"/>
          <w:sz w:val="20"/>
        </w:rPr>
        <w:t>I, Michael R. McDonnell, certify that:</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1.I have reviewed this quarterly report of Biogen Inc.;</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720"/>
        <w:rPr>
          <w:rFonts w:ascii="Franklin Gothic Book;sans-serif" w:hAnsi="Franklin Gothic Book;sans-serif"/>
          <w:b w:val="false"/>
          <w:color w:val="000000"/>
          <w:sz w:val="20"/>
        </w:rPr>
      </w:pPr>
      <w:r>
        <w:rPr>
          <w:rFonts w:ascii="Franklin Gothic Book;sans-serif" w:hAnsi="Franklin Gothic Book;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80"/>
        <w:ind w:left="0" w:right="0" w:hanging="360"/>
        <w:rPr/>
      </w:pPr>
      <w:r>
        <w:rPr/>
      </w:r>
    </w:p>
    <w:tbl>
      <w:tblPr>
        <w:tblW w:w="4901" w:type="dxa"/>
        <w:jc w:val="left"/>
        <w:tblInd w:w="0" w:type="dxa"/>
        <w:tblCellMar>
          <w:top w:w="28" w:type="dxa"/>
          <w:left w:w="28" w:type="dxa"/>
          <w:bottom w:w="28" w:type="dxa"/>
          <w:right w:w="28" w:type="dxa"/>
        </w:tblCellMar>
      </w:tblPr>
      <w:tblGrid>
        <w:gridCol w:w="744"/>
        <w:gridCol w:w="652"/>
        <w:gridCol w:w="658"/>
        <w:gridCol w:w="109"/>
        <w:gridCol w:w="109"/>
        <w:gridCol w:w="109"/>
        <w:gridCol w:w="738"/>
        <w:gridCol w:w="738"/>
        <w:gridCol w:w="1044"/>
      </w:tblGrid>
      <w:tr>
        <w:trPr/>
        <w:tc>
          <w:tcPr>
            <w:tcW w:w="744"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25,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 Michael R. McDonnell</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Michael R. McDonnell</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Franklin Gothic Book;sans-serif" w:hAnsi="Franklin Gothic Book;sans-serif"/>
          <w:b/>
          <w:color w:val="000000"/>
          <w:sz w:val="24"/>
        </w:rPr>
      </w:pPr>
      <w:r>
        <w:rPr>
          <w:rFonts w:ascii="Franklin Gothic Book;sans-serif" w:hAnsi="Franklin Gothic Book;sans-serif"/>
          <w:b/>
          <w:color w:val="000000"/>
          <w:sz w:val="24"/>
        </w:rPr>
        <w:t>Exhibit 32.1</w:t>
      </w:r>
    </w:p>
    <w:p>
      <w:pPr>
        <w:pStyle w:val="TextBody"/>
        <w:spacing w:lineRule="auto" w:line="288" w:before="180" w:after="283"/>
        <w:jc w:val="center"/>
        <w:rPr>
          <w:rFonts w:ascii="Franklin Gothic Book;sans-serif" w:hAnsi="Franklin Gothic Book;sans-serif"/>
          <w:b/>
          <w:color w:val="000000"/>
          <w:sz w:val="24"/>
        </w:rPr>
      </w:pPr>
      <w:r>
        <w:rPr>
          <w:rFonts w:ascii="Franklin Gothic Book;sans-serif" w:hAnsi="Franklin Gothic Book;sans-serif"/>
          <w:b/>
          <w:color w:val="000000"/>
          <w:sz w:val="24"/>
        </w:rPr>
        <w:t>CERTIFICATION</w:t>
      </w:r>
    </w:p>
    <w:p>
      <w:pPr>
        <w:pStyle w:val="TextBody"/>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PURSUANT TO SECTION 906 OF THE SARBANES-OXLEY ACT OF 2002</w:t>
      </w:r>
    </w:p>
    <w:p>
      <w:pPr>
        <w:pStyle w:val="TextBody"/>
        <w:spacing w:lineRule="auto" w:line="288" w:before="18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pStyle w:val="TextBody"/>
        <w:spacing w:lineRule="auto" w:line="288" w:before="18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The Quarterly Report on Form 10-Q for the quarter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spacing w:before="180" w:after="283"/>
        <w:ind w:left="0" w:right="0" w:firstLine="495"/>
        <w:rPr/>
      </w:pPr>
      <w:r>
        <w:rPr/>
      </w:r>
    </w:p>
    <w:tbl>
      <w:tblPr>
        <w:tblW w:w="6160" w:type="dxa"/>
        <w:jc w:val="left"/>
        <w:tblInd w:w="0" w:type="dxa"/>
        <w:tblCellMar>
          <w:top w:w="28" w:type="dxa"/>
          <w:left w:w="28" w:type="dxa"/>
          <w:bottom w:w="28" w:type="dxa"/>
          <w:right w:w="28" w:type="dxa"/>
        </w:tblCellMar>
      </w:tblPr>
      <w:tblGrid>
        <w:gridCol w:w="744"/>
        <w:gridCol w:w="652"/>
        <w:gridCol w:w="658"/>
        <w:gridCol w:w="109"/>
        <w:gridCol w:w="109"/>
        <w:gridCol w:w="109"/>
        <w:gridCol w:w="1107"/>
        <w:gridCol w:w="1107"/>
        <w:gridCol w:w="1565"/>
      </w:tblGrid>
      <w:tr>
        <w:trPr/>
        <w:tc>
          <w:tcPr>
            <w:tcW w:w="744"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25,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 Christopher A. Viehbacher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Christopher A. Viehbacher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executive officer]</w:t>
            </w:r>
          </w:p>
        </w:tc>
      </w:tr>
    </w:tbl>
    <w:p>
      <w:pPr>
        <w:pStyle w:val="TextBody"/>
        <w:spacing w:lineRule="auto" w:line="288" w:before="0" w:after="0"/>
        <w:rPr>
          <w:color w:val="000000"/>
        </w:rPr>
      </w:pPr>
      <w:r>
        <w:rPr>
          <w:color w:val="000000"/>
        </w:rPr>
        <w:t> </w:t>
      </w:r>
    </w:p>
    <w:tbl>
      <w:tblPr>
        <w:tblW w:w="5081" w:type="dxa"/>
        <w:jc w:val="left"/>
        <w:tblInd w:w="0" w:type="dxa"/>
        <w:tblCellMar>
          <w:top w:w="28" w:type="dxa"/>
          <w:left w:w="28" w:type="dxa"/>
          <w:bottom w:w="28" w:type="dxa"/>
          <w:right w:w="28" w:type="dxa"/>
        </w:tblCellMar>
      </w:tblPr>
      <w:tblGrid>
        <w:gridCol w:w="744"/>
        <w:gridCol w:w="652"/>
        <w:gridCol w:w="658"/>
        <w:gridCol w:w="109"/>
        <w:gridCol w:w="109"/>
        <w:gridCol w:w="109"/>
        <w:gridCol w:w="790"/>
        <w:gridCol w:w="790"/>
        <w:gridCol w:w="1120"/>
      </w:tblGrid>
      <w:tr>
        <w:trPr/>
        <w:tc>
          <w:tcPr>
            <w:tcW w:w="744"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25,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 Michael R. McDonnell</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Michael R. McDonnell</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[principal financial officer]</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495"/>
        <w:rPr>
          <w:rFonts w:ascii="Franklin Gothic Book;sans-serif" w:hAnsi="Franklin Gothic Book;sans-serif"/>
          <w:b w:val="false"/>
          <w:color w:val="000000"/>
          <w:sz w:val="20"/>
        </w:rPr>
      </w:pPr>
      <w:r>
        <w:rPr>
          <w:rFonts w:ascii="Franklin Gothic Book;sans-serif" w:hAnsi="Franklin Gothic Book;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Franklin Gothic Book">
    <w:altName w:val="sans-serif"/>
    <w:charset w:val="00"/>
    <w:family w:val="auto"/>
    <w:pitch w:val="default"/>
  </w:font>
  <w:font w:name="Wingdings">
    <w:altName w:val="sans-serif"/>
    <w:charset w:val="00"/>
    <w:family w:val="auto"/>
    <w:pitch w:val="default"/>
  </w:font>
  <w:font w:name="Franklin Gothic Medium">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875045/000119312523105074/d500907dex31.htm" TargetMode="External"/><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png"/><Relationship Id="rId15" Type="http://schemas.openxmlformats.org/officeDocument/2006/relationships/image" Target="media/image13.pn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47951</Words>
  <CharactersWithSpaces>316978</CharactersWithSpaces>
  <Paragraphs>4142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