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UNITED STATES</w:t>
      </w:r>
    </w:p>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SECURITIES AND EXCHANGE COMMISSION</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Washington, D.C. 20549</w:t>
      </w:r>
    </w:p>
    <w:p>
      <w:pPr>
        <w:pStyle w:val="TextBody"/>
        <w:bidi w:val="0"/>
        <w:spacing w:lineRule="auto" w:line="288" w:before="100" w:after="283"/>
        <w:jc w:val="center"/>
        <w:rPr>
          <w:rFonts w:ascii="Franklin Gothic Book;sans-serif" w:hAnsi="Franklin Gothic Book;sans-serif"/>
          <w:b/>
          <w:color w:val="000000"/>
          <w:sz w:val="36"/>
        </w:rPr>
      </w:pPr>
      <w:r>
        <w:rPr>
          <w:rFonts w:ascii="Franklin Gothic Book;sans-serif" w:hAnsi="Franklin Gothic Book;sans-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4"/>
              </w:rPr>
            </w:pPr>
            <w:r>
              <w:rPr>
                <w:rFonts w:ascii="Franklin Gothic Book;sans-serif" w:hAnsi="Franklin Gothic Book;sans-serif"/>
                <w:b/>
                <w:color w:val="000000"/>
                <w:sz w:val="24"/>
              </w:rPr>
              <w:t>QUARTERLY REPORT PURSUANT TO SECTION 13 OR 15(d) OF THE SECURITIES EXCHANGE ACT OF 1934</w:t>
            </w:r>
          </w:p>
        </w:tc>
      </w:tr>
    </w:tbl>
    <w:p>
      <w:pPr>
        <w:pStyle w:val="TextBody"/>
        <w:bidi w:val="0"/>
        <w:spacing w:lineRule="auto" w:line="288" w:before="0" w:after="0"/>
        <w:jc w:val="left"/>
        <w:rPr>
          <w:rFonts w:ascii="Franklin Gothic Book;sans-serif" w:hAnsi="Franklin Gothic Book;sans-serif"/>
          <w:b/>
          <w:color w:val="000000"/>
          <w:sz w:val="20"/>
        </w:rPr>
      </w:pPr>
      <w:r>
        <w:rPr>
          <w:rFonts w:ascii="Franklin Gothic Book;sans-serif" w:hAnsi="Franklin Gothic Book;sans-serif"/>
          <w:b/>
          <w:color w:val="000000"/>
          <w:sz w:val="20"/>
        </w:rPr>
        <w:t xml:space="preserve">For the quarterly period ended June 30, 2025 </w:t>
      </w:r>
    </w:p>
    <w:p>
      <w:pPr>
        <w:pStyle w:val="TextBody"/>
        <w:bidi w:val="0"/>
        <w:spacing w:lineRule="auto" w:line="288" w:before="8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4"/>
              </w:rPr>
            </w:pPr>
            <w:r>
              <w:rPr>
                <w:rFonts w:ascii="Franklin Gothic Book;sans-serif" w:hAnsi="Franklin Gothic Book;sans-serif"/>
                <w:b/>
                <w:color w:val="000000"/>
                <w:sz w:val="24"/>
              </w:rPr>
              <w:t>TRANSITION REPORT PURSUANT TO SECTION 13 OR 15(d) OF THE SECURITIES EXCHANGE ACT OF 1934</w:t>
            </w:r>
          </w:p>
        </w:tc>
      </w:tr>
    </w:tbl>
    <w:p>
      <w:pPr>
        <w:pStyle w:val="TextBody"/>
        <w:bidi w:val="0"/>
        <w:spacing w:lineRule="auto" w:line="288" w:before="4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Commission File Number 0-19311</w:t>
      </w:r>
    </w:p>
    <w:p>
      <w:pPr>
        <w:pStyle w:val="TextBody"/>
        <w:bidi w:val="0"/>
        <w:spacing w:before="140" w:after="283"/>
        <w:jc w:val="center"/>
        <w:rPr/>
      </w:pPr>
      <w:r>
        <w:rPr/>
        <w:drawing>
          <wp:inline distT="0" distB="0" distL="0" distR="0">
            <wp:extent cx="8763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76300" cy="285750"/>
                    </a:xfrm>
                    <a:prstGeom prst="rect">
                      <a:avLst/>
                    </a:prstGeom>
                  </pic:spPr>
                </pic:pic>
              </a:graphicData>
            </a:graphic>
          </wp:inline>
        </w:drawing>
      </w:r>
      <w:bookmarkStart w:id="0" w:name="i-1"/>
      <w:bookmarkEnd w:id="0"/>
    </w:p>
    <w:p>
      <w:pPr>
        <w:pStyle w:val="TextBody"/>
        <w:bidi w:val="0"/>
        <w:spacing w:lineRule="auto" w:line="288" w:before="0" w:after="0"/>
        <w:jc w:val="center"/>
        <w:rPr>
          <w:rFonts w:ascii="Franklin Gothic Book;sans-serif" w:hAnsi="Franklin Gothic Book;sans-serif"/>
          <w:b/>
          <w:color w:val="000000"/>
          <w:sz w:val="48"/>
        </w:rPr>
      </w:pPr>
      <w:r>
        <w:rPr>
          <w:rFonts w:ascii="Franklin Gothic Book;sans-serif" w:hAnsi="Franklin Gothic Book;sans-serif"/>
          <w:b/>
          <w:color w:val="000000"/>
          <w:sz w:val="48"/>
        </w:rPr>
        <w:t xml:space="preserve">BIOGEN INC. </w:t>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(Exact name of registrant as specified in its charter)</w:t>
      </w:r>
    </w:p>
    <w:tbl>
      <w:tblPr>
        <w:tblW w:w="4555"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470"/>
        <w:gridCol w:w="470"/>
        <w:gridCol w:w="66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33-0112644</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(I.R.S. Employer</w:t>
              <w:br/>
              <w:t>Identification No.)</w:t>
            </w:r>
          </w:p>
        </w:tc>
      </w:tr>
    </w:tbl>
    <w:p>
      <w:pPr>
        <w:pStyle w:val="TextBody"/>
        <w:bidi w:val="0"/>
        <w:spacing w:lineRule="auto" w:line="288" w:before="2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225 Binney Street, Cambridge, MA 02142 </w:t>
      </w:r>
    </w:p>
    <w:p>
      <w:pPr>
        <w:pStyle w:val="TextBody"/>
        <w:bidi w:val="0"/>
        <w:spacing w:lineRule="auto" w:line="288" w:before="0" w:after="0"/>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(617) 679-2000 </w:t>
      </w:r>
    </w:p>
    <w:p>
      <w:pPr>
        <w:pStyle w:val="TextBody"/>
        <w:bidi w:val="0"/>
        <w:spacing w:lineRule="auto" w:line="288" w:before="8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(Address, including zip code, and telephone number, including</w:t>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area code, of registrant’s principal executive offices)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39"/>
        <w:gridCol w:w="1136"/>
        <w:gridCol w:w="1141"/>
        <w:gridCol w:w="109"/>
        <w:gridCol w:w="109"/>
        <w:gridCol w:w="109"/>
        <w:gridCol w:w="594"/>
        <w:gridCol w:w="594"/>
        <w:gridCol w:w="596"/>
        <w:gridCol w:w="109"/>
        <w:gridCol w:w="109"/>
        <w:gridCol w:w="109"/>
        <w:gridCol w:w="643"/>
        <w:gridCol w:w="643"/>
        <w:gridCol w:w="643"/>
        <w:gridCol w:w="643"/>
        <w:gridCol w:w="643"/>
        <w:gridCol w:w="936"/>
      </w:tblGrid>
      <w:tr>
        <w:trPr/>
        <w:tc>
          <w:tcPr>
            <w:tcW w:w="133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Name of each exchange on which registered</w:t>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Common Stock, $0.0005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BIIB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The Nasdaq Global Select Market</w:t>
            </w:r>
          </w:p>
        </w:tc>
      </w:tr>
    </w:tbl>
    <w:p>
      <w:pPr>
        <w:pStyle w:val="TextBody"/>
        <w:bidi w:val="0"/>
        <w:spacing w:lineRule="auto" w:line="288" w:before="20" w:after="283"/>
        <w:ind w:left="0" w:right="0" w:firstLine="495"/>
        <w:jc w:val="left"/>
        <w:rPr/>
      </w:pPr>
      <w:r>
        <w:rPr>
          <w:rFonts w:ascii="Franklin Gothic Book;sans-serif" w:hAnsi="Franklin Gothic Book;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w:t>
      </w:r>
      <w:r>
        <w:rPr>
          <w:rFonts w:ascii="Wingdings;sans-serif" w:hAnsi="Wingdings;sans-serif"/>
          <w:b w:val="false"/>
          <w:color w:val="000000"/>
          <w:sz w:val="20"/>
        </w:rPr>
        <w:t>x</w:t>
      </w:r>
      <w:r>
        <w:rPr>
          <w:color w:val="000000"/>
        </w:rPr>
        <w:t>    </w:t>
      </w:r>
      <w:r>
        <w:rPr>
          <w:rFonts w:ascii="Franklin Gothic Book;sans-serif" w:hAnsi="Franklin Gothic Book;sans-serif"/>
          <w:b w:val="false"/>
          <w:color w:val="000000"/>
          <w:sz w:val="20"/>
        </w:rPr>
        <w:t>No</w:t>
      </w:r>
      <w:r>
        <w:rPr>
          <w:color w:val="000000"/>
        </w:rPr>
        <w:t>  </w:t>
      </w:r>
      <w:r>
        <w:rPr>
          <w:rFonts w:ascii="Wingdings;sans-serif" w:hAnsi="Wingdings;sans-serif"/>
          <w:b w:val="false"/>
          <w:color w:val="000000"/>
          <w:sz w:val="20"/>
        </w:rPr>
        <w:t>o</w:t>
      </w:r>
    </w:p>
    <w:p>
      <w:pPr>
        <w:pStyle w:val="TextBody"/>
        <w:bidi w:val="0"/>
        <w:spacing w:lineRule="auto" w:line="288" w:before="120" w:after="283"/>
        <w:ind w:left="0" w:right="0" w:firstLine="495"/>
        <w:jc w:val="left"/>
        <w:rPr/>
      </w:pPr>
      <w:r>
        <w:rPr>
          <w:rFonts w:ascii="Franklin Gothic Book;sans-serif" w:hAnsi="Franklin Gothic Book;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w:t>
      </w:r>
      <w:r>
        <w:rPr>
          <w:rFonts w:ascii="Wingdings;sans-serif" w:hAnsi="Wingdings;sans-serif"/>
          <w:b w:val="false"/>
          <w:color w:val="000000"/>
          <w:sz w:val="20"/>
        </w:rPr>
        <w:t>x</w:t>
      </w:r>
      <w:r>
        <w:rPr>
          <w:color w:val="000000"/>
        </w:rPr>
        <w:t>    </w:t>
      </w:r>
      <w:r>
        <w:rPr>
          <w:rFonts w:ascii="Franklin Gothic Book;sans-serif" w:hAnsi="Franklin Gothic Book;sans-serif"/>
          <w:b w:val="false"/>
          <w:color w:val="000000"/>
          <w:sz w:val="20"/>
        </w:rPr>
        <w:t>No</w:t>
      </w:r>
      <w:r>
        <w:rPr>
          <w:color w:val="000000"/>
        </w:rPr>
        <w:t>  </w:t>
      </w:r>
      <w:r>
        <w:rPr>
          <w:rFonts w:ascii="Wingdings;sans-serif" w:hAnsi="Wingdings;sans-serif"/>
          <w:b w:val="false"/>
          <w:color w:val="000000"/>
          <w:sz w:val="20"/>
        </w:rPr>
        <w:t>o</w:t>
      </w:r>
    </w:p>
    <w:p>
      <w:pPr>
        <w:pStyle w:val="TextBody"/>
        <w:bidi w:val="0"/>
        <w:spacing w:lineRule="auto" w:line="288" w:before="120" w:after="283"/>
        <w:ind w:left="0" w:right="0" w:firstLine="495"/>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82"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109"/>
        <w:gridCol w:w="109"/>
        <w:gridCol w:w="109"/>
        <w:gridCol w:w="919"/>
        <w:gridCol w:w="919"/>
        <w:gridCol w:w="923"/>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0" w:after="283"/>
        <w:ind w:left="0" w:right="0" w:firstLine="495"/>
        <w:jc w:val="left"/>
        <w:rPr/>
      </w:pPr>
      <w:r>
        <w:rPr>
          <w:rFonts w:ascii="Franklin Gothic Book;sans-serif" w:hAnsi="Franklin Gothic Book;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495"/>
        <w:jc w:val="left"/>
        <w:rPr/>
      </w:pPr>
      <w:r>
        <w:rPr>
          <w:rFonts w:ascii="Franklin Gothic Book;sans-serif" w:hAnsi="Franklin Gothic Book;sans-serif"/>
          <w:b w:val="false"/>
          <w:color w:val="000000"/>
          <w:sz w:val="20"/>
        </w:rPr>
        <w:t>Indicate by check mark whether the registrant is a shell company (as defined in Rule 12b-2 of the Exchange Act).    Yes  </w:t>
      </w:r>
      <w:r>
        <w:rPr>
          <w:color w:val="000000"/>
        </w:rPr>
        <w:t>☐    </w:t>
      </w:r>
      <w:r>
        <w:rPr>
          <w:rFonts w:ascii="Franklin Gothic Book;sans-serif" w:hAnsi="Franklin Gothic Book;sans-serif"/>
          <w:b w:val="false"/>
          <w:color w:val="000000"/>
          <w:sz w:val="20"/>
        </w:rPr>
        <w:t>No </w:t>
      </w:r>
      <w:r>
        <w:rPr>
          <w:color w:val="000000"/>
        </w:rPr>
        <w:t> </w:t>
      </w:r>
      <w:r>
        <w:rPr>
          <w:rFonts w:ascii="Wingdings;sans-serif" w:hAnsi="Wingdings;sans-serif"/>
          <w:b w:val="false"/>
          <w:color w:val="000000"/>
          <w:sz w:val="20"/>
        </w:rPr>
        <w:t>x</w:t>
      </w:r>
    </w:p>
    <w:p>
      <w:pPr>
        <w:pStyle w:val="TextBody"/>
        <w:bidi w:val="0"/>
        <w:spacing w:lineRule="auto" w:line="288" w:before="120" w:after="283"/>
        <w:ind w:left="0" w:right="0" w:firstLine="495"/>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number of shares of the issuer’s Common Stock, $0.0005 par value, outstanding as of July 29, 2025, was 146,614,598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B7F"/>
          <w:sz w:val="24"/>
        </w:rPr>
      </w:pPr>
      <w:r>
        <w:rPr>
          <w:rFonts w:ascii="Franklin Gothic Book;sans-serif" w:hAnsi="Franklin Gothic Book;sans-serif"/>
          <w:b/>
          <w:color w:val="005B7F"/>
          <w:sz w:val="24"/>
        </w:rPr>
        <w:t>BIOGEN INC.</w:t>
      </w:r>
    </w:p>
    <w:p>
      <w:pPr>
        <w:pStyle w:val="TextBody"/>
        <w:bidi w:val="0"/>
        <w:spacing w:lineRule="auto" w:line="288" w:before="0" w:after="0"/>
        <w:jc w:val="center"/>
        <w:rPr>
          <w:rFonts w:ascii="Franklin Gothic Book;sans-serif" w:hAnsi="Franklin Gothic Book;sans-serif"/>
          <w:b/>
          <w:color w:val="005B7F"/>
          <w:sz w:val="24"/>
        </w:rPr>
      </w:pPr>
      <w:r>
        <w:rPr>
          <w:rFonts w:ascii="Franklin Gothic Book;sans-serif" w:hAnsi="Franklin Gothic Book;sans-serif"/>
          <w:b/>
          <w:color w:val="005B7F"/>
          <w:sz w:val="24"/>
        </w:rPr>
        <w:t>FORM 10-Q — Quarterly Report</w:t>
      </w:r>
    </w:p>
    <w:p>
      <w:pPr>
        <w:pStyle w:val="TextBody"/>
        <w:bidi w:val="0"/>
        <w:spacing w:lineRule="auto" w:line="288" w:before="0" w:after="0"/>
        <w:jc w:val="center"/>
        <w:rPr/>
      </w:pPr>
      <w:r>
        <w:rPr>
          <w:rFonts w:ascii="Franklin Gothic Book;sans-serif" w:hAnsi="Franklin Gothic Book;sans-serif"/>
          <w:b/>
          <w:color w:val="005B7F"/>
          <w:sz w:val="24"/>
        </w:rPr>
        <w:t>For the Quarterly Period Ended June 30, 2025</w:t>
      </w:r>
      <w:r>
        <w:rPr>
          <w:color w:val="578196"/>
        </w:rPr>
        <w:t xml:space="preserve"> </w:t>
      </w:r>
    </w:p>
    <w:p>
      <w:pPr>
        <w:pStyle w:val="TextBody"/>
        <w:bidi w:val="0"/>
        <w:spacing w:lineRule="auto" w:line="288" w:before="280" w:after="283"/>
        <w:jc w:val="center"/>
        <w:rPr>
          <w:rFonts w:ascii="Franklin Gothic Medium;sans-serif" w:hAnsi="Franklin Gothic Medium;sans-serif"/>
          <w:b/>
          <w:color w:val="0070C0"/>
          <w:sz w:val="28"/>
        </w:rPr>
      </w:pPr>
      <w:r>
        <w:rPr>
          <w:rFonts w:ascii="Franklin Gothic Medium;sans-serif" w:hAnsi="Franklin Gothic Medium;sans-serif"/>
          <w:b/>
          <w:color w:val="0070C0"/>
          <w:sz w:val="28"/>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7"/>
        <w:gridCol w:w="298"/>
        <w:gridCol w:w="285"/>
        <w:gridCol w:w="2705"/>
        <w:gridCol w:w="2574"/>
        <w:gridCol w:w="2581"/>
        <w:gridCol w:w="413"/>
        <w:gridCol w:w="413"/>
        <w:gridCol w:w="599"/>
      </w:tblGrid>
      <w:tr>
        <w:trPr/>
        <w:tc>
          <w:tcPr>
            <w:tcW w:w="3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8"/>
              </w:rPr>
              <w:t xml:space="preserve">PART I — </w:t>
            </w:r>
            <w:hyperlink w:anchor="i9ca933a2247640d8a46a59d585a7b24a_16">
              <w:r>
                <w:rPr>
                  <w:rStyle w:val="InternetLink"/>
                  <w:rFonts w:ascii="Franklin Gothic Book;sans-serif" w:hAnsi="Franklin Gothic Book;sans-serif"/>
                  <w:b/>
                  <w:color w:val="0000FF"/>
                  <w:sz w:val="18"/>
                  <w:u w:val="single"/>
                </w:rPr>
                <w:t>FINANCIAL INFORMATION</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19">
              <w:r>
                <w:rPr>
                  <w:rStyle w:val="InternetLink"/>
                  <w:rFonts w:ascii="Franklin Gothic Book;sans-serif" w:hAnsi="Franklin Gothic Book;sans-serif"/>
                  <w:b w:val="false"/>
                  <w:color w:val="0000FF"/>
                  <w:sz w:val="18"/>
                  <w:u w:val="single"/>
                </w:rPr>
                <w:t>Financial Statements (unaudited)</w:t>
              </w:r>
            </w:hyperlink>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2">
              <w:r>
                <w:rPr>
                  <w:rStyle w:val="InternetLink"/>
                  <w:rFonts w:ascii="Franklin Gothic Book;sans-serif" w:hAnsi="Franklin Gothic Book;sans-serif"/>
                  <w:b w:val="false"/>
                  <w:color w:val="0000FF"/>
                  <w:sz w:val="18"/>
                  <w:u w:val="single"/>
                </w:rPr>
                <w:t>Condensed Consolidated Statements of Income — For the Three and Six Months Ended June 30, 2025 and 2024</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2">
              <w:r>
                <w:rPr>
                  <w:rStyle w:val="InternetLink"/>
                  <w:rFonts w:ascii="Franklin Gothic Book;sans-serif" w:hAnsi="Franklin Gothic Book;sans-serif"/>
                  <w:b w:val="false"/>
                  <w:color w:val="0000FF"/>
                  <w:sz w:val="18"/>
                  <w:u w:val="single"/>
                </w:rPr>
                <w:t>8</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5">
              <w:r>
                <w:rPr>
                  <w:rStyle w:val="InternetLink"/>
                  <w:rFonts w:ascii="Franklin Gothic Book;sans-serif" w:hAnsi="Franklin Gothic Book;sans-serif"/>
                  <w:b w:val="false"/>
                  <w:color w:val="0000FF"/>
                  <w:sz w:val="18"/>
                  <w:u w:val="single"/>
                </w:rPr>
                <w:t>Condensed Consolidated Statements of Comprehensive Income — For the Three and Six Months Ended June 30, 2025 and 2024</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5">
              <w:r>
                <w:rPr>
                  <w:rStyle w:val="InternetLink"/>
                  <w:rFonts w:ascii="Franklin Gothic Book;sans-serif" w:hAnsi="Franklin Gothic Book;sans-serif"/>
                  <w:b w:val="false"/>
                  <w:color w:val="0000FF"/>
                  <w:sz w:val="18"/>
                  <w:u w:val="single"/>
                </w:rPr>
                <w:t>9</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8">
              <w:r>
                <w:rPr>
                  <w:rStyle w:val="InternetLink"/>
                  <w:rFonts w:ascii="Franklin Gothic Book;sans-serif" w:hAnsi="Franklin Gothic Book;sans-serif"/>
                  <w:b w:val="false"/>
                  <w:color w:val="0000FF"/>
                  <w:sz w:val="18"/>
                  <w:u w:val="single"/>
                </w:rPr>
                <w:t>Condensed Consolidated Balance Sheets — As of June 30, 2025 and December 31, 2024</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8">
              <w:r>
                <w:rPr>
                  <w:rStyle w:val="InternetLink"/>
                  <w:rFonts w:ascii="Franklin Gothic Book;sans-serif" w:hAnsi="Franklin Gothic Book;sans-serif"/>
                  <w:b w:val="false"/>
                  <w:color w:val="0000FF"/>
                  <w:sz w:val="18"/>
                  <w:u w:val="single"/>
                </w:rPr>
                <w:t>10</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31">
              <w:r>
                <w:rPr>
                  <w:rStyle w:val="InternetLink"/>
                  <w:rFonts w:ascii="Franklin Gothic Book;sans-serif" w:hAnsi="Franklin Gothic Book;sans-serif"/>
                  <w:b w:val="false"/>
                  <w:color w:val="0000FF"/>
                  <w:sz w:val="18"/>
                  <w:u w:val="single"/>
                </w:rPr>
                <w:t>Condensed Consolidated Statements of Cash Flow — For the Six Months Ended June 30, 2025 and 2024</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31">
              <w:r>
                <w:rPr>
                  <w:rStyle w:val="InternetLink"/>
                  <w:rFonts w:ascii="Franklin Gothic Book;sans-serif" w:hAnsi="Franklin Gothic Book;sans-serif"/>
                  <w:b w:val="false"/>
                  <w:color w:val="0000FF"/>
                  <w:sz w:val="18"/>
                  <w:u w:val="single"/>
                </w:rPr>
                <w:t>11</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34">
              <w:r>
                <w:rPr>
                  <w:rStyle w:val="InternetLink"/>
                  <w:rFonts w:ascii="Franklin Gothic Book;sans-serif" w:hAnsi="Franklin Gothic Book;sans-serif"/>
                  <w:b w:val="false"/>
                  <w:color w:val="0000FF"/>
                  <w:sz w:val="18"/>
                  <w:u w:val="single"/>
                </w:rPr>
                <w:t>Condensed Consolidated Statements of Equity — For the Three and Six Months Ended June 30, 2025 and 2024</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34">
              <w:r>
                <w:rPr>
                  <w:rStyle w:val="InternetLink"/>
                  <w:rFonts w:ascii="Franklin Gothic Book;sans-serif" w:hAnsi="Franklin Gothic Book;sans-serif"/>
                  <w:b w:val="false"/>
                  <w:color w:val="0000FF"/>
                  <w:sz w:val="18"/>
                  <w:u w:val="single"/>
                </w:rPr>
                <w:t>12</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37">
              <w:r>
                <w:rPr>
                  <w:rStyle w:val="InternetLink"/>
                  <w:rFonts w:ascii="Franklin Gothic Book;sans-serif" w:hAnsi="Franklin Gothic Book;sans-serif"/>
                  <w:b w:val="false"/>
                  <w:color w:val="0000FF"/>
                  <w:sz w:val="18"/>
                  <w:u w:val="single"/>
                </w:rPr>
                <w:t>Notes to Condensed Consolidated Financial Statements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37">
              <w:r>
                <w:rPr>
                  <w:rStyle w:val="InternetLink"/>
                  <w:rFonts w:ascii="Franklin Gothic Book;sans-serif" w:hAnsi="Franklin Gothic Book;sans-serif"/>
                  <w:b w:val="false"/>
                  <w:color w:val="0000FF"/>
                  <w:sz w:val="18"/>
                  <w:u w:val="single"/>
                </w:rPr>
                <w:t>14</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2.</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133">
              <w:r>
                <w:rPr>
                  <w:rStyle w:val="InternetLink"/>
                  <w:rFonts w:ascii="Franklin Gothic Book;sans-serif" w:hAnsi="Franklin Gothic Book;sans-serif"/>
                  <w:b w:val="false"/>
                  <w:color w:val="0000FF"/>
                  <w:sz w:val="18"/>
                  <w:u w:val="single"/>
                </w:rPr>
                <w:t>Management’s Discussion and Analysis of Financial Condition and Results of Operations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133">
              <w:r>
                <w:rPr>
                  <w:rStyle w:val="InternetLink"/>
                  <w:rFonts w:ascii="Franklin Gothic Book;sans-serif" w:hAnsi="Franklin Gothic Book;sans-serif"/>
                  <w:b w:val="false"/>
                  <w:color w:val="0000FF"/>
                  <w:sz w:val="18"/>
                  <w:u w:val="single"/>
                </w:rPr>
                <w:t>50</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3.</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77">
              <w:r>
                <w:rPr>
                  <w:rStyle w:val="InternetLink"/>
                  <w:rFonts w:ascii="Franklin Gothic Book;sans-serif" w:hAnsi="Franklin Gothic Book;sans-serif"/>
                  <w:b w:val="false"/>
                  <w:color w:val="0000FF"/>
                  <w:sz w:val="18"/>
                  <w:u w:val="single"/>
                </w:rPr>
                <w:t>Quantitative and Qualitative Disclosures About Market Risk</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77">
              <w:r>
                <w:rPr>
                  <w:rStyle w:val="InternetLink"/>
                  <w:rFonts w:ascii="Franklin Gothic Book;sans-serif" w:hAnsi="Franklin Gothic Book;sans-serif"/>
                  <w:b w:val="false"/>
                  <w:color w:val="0000FF"/>
                  <w:sz w:val="18"/>
                  <w:u w:val="single"/>
                </w:rPr>
                <w:t>78</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4.</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83">
              <w:r>
                <w:rPr>
                  <w:rStyle w:val="InternetLink"/>
                  <w:rFonts w:ascii="Franklin Gothic Book;sans-serif" w:hAnsi="Franklin Gothic Book;sans-serif"/>
                  <w:b w:val="false"/>
                  <w:color w:val="0000FF"/>
                  <w:sz w:val="18"/>
                  <w:u w:val="single"/>
                </w:rPr>
                <w:t>Controls and Procedures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83">
              <w:r>
                <w:rPr>
                  <w:rStyle w:val="InternetLink"/>
                  <w:rFonts w:ascii="Franklin Gothic Book;sans-serif" w:hAnsi="Franklin Gothic Book;sans-serif"/>
                  <w:b w:val="false"/>
                  <w:color w:val="0000FF"/>
                  <w:sz w:val="18"/>
                  <w:u w:val="single"/>
                </w:rPr>
                <w:t>80</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8"/>
              </w:rPr>
              <w:t xml:space="preserve">PART II — </w:t>
            </w:r>
            <w:hyperlink w:anchor="i9ca933a2247640d8a46a59d585a7b24a_286">
              <w:r>
                <w:rPr>
                  <w:rStyle w:val="InternetLink"/>
                  <w:rFonts w:ascii="Franklin Gothic Book;sans-serif" w:hAnsi="Franklin Gothic Book;sans-serif"/>
                  <w:b/>
                  <w:color w:val="0000FF"/>
                  <w:sz w:val="18"/>
                  <w:u w:val="single"/>
                </w:rPr>
                <w:t>OTHER INFORMATION</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89">
              <w:r>
                <w:rPr>
                  <w:rStyle w:val="InternetLink"/>
                  <w:rFonts w:ascii="Franklin Gothic Book;sans-serif" w:hAnsi="Franklin Gothic Book;sans-serif"/>
                  <w:b w:val="false"/>
                  <w:color w:val="0000FF"/>
                  <w:sz w:val="18"/>
                  <w:u w:val="single"/>
                </w:rPr>
                <w:t>Legal Proceedings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89">
              <w:r>
                <w:rPr>
                  <w:rStyle w:val="InternetLink"/>
                  <w:rFonts w:ascii="Franklin Gothic Book;sans-serif" w:hAnsi="Franklin Gothic Book;sans-serif"/>
                  <w:b w:val="false"/>
                  <w:color w:val="0000FF"/>
                  <w:sz w:val="18"/>
                  <w:u w:val="single"/>
                </w:rPr>
                <w:t>80</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1A.</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92">
              <w:r>
                <w:rPr>
                  <w:rStyle w:val="InternetLink"/>
                  <w:rFonts w:ascii="Franklin Gothic Book;sans-serif" w:hAnsi="Franklin Gothic Book;sans-serif"/>
                  <w:b w:val="false"/>
                  <w:color w:val="0000FF"/>
                  <w:sz w:val="18"/>
                  <w:u w:val="single"/>
                </w:rPr>
                <w:t>Risk Factors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92">
              <w:r>
                <w:rPr>
                  <w:rStyle w:val="InternetLink"/>
                  <w:rFonts w:ascii="Franklin Gothic Book;sans-serif" w:hAnsi="Franklin Gothic Book;sans-serif"/>
                  <w:b w:val="false"/>
                  <w:color w:val="0000FF"/>
                  <w:sz w:val="18"/>
                  <w:u w:val="single"/>
                </w:rPr>
                <w:t>81</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2.</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95">
              <w:r>
                <w:rPr>
                  <w:rStyle w:val="InternetLink"/>
                  <w:rFonts w:ascii="Franklin Gothic Book;sans-serif" w:hAnsi="Franklin Gothic Book;sans-serif"/>
                  <w:b w:val="false"/>
                  <w:color w:val="0000FF"/>
                  <w:sz w:val="18"/>
                  <w:u w:val="single"/>
                </w:rPr>
                <w:t>Unregistered Sales of Equity Securities and Use of Proceeds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95">
              <w:r>
                <w:rPr>
                  <w:rStyle w:val="InternetLink"/>
                  <w:rFonts w:ascii="Franklin Gothic Book;sans-serif" w:hAnsi="Franklin Gothic Book;sans-serif"/>
                  <w:b w:val="false"/>
                  <w:color w:val="0000FF"/>
                  <w:sz w:val="18"/>
                  <w:u w:val="single"/>
                </w:rPr>
                <w:t>96</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5.</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298">
              <w:r>
                <w:rPr>
                  <w:rStyle w:val="InternetLink"/>
                  <w:rFonts w:ascii="Franklin Gothic Book;sans-serif" w:hAnsi="Franklin Gothic Book;sans-serif"/>
                  <w:b w:val="false"/>
                  <w:color w:val="0000FF"/>
                  <w:sz w:val="18"/>
                  <w:u w:val="single"/>
                </w:rPr>
                <w:t>Other Information</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298">
              <w:r>
                <w:rPr>
                  <w:rStyle w:val="InternetLink"/>
                  <w:rFonts w:ascii="Franklin Gothic Book;sans-serif" w:hAnsi="Franklin Gothic Book;sans-serif"/>
                  <w:b w:val="false"/>
                  <w:color w:val="0000FF"/>
                  <w:sz w:val="18"/>
                  <w:u w:val="single"/>
                </w:rPr>
                <w:t>96</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6.</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304">
              <w:r>
                <w:rPr>
                  <w:rStyle w:val="InternetLink"/>
                  <w:rFonts w:ascii="Franklin Gothic Book;sans-serif" w:hAnsi="Franklin Gothic Book;sans-serif"/>
                  <w:b w:val="false"/>
                  <w:color w:val="0000FF"/>
                  <w:sz w:val="18"/>
                  <w:u w:val="single"/>
                </w:rPr>
                <w:t>Exhibits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304">
              <w:r>
                <w:rPr>
                  <w:rStyle w:val="InternetLink"/>
                  <w:rFonts w:ascii="Franklin Gothic Book;sans-serif" w:hAnsi="Franklin Gothic Book;sans-serif"/>
                  <w:b w:val="false"/>
                  <w:color w:val="0000FF"/>
                  <w:sz w:val="18"/>
                  <w:u w:val="single"/>
                </w:rPr>
                <w:t>97</w:t>
              </w:r>
            </w:hyperlink>
          </w:p>
        </w:tc>
      </w:tr>
      <w:tr>
        <w:trPr/>
        <w:tc>
          <w:tcPr>
            <w:tcW w:w="8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ca933a2247640d8a46a59d585a7b24a_310">
              <w:r>
                <w:rPr>
                  <w:rStyle w:val="InternetLink"/>
                  <w:rFonts w:ascii="Franklin Gothic Book;sans-serif" w:hAnsi="Franklin Gothic Book;sans-serif"/>
                  <w:b w:val="false"/>
                  <w:color w:val="0000FF"/>
                  <w:sz w:val="18"/>
                  <w:u w:val="single"/>
                </w:rPr>
                <w:t>Signatures</w:t>
              </w:r>
            </w:hyperlink>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a933a2247640d8a46a59d585a7b24a_310">
              <w:r>
                <w:rPr>
                  <w:rStyle w:val="InternetLink"/>
                  <w:rFonts w:ascii="Franklin Gothic Book;sans-serif" w:hAnsi="Franklin Gothic Book;sans-serif"/>
                  <w:b w:val="false"/>
                  <w:color w:val="0000FF"/>
                  <w:sz w:val="18"/>
                  <w:u w:val="single"/>
                </w:rPr>
                <w:t>98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80" w:after="283"/>
        <w:jc w:val="left"/>
        <w:rPr>
          <w:rFonts w:ascii="Franklin Gothic Medium;sans-serif" w:hAnsi="Franklin Gothic Medium;sans-serif"/>
          <w:b/>
          <w:color w:val="0070C0"/>
          <w:sz w:val="28"/>
        </w:rPr>
      </w:pPr>
      <w:r>
        <w:rPr>
          <w:rFonts w:ascii="Franklin Gothic Medium;sans-serif" w:hAnsi="Franklin Gothic Medium;sans-serif"/>
          <w:b/>
          <w:color w:val="0070C0"/>
          <w:sz w:val="28"/>
        </w:rPr>
        <w:t>NOTE REGARDING FORWARD-LOOKING STATEMENTS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This report contains forward-looking statements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"outlook," “plan,” “possible,” "potential," “predict,” “project,” “should,” “target,” “will,” “would” or the negative of these words or other words and terms of similar meaning. Given their forward-looking nature, these statements involve substantial risks and uncertainties and may be based on inaccurate assumptions. This report includes, among others, forward-looking statements regarding:</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expected financial and operating performance;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long-term strategy and supporting business plans, including our product pipeline;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expectations about continued growth through acquisitions and key collaborative relationships and funding arrangements;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belief that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ability to obtain and maintain adequate coverage, pricing and reimbursement from third-party payors;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expectations regarding certain legal and regulatory proceedings and investigations; and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belief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be materially different from those stated or implied in this document, including, among others, factors relating to:</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substantial dependence on the anticipated amount, timing and accounting of revenue from our products, including from the successful development of new products and approval of additional indications for our existing products, including but not limited to LEQEMBI and SKYCLARYS; </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anticipated amount, timing and accounting of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 including for goodwill balances;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expectations, plans, prospects and the timing of actions relating to product approvals, approvals of additional indications for our existing products, sales, pricing, growth, reimbursement and launch of our marketed and pipeline products all of which is subject to governmental and regulatory oversight, and therefore subject to risks, including but not limited to those related to approvals, unfavorable or delayed reimbursements and coverage determinations, and changes in reimbursement policies or practices of payors and other third parties;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including generic, prodrugs or biosimilar versions of our marketed products or competing products, including but not limited to, increased competition from TECFIDERA generic entrants in the U.S. and international markets and a biosimilar entrant of TYSABRI;</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patent terms, patent term extensions, patent office actions and expected availability and periods of regulatory exclusivity, as well as our ability to adequately enforce existing patents, including our European patent related to TECFIDERA;</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effectively implement our corporate strategy which includes significant investment in product and pipeline candidates, including but not limited to felzartamab, litifilimab and nusinersen;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successful execution of our strategic and growth initiatives, including acquisitions, and our ability to realize the anticipated benefits from our acquisitions of Reata and HI-Bio, including future performance of the SKYCLARYS product and further development of the felzartamab product and anticipated synergies;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drivers for growing our business, including our plans and intention to commit resources relating to discovery, research and development programs and business development opportunities, including collaboration agreements, as well as the potential benefits and results of, and the anticipated completion of, certain business development transactions, reorganizations and cost-reduction measures, including our Fit for Growth program;</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expectations, development plans and anticipated timelines, including costs and timing of potential clinical trials, regulatory filing approvals and/or discontinuation, of our products, drug candidates and pipeline programs, including collaborations with third parties including but not limited to Eisai and Sage, as well as the potential therapeutic scope of the development and commercialization of our and our collaborators’ pipeline products;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impacts of disruptions, turnover or changes in strategy, priorities or capabilities at our collaborators resulting from, for example, a change in control, and the related impacts on the commercialization or manufacturing of our shared products;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timing, outcome and impact of administrative, regulatory, legal and other proceedings, including those related to our patents and other proprietary and intellectual property rights, tax audits, assessments and settlements, pricing matters, sales and promotional practices, product liability, investigations and other matters;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commercialize biosimilars, which is subject to risks such as our reliance on third parties, competitive challenges, regulatory compliance, adequate supply, intellectual property and regulatory challenges and failure to gain market and patient acceptance;</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finance our present and future operations and business initiatives and obtain funding for such activities on favorable terms;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ability to attract, retain and motivate qualified individuals for management and other employee positions in a highly competitive environment, including potential difficulty in retaining talent following acquisitions or following the discontinuation or underperformance of one or more marketed, pre-clinical or clinical programs;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adverse safety events involving our marketed or pipeline products, generic, prodrugs or biosimilar versions of our marketed products or any other products from the same class as one of our products;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tensions between the U.S., China and other countries, regions affected by Russia's invasion of Ukraine and the military conflict in the Middle East;</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direct and indirect impact of global health outbreaks or adverse weather events on our business and operations, including sales, expense, reserves and allowances, the supply chain, manufacturing, research and development costs, clinical trials and employees;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use of information technology systems and data and the potential impacts of any breakdowns, interruptions, invasions, corruptions, data breaches, destructions and/or other cybersecurity incidents of such systems or those of our business partners;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our incorporation of technologies using AI into some of our processes;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potential impact of healthcare reform in the U.S., including the IRA (or other legislative acts that may modify or replace the IRA, such as the OBBBA) and the impact of the IRA Medicare Part D redesign, and measures being taken worldwide designed to reduce healthcare costs and limit the overall level of government expenditures, including the impact of pricing actions and reduced reimbursement for our products, as well as the potential impact of legislative and regulatory changes and priorities;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 xml:space="preserve">our manufacturing capacity, including our ability to effectively manufacture biosimilars, reliance on third-party contract manufacturing organizations, plans and timing relating to changes in our manufacturing capabilities, our ability to adequately address global bulk supply risks, our ability to fully utilize our manufacturing facilities, including our Solothurn facility, activities in new or existing manufacturing facilities and the expected timeline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gene therapy, clinical packaging and other manufacturing facility in RTP, North Carolina to be operational;</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 of the continued uncertainty of the credit and economic conditions in certain countries and our ability to collect accounts receivable in such countries;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 of the increased volatility in the financial markets on our ability to obtain financing;</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lease commitments, purchase obligations and the timing and satisfaction of other contractual obligations;</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changes in our effective tax rate and obligations in various jurisdictions in which we are subject to taxation; and</w:t>
      </w:r>
    </w:p>
    <w:p>
      <w:pPr>
        <w:pStyle w:val="TextBody"/>
        <w:bidi w:val="0"/>
        <w:spacing w:lineRule="auto" w:line="288" w:before="140" w:after="283"/>
        <w:ind w:left="0" w:right="0" w:hanging="360"/>
        <w:jc w:val="left"/>
        <w:rPr/>
      </w:pPr>
      <w:r>
        <w:rPr>
          <w:color w:val="000000"/>
        </w:rPr>
        <w:t>•</w:t>
      </w:r>
      <w:r>
        <w:rPr>
          <w:rFonts w:ascii="Franklin Gothic Book;sans-serif" w:hAnsi="Franklin Gothic Book;sans-serif"/>
          <w:b w:val="false"/>
          <w:color w:val="000000"/>
          <w:sz w:val="20"/>
        </w:rPr>
        <w:t>the impact of new laws, regulatory actions, judicial decisions, accounting standards and tariffs or trade restrictions, including any newly imposed U.S. tariffs and any responsive non-U.S. tariffs applicable to our products or operations, as well as the potential global macroeconomic effect of tariffs or trade restrictions.</w:t>
      </w:r>
    </w:p>
    <w:p>
      <w:pPr>
        <w:pStyle w:val="TextBody"/>
        <w:bidi w:val="0"/>
        <w:spacing w:lineRule="auto" w:line="288" w:before="180" w:after="283"/>
        <w:jc w:val="left"/>
        <w:rPr/>
      </w:pPr>
      <w:r>
        <w:rPr>
          <w:rFonts w:ascii="Franklin Gothic Book;sans-serif" w:hAnsi="Franklin Gothic Book;sans-serif"/>
          <w:b w:val="false"/>
          <w:color w:val="000000"/>
          <w:sz w:val="20"/>
        </w:rPr>
        <w:t xml:space="preserve">These forward-looking statements involve risks and uncertainties, including those that are described in </w:t>
      </w:r>
      <w:r>
        <w:rPr>
          <w:rFonts w:ascii="Franklin Gothic Book;sans-serif" w:hAnsi="Franklin Gothic Book;sans-serif"/>
          <w:b w:val="false"/>
          <w:i/>
          <w:color w:val="000000"/>
          <w:sz w:val="20"/>
        </w:rPr>
        <w:t>Part II, Item 1A. Risk Factors</w:t>
      </w:r>
      <w:r>
        <w:rPr>
          <w:color w:val="000000"/>
        </w:rPr>
        <w:t xml:space="preserve"> </w:t>
      </w:r>
      <w:r>
        <w:rPr>
          <w:rFonts w:ascii="Franklin Gothic Book;sans-serif" w:hAnsi="Franklin Gothic Book;sans-serif"/>
          <w:b w:val="false"/>
          <w:color w:val="000000"/>
          <w:sz w:val="20"/>
        </w:rPr>
        <w:t xml:space="preserve">and </w:t>
      </w:r>
      <w:r>
        <w:rPr>
          <w:rFonts w:ascii="Franklin Gothic Book;sans-serif" w:hAnsi="Franklin Gothic Book;sans-serif"/>
          <w:b w:val="false"/>
          <w:i/>
          <w:color w:val="000000"/>
          <w:sz w:val="20"/>
        </w:rPr>
        <w:t>Part I,</w:t>
      </w:r>
      <w:r>
        <w:rPr>
          <w:color w:val="000000"/>
        </w:rPr>
        <w:t xml:space="preserve"> </w:t>
      </w:r>
      <w:r>
        <w:rPr>
          <w:rFonts w:ascii="Franklin Gothic Book;sans-serif" w:hAnsi="Franklin Gothic Book;sans-serif"/>
          <w:b w:val="false"/>
          <w:i/>
          <w:color w:val="000000"/>
          <w:sz w:val="20"/>
        </w:rPr>
        <w:t>Item 2. Management's Discussion and Analysis of Financial Condition and Results of Operations</w:t>
      </w:r>
      <w:r>
        <w:rPr>
          <w:color w:val="000000"/>
        </w:rPr>
        <w:t xml:space="preserve"> </w:t>
      </w:r>
      <w:r>
        <w:rPr>
          <w:rFonts w:ascii="Franklin Gothic Book;sans-serif" w:hAnsi="Franklin Gothic Book;sans-serif"/>
          <w:b w:val="false"/>
          <w:color w:val="000000"/>
          <w:sz w:val="20"/>
        </w:rPr>
        <w:t>included in this report and elsewhere in this report, that could cause actual results to differ materially from those reflected in such statements. The factors identified above should not be construed as an exhaustive list of factors that could affect our future results and should be read in conjunction with the other cautionary statements that are included in our 2024 Form 10-K. Because some of these risks and uncertainties cannot be predicted or quantified and some are beyond our control, you should not rely on our forward-looking statements as predictions of future events and you should not place undue reliance on these statements. Moreover, we operate in a very competitive and rapidly changing environment, new risks and uncertainties may emerge from time to time and it is not possible for us to predict all risks nor identify all uncertainties. Forward-looking statements speak only as of the date of this report and are based on information and estimates available to us at this time. Except as required by law, we do not undertake any obligation to publicly update any forward-looking statements, whether as a result of new information, future developments or otherwise. You should read this report with the understanding that our actual future results, performance, events and circumstances might be materially different from what we expect.</w:t>
      </w:r>
    </w:p>
    <w:p>
      <w:pPr>
        <w:pStyle w:val="TextBody"/>
        <w:bidi w:val="0"/>
        <w:spacing w:lineRule="auto" w:line="288" w:before="280" w:after="283"/>
        <w:jc w:val="left"/>
        <w:rPr>
          <w:rFonts w:ascii="Franklin Gothic Medium;sans-serif" w:hAnsi="Franklin Gothic Medium;sans-serif"/>
          <w:b/>
          <w:color w:val="0070C0"/>
          <w:sz w:val="28"/>
        </w:rPr>
      </w:pPr>
      <w:r>
        <w:rPr>
          <w:rFonts w:ascii="Franklin Gothic Medium;sans-serif" w:hAnsi="Franklin Gothic Medium;sans-serif"/>
          <w:b/>
          <w:color w:val="0070C0"/>
          <w:sz w:val="28"/>
        </w:rPr>
        <w:t>NOTE REGARDING COMPANY AND PRODUCT REFERENCES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References in this report to:</w:t>
      </w:r>
    </w:p>
    <w:p>
      <w:pPr>
        <w:pStyle w:val="TextBody"/>
        <w:bidi w:val="0"/>
        <w:spacing w:lineRule="auto" w:line="288" w:before="120" w:after="283"/>
        <w:ind w:left="0" w:right="0" w:hanging="360"/>
        <w:jc w:val="left"/>
        <w:rPr/>
      </w:pPr>
      <w:r>
        <w:rPr>
          <w:color w:val="000000"/>
        </w:rPr>
        <w:t>•“</w:t>
      </w:r>
      <w:r>
        <w:rPr>
          <w:rFonts w:ascii="Franklin Gothic Book;sans-serif" w:hAnsi="Franklin Gothic Book;sans-serif"/>
          <w:b w:val="false"/>
          <w:color w:val="000000"/>
          <w:sz w:val="20"/>
        </w:rPr>
        <w:t>Biogen,” the “company,” “we,” “us” and “our” refer to Biogen Inc. and its consolidated subsidiaries; and</w:t>
      </w:r>
    </w:p>
    <w:p>
      <w:pPr>
        <w:pStyle w:val="TextBody"/>
        <w:bidi w:val="0"/>
        <w:spacing w:lineRule="auto" w:line="288" w:before="120" w:after="283"/>
        <w:ind w:left="0" w:right="0" w:hanging="360"/>
        <w:jc w:val="left"/>
        <w:rPr/>
      </w:pPr>
      <w:r>
        <w:rPr>
          <w:color w:val="000000"/>
        </w:rPr>
        <w:t>•“</w:t>
      </w:r>
      <w:r>
        <w:rPr>
          <w:rFonts w:ascii="Franklin Gothic Book;sans-serif" w:hAnsi="Franklin Gothic Book;sans-serif"/>
          <w:b w:val="false"/>
          <w:color w:val="000000"/>
          <w:sz w:val="20"/>
        </w:rPr>
        <w:t>RITUXAN” refers to both RITUXAN (the trade name for rituximab in the U.S., Canada and Japan) and MabThera (the trade name for rituximab outside the U.S., Canada and Japan).</w:t>
      </w:r>
    </w:p>
    <w:p>
      <w:pPr>
        <w:pStyle w:val="TextBody"/>
        <w:bidi w:val="0"/>
        <w:spacing w:lineRule="auto" w:line="288" w:before="280" w:after="283"/>
        <w:jc w:val="left"/>
        <w:rPr>
          <w:rFonts w:ascii="Franklin Gothic Medium;sans-serif" w:hAnsi="Franklin Gothic Medium;sans-serif"/>
          <w:b/>
          <w:color w:val="0070C0"/>
          <w:sz w:val="28"/>
        </w:rPr>
      </w:pPr>
      <w:r>
        <w:rPr>
          <w:rFonts w:ascii="Franklin Gothic Medium;sans-serif" w:hAnsi="Franklin Gothic Medium;sans-serif"/>
          <w:b/>
          <w:color w:val="0070C0"/>
          <w:sz w:val="28"/>
        </w:rPr>
        <w:t>NOTE REGARDING TRADEMARKS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ADUHELM®, AVONEX®, BYOOVIZ®, PLEGRIDY®, QALSODY®, RITUXAN®, RITUXAN HYCELA®, SKYCLARYS®, SPINRAZA®, TECFIDERA®, TYSABRI® and VUMERITY® are registered trademarks of Biogen.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BENEPALI™, FLIXABI™, FUMADERM™, IMRALDI™ and OPUVIZ™ are trademarks of Biogen.</w:t>
      </w:r>
    </w:p>
    <w:p>
      <w:pPr>
        <w:pStyle w:val="TextBody"/>
        <w:bidi w:val="0"/>
        <w:spacing w:lineRule="auto" w:line="288" w:before="120" w:after="283"/>
        <w:jc w:val="left"/>
        <w:rPr/>
      </w:pPr>
      <w:r>
        <w:rPr>
          <w:rFonts w:ascii="Franklin Gothic Book;sans-serif" w:hAnsi="Franklin Gothic Book;sans-serif"/>
          <w:b w:val="false"/>
          <w:color w:val="000000"/>
          <w:sz w:val="20"/>
        </w:rPr>
        <w:t>ACTEMRA®, COLUMVI®, ENBREL®, EYLEA®, GAZYVA®, LEQEMBI®, HUMIRA®, LUCENTIS®, LUNSUMIO®, OCREVUS®, REMICADE®, ZURZUVAE™</w:t>
      </w:r>
      <w:r>
        <w:rPr>
          <w:color w:val="000000"/>
        </w:rPr>
        <w:t xml:space="preserve"> </w:t>
      </w:r>
      <w:r>
        <w:rPr>
          <w:rFonts w:ascii="Franklin Gothic Book;sans-serif" w:hAnsi="Franklin Gothic Book;sans-serif"/>
          <w:b w:val="false"/>
          <w:color w:val="000000"/>
          <w:sz w:val="20"/>
        </w:rPr>
        <w:t>and other trademarks referenced in this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DEFINED TERMS</w:t>
      </w:r>
    </w:p>
    <w:tbl>
      <w:tblPr>
        <w:tblW w:w="10205" w:type="dxa"/>
        <w:jc w:val="center"/>
        <w:tblInd w:w="0" w:type="dxa"/>
        <w:tblLayout w:type="fixed"/>
        <w:tblCellMar>
          <w:top w:w="28" w:type="dxa"/>
          <w:left w:w="28" w:type="dxa"/>
          <w:bottom w:w="28" w:type="dxa"/>
          <w:right w:w="28" w:type="dxa"/>
        </w:tblCellMar>
      </w:tblPr>
      <w:tblGrid>
        <w:gridCol w:w="1022"/>
        <w:gridCol w:w="891"/>
        <w:gridCol w:w="880"/>
        <w:gridCol w:w="2203"/>
        <w:gridCol w:w="2155"/>
        <w:gridCol w:w="3054"/>
      </w:tblGrid>
      <w:tr>
        <w:trPr/>
        <w:tc>
          <w:tcPr>
            <w:tcW w:w="102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2024 Form 10-K</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Annual Report on Form 10-K for the year ended December 31, 2024</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2020 Share Repurchase Program</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Board of Directors authorized program to repurchase up to $5.0 billion of our common stock</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2024 ESPP</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 Inc. 2024 Employee Stock Purchase Plan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2015 ESPP</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 Inc. 2015 Employee Stock Purchase Plan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2023 Term Loan</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$1.5 billion term loan credit agreement</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2025 Senior Notes</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Senior Unsecured Notes Issued in May 2025</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AbbVie</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AbbVie Inc.</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AI</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Artificial Intelligence</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ALS</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Amyotrophic Lateral Sclerosis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AMR</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Antibody-Mediated Rejection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AOCI</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Accumulated Other Comprehensive Income (Loss)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ASO</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Antisense Oligonucleotide</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ASU</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Accounting Standards Update</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BLA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Biologics License Application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CCPA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California Consumer Privacy Act</w:t>
            </w:r>
          </w:p>
        </w:tc>
      </w:tr>
      <w:tr>
        <w:trPr/>
        <w:tc>
          <w:tcPr>
            <w:tcW w:w="2793" w:type="dxa"/>
            <w:gridSpan w:val="3"/>
            <w:tcBorders/>
            <w:vAlign w:val="center"/>
          </w:tcPr>
          <w:p>
            <w:pPr>
              <w:pStyle w:val="TableContents"/>
              <w:bidi w:val="0"/>
              <w:spacing w:before="0" w:after="283"/>
              <w:jc w:val="left"/>
              <w:rPr>
                <w:sz w:val="4"/>
                <w:szCs w:val="4"/>
              </w:rPr>
            </w:pPr>
            <w:r>
              <w:rPr>
                <w:sz w:val="4"/>
                <w:szCs w:val="4"/>
              </w:rPr>
            </w:r>
          </w:p>
        </w:tc>
        <w:tc>
          <w:tcPr>
            <w:tcW w:w="7412"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CLE</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Cutaneous Lupus Erythematosus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CLL</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Chronic Lymphocytic Leukemia</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CMS</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Centers for Medicare &amp; Medicaid Services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CODM</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Chief Operating Decision Maker</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Convergence</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Convergence Pharmaceuticals Ltd.</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CRL</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Complete Response Letter</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CROs</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Research Organizations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DEA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Drug Enforcement Agency</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Denali</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Denali Therapeutics Inc.</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District Court</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District Court for the District of Massachusetts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DOJ</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Department of Justice</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EC</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European Commission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Eisai</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Eisai Co., Ltd.</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EMA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European Medicines Agency</w:t>
            </w:r>
          </w:p>
        </w:tc>
      </w:tr>
      <w:tr>
        <w:trPr/>
        <w:tc>
          <w:tcPr>
            <w:tcW w:w="2793" w:type="dxa"/>
            <w:gridSpan w:val="3"/>
            <w:tcBorders/>
            <w:vAlign w:val="center"/>
          </w:tcPr>
          <w:p>
            <w:pPr>
              <w:pStyle w:val="TableContents"/>
              <w:bidi w:val="0"/>
              <w:spacing w:before="0" w:after="283"/>
              <w:jc w:val="left"/>
              <w:rPr>
                <w:sz w:val="4"/>
                <w:szCs w:val="4"/>
              </w:rPr>
            </w:pPr>
            <w:r>
              <w:rPr>
                <w:sz w:val="4"/>
                <w:szCs w:val="4"/>
              </w:rPr>
            </w:r>
          </w:p>
        </w:tc>
        <w:tc>
          <w:tcPr>
            <w:tcW w:w="7412"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E.U.</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European Union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FA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Friedreich Ataxia</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FASB</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Financial Accounting Standards Board</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FCPA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Corrupt Practices Act</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FDA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Food and Drug Administration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Fit for Growth</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saving program initiated in 2023</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G7</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Group of Seven (comprised of Canada, France, Germany, Italy, Japan, the U.K. and the U.S.)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Genentech</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Genentech, Inc.</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GILTI</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Global Intangible Low Tax Income</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GloBE</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Global Anti-Base Erosion</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GMP</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 Manufacturing Practices</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HI-Bio</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Human Immunology Biosciences, Inc.</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Humana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Humana Inc.</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IgAN</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Immunoglobulin A Nephropathy</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IND</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Investigational New Drug</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IPR&amp;D</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In-process Research and Development</w:t>
            </w:r>
          </w:p>
        </w:tc>
      </w:tr>
      <w:tr>
        <w:trPr/>
        <w:tc>
          <w:tcPr>
            <w:tcW w:w="279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IRA</w:t>
            </w:r>
          </w:p>
        </w:tc>
        <w:tc>
          <w:tcPr>
            <w:tcW w:w="741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Inflation Reduction Act of 2022</w:t>
            </w:r>
          </w:p>
        </w:tc>
      </w:tr>
      <w:tr>
        <w:trPr/>
        <w:tc>
          <w:tcPr>
            <w:tcW w:w="2793" w:type="dxa"/>
            <w:gridSpan w:val="3"/>
            <w:tcBorders>
              <w:top w:val="single" w:sz="4" w:space="0" w:color="0070C0"/>
              <w:bottom w:val="single" w:sz="4" w:space="0" w:color="0070C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IT</w:t>
            </w:r>
          </w:p>
        </w:tc>
        <w:tc>
          <w:tcPr>
            <w:tcW w:w="7412" w:type="dxa"/>
            <w:gridSpan w:val="3"/>
            <w:tcBorders>
              <w:top w:val="single" w:sz="4" w:space="0" w:color="0070C0"/>
              <w:bottom w:val="single" w:sz="4" w:space="0" w:color="0070C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Information Technology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DEFINED TERMS (continued)</w:t>
      </w:r>
    </w:p>
    <w:tbl>
      <w:tblPr>
        <w:tblW w:w="10205" w:type="dxa"/>
        <w:jc w:val="center"/>
        <w:tblInd w:w="0" w:type="dxa"/>
        <w:tblLayout w:type="fixed"/>
        <w:tblCellMar>
          <w:top w:w="28" w:type="dxa"/>
          <w:left w:w="28" w:type="dxa"/>
          <w:bottom w:w="28" w:type="dxa"/>
          <w:right w:w="28" w:type="dxa"/>
        </w:tblCellMar>
      </w:tblPr>
      <w:tblGrid>
        <w:gridCol w:w="808"/>
        <w:gridCol w:w="711"/>
        <w:gridCol w:w="714"/>
        <w:gridCol w:w="2507"/>
        <w:gridCol w:w="2256"/>
        <w:gridCol w:w="3209"/>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IV</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Intravenous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LEQEMBI Collaboration Agreement</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Amended and Restated Collaboration Agreement entered into by Biogen MA Inc. and Eisai Co., Ltd. on October 22, 2017, as amended on March 13, 2022</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LRRK2</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Leucine-Rich Repeat Kinase 2</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MAA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Marketing Authorization Application</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MDD</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Major Depressive Disorder</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MorphoSys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MorphoSys AG</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MS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NDA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New Drug Application</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Neurimmune</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Neurimmune SubOne AG</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OBBBA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One Big Beautiful Bill Act</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OECD</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Organization for Economic Co-operation and Development</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ODD</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Orphan Drug Designation</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Organon</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Organon LLC</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PDUFA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Prescription Drug User Fee Act</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PMN</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Primary Membranous Nephropathy</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PPACA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Patient Protection and Affordable Care Act</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PPD</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Postpartum Depression</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PPMS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Primary Progressive MS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PRV</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Priority Review Voucher</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R&amp;D</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Reata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Reata Pharmaceuticals, Inc.</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RMS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Relapsing MS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RNAi</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RNA interference</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RRMS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Relapsing-Remitting MS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RTP</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Triangle Park</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Sage</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Sage Therapeutics, Inc.</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Samsung Bioepis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Samsung Bioepis Co., Ltd.</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Samsung BioLogics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Samsung BioLogics Co., Ltd.</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Sangamo</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Sangamo Therapeutics, Inc.</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SEC</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U.S. Securities and Exchange Commission</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SG&amp;A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SLE</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Systemic Lupus Erythematosus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SMA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Spinal Muscular Atrophy</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SOD1</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Superoxide Dismutase 1</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SWISSMEDIC</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Swiss Agency for Therapeutic Products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Transition Toll Tax</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 one-time mandatory deemed repatriation tax on accumulated foreign subsidiaries' previously untaxed foreign earnings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U.K.</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Kingdom</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U.S.</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States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U.S. GAAP</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Accounting Principles Generally Accepted in the U.S.</w:t>
            </w:r>
          </w:p>
        </w:tc>
      </w:tr>
      <w:tr>
        <w:trPr/>
        <w:tc>
          <w:tcPr>
            <w:tcW w:w="2233" w:type="dxa"/>
            <w:gridSpan w:val="3"/>
            <w:tcBorders>
              <w:top w:val="single" w:sz="4" w:space="0" w:color="0070C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VA</w:t>
            </w:r>
          </w:p>
        </w:tc>
        <w:tc>
          <w:tcPr>
            <w:tcW w:w="7972" w:type="dxa"/>
            <w:gridSpan w:val="3"/>
            <w:tcBorders>
              <w:top w:val="single" w:sz="4" w:space="0" w:color="0070C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Veterans Affairs</w:t>
            </w:r>
          </w:p>
        </w:tc>
      </w:tr>
      <w:tr>
        <w:trPr/>
        <w:tc>
          <w:tcPr>
            <w:tcW w:w="2233" w:type="dxa"/>
            <w:gridSpan w:val="3"/>
            <w:tcBorders>
              <w:top w:val="single" w:sz="4" w:space="0" w:color="0070C0"/>
              <w:bottom w:val="single" w:sz="4" w:space="0" w:color="0070C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VAT</w:t>
            </w:r>
          </w:p>
        </w:tc>
        <w:tc>
          <w:tcPr>
            <w:tcW w:w="7972" w:type="dxa"/>
            <w:gridSpan w:val="3"/>
            <w:tcBorders>
              <w:top w:val="single" w:sz="4" w:space="0" w:color="0070C0"/>
              <w:bottom w:val="single" w:sz="4" w:space="0" w:color="0070C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Value-added Tax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INCOME</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6"/>
        <w:gridCol w:w="976"/>
        <w:gridCol w:w="979"/>
        <w:gridCol w:w="255"/>
        <w:gridCol w:w="1003"/>
        <w:gridCol w:w="123"/>
        <w:gridCol w:w="123"/>
        <w:gridCol w:w="123"/>
        <w:gridCol w:w="123"/>
        <w:gridCol w:w="255"/>
        <w:gridCol w:w="1003"/>
        <w:gridCol w:w="123"/>
        <w:gridCol w:w="109"/>
        <w:gridCol w:w="109"/>
        <w:gridCol w:w="109"/>
        <w:gridCol w:w="248"/>
        <w:gridCol w:w="973"/>
        <w:gridCol w:w="119"/>
        <w:gridCol w:w="119"/>
        <w:gridCol w:w="119"/>
        <w:gridCol w:w="119"/>
        <w:gridCol w:w="248"/>
        <w:gridCol w:w="973"/>
        <w:gridCol w:w="178"/>
      </w:tblGrid>
      <w:tr>
        <w:trPr/>
        <w:tc>
          <w:tcPr>
            <w:tcW w:w="16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Six Months Ended June 30,</w:t>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2024</w:t>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w:t>
            </w:r>
          </w:p>
        </w:tc>
        <w:tc>
          <w:tcPr>
            <w:tcW w:w="13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Product revenue, net</w:t>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1,878.7 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1,899.6 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3,605.2 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3,611.5 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from anti-CD20 therapeutic programs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467.3 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444.5 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845.5 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838.5 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Alzheimer's collaboration revenue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54.9 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87.9 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Contract manufacturing, royalty and other revenue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244.6 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537.9 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290.8 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revenue</w:t>
            </w:r>
          </w:p>
        </w:tc>
        <w:tc>
          <w:tcPr>
            <w:tcW w:w="12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2,645.5 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2,464.9 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5,076.5 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4,755.4 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and expense:</w:t>
            </w:r>
          </w:p>
        </w:tc>
        <w:tc>
          <w:tcPr>
            <w:tcW w:w="13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of sales, excluding amortization and impairment of acquired intangible assets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605.0 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546.0 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1,234.3 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1,088.2 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Research and development</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399.0 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505.4 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833.1 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950.8 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Acquired in-process research and development, upfront and milestone expense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46.6 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8"/>
              </w:rPr>
            </w:pPr>
            <w:r>
              <w:rPr>
                <w:rFonts w:ascii="Franklin Gothic Book;sans-serif" w:hAnsi="Franklin Gothic Book;sans-serif"/>
                <w:b w:val="false"/>
                <w:color w:val="0070C0"/>
                <w:sz w:val="18"/>
              </w:rPr>
              <w:t>247.3 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Selling, general and administrative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583.8 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553.8 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1,156.3 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1,135.3 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and impairment of acquired intangible assets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130.9 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86.9 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242.7 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165.2 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Collaboration profit sharing/(loss reimbursement)</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75.0 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133.1 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128.0 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 loss on fair value remeasurement of contingent consideration</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22.8 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Restructuring charges</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(0.7)</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34.6 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 on sale of priority review voucher, net</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(88.6)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(88.6)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(income) expense, net</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48.7 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85.2 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117.1 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178.9 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cost and expense</w:t>
            </w:r>
          </w:p>
        </w:tc>
        <w:tc>
          <w:tcPr>
            <w:tcW w:w="12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1,901.5 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1,766.2 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4,021.3 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3,591.9 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before income tax (benefit) expense</w:t>
            </w:r>
          </w:p>
        </w:tc>
        <w:tc>
          <w:tcPr>
            <w:tcW w:w="12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744.0 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698.7 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1,055.2 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1,163.5 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tax (benefit) expense</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109.2 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115.1 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179.9 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186.5 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634.8 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583.6 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875.3 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977.0 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per share:</w:t>
            </w:r>
          </w:p>
        </w:tc>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4.33 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5.98 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6.72 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4.33 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5.97 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6.70 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Weighted-average shares used in calculating:</w:t>
            </w:r>
          </w:p>
        </w:tc>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146.5 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146.3 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12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146.7 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146.7 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COMPREHENSIVE INCOME</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1"/>
        <w:gridCol w:w="1123"/>
        <w:gridCol w:w="1128"/>
        <w:gridCol w:w="293"/>
        <w:gridCol w:w="917"/>
        <w:gridCol w:w="141"/>
        <w:gridCol w:w="141"/>
        <w:gridCol w:w="141"/>
        <w:gridCol w:w="141"/>
        <w:gridCol w:w="293"/>
        <w:gridCol w:w="917"/>
        <w:gridCol w:w="141"/>
        <w:gridCol w:w="109"/>
        <w:gridCol w:w="109"/>
        <w:gridCol w:w="109"/>
        <w:gridCol w:w="280"/>
        <w:gridCol w:w="876"/>
        <w:gridCol w:w="135"/>
        <w:gridCol w:w="135"/>
        <w:gridCol w:w="135"/>
        <w:gridCol w:w="135"/>
        <w:gridCol w:w="280"/>
        <w:gridCol w:w="876"/>
        <w:gridCol w:w="199"/>
      </w:tblGrid>
      <w:tr>
        <w:trPr/>
        <w:tc>
          <w:tcPr>
            <w:tcW w:w="145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Six Months Ended June 30,</w:t>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2024</w:t>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634.8 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583.6 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8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875.3 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977.0 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comprehensive income (loss):</w:t>
            </w:r>
          </w:p>
        </w:tc>
        <w:tc>
          <w:tcPr>
            <w:tcW w:w="1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cash flow hedges, net of tax</w:t>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(105.8)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(163.6)</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34.8 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pension benefit obligation, net of tax</w:t>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(0.1)</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Currency translation adjustments, net of tax</w:t>
            </w:r>
          </w:p>
        </w:tc>
        <w:tc>
          <w:tcPr>
            <w:tcW w:w="12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41.6 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60.7 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(27.0)</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other comprehensive income (loss), net of tax</w:t>
            </w:r>
          </w:p>
        </w:tc>
        <w:tc>
          <w:tcPr>
            <w:tcW w:w="12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(63.6)</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(101.9)</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7.7 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Comprehensive income (loss) attributable to Biogen Inc.</w:t>
            </w:r>
          </w:p>
        </w:tc>
        <w:tc>
          <w:tcPr>
            <w:tcW w:w="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9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571.2 </w:t>
            </w:r>
          </w:p>
        </w:tc>
        <w:tc>
          <w:tcPr>
            <w:tcW w:w="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9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598.1 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8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773.4 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984.7 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70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BALANCE SHEETS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 except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57"/>
        <w:gridCol w:w="1832"/>
        <w:gridCol w:w="1804"/>
        <w:gridCol w:w="300"/>
        <w:gridCol w:w="1336"/>
        <w:gridCol w:w="144"/>
        <w:gridCol w:w="109"/>
        <w:gridCol w:w="109"/>
        <w:gridCol w:w="109"/>
        <w:gridCol w:w="359"/>
        <w:gridCol w:w="1598"/>
        <w:gridCol w:w="248"/>
      </w:tblGrid>
      <w:tr>
        <w:trPr/>
        <w:tc>
          <w:tcPr>
            <w:tcW w:w="225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26DCE"/>
                <w:sz w:val="18"/>
              </w:rPr>
            </w:pPr>
            <w:r>
              <w:rPr>
                <w:rFonts w:ascii="Franklin Gothic Book;sans-serif" w:hAnsi="Franklin Gothic Book;sans-serif"/>
                <w:b/>
                <w:color w:val="026DCE"/>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 of December 31,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ASSETS</w:t>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assets:</w:t>
            </w:r>
          </w:p>
        </w:tc>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and cash equivalents</w:t>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3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2,758.8 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2,375.0 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 of allowance for doubtful accounts of $2.9 and $2.2, respectively</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1,624.2 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1,404.8 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Due from anti-CD20 therapeutic programs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459.8 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464.0 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Inventory</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2,274.3 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2,460.5 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assets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850.6 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752.5 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assets</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7,967.7 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7,456.8 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Property, plant and equipment, net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3,098.8 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3,181.3 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Operating lease assets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334.5 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356.4 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Intangible assets, net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9,467.5 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9,691.2 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Goodwill</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6,493.1 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6,478.9 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asset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330.9 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324.2 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Investments and other assets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637.7 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560.5 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assets</w:t>
            </w:r>
          </w:p>
        </w:tc>
        <w:tc>
          <w:tcPr>
            <w:tcW w:w="3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28,330.2 </w:t>
            </w:r>
          </w:p>
        </w:tc>
        <w:tc>
          <w:tcPr>
            <w:tcW w:w="1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28,049.3 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LIABILITIES AND EQUITY</w:t>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liabilities:</w:t>
            </w:r>
          </w:p>
        </w:tc>
        <w:tc>
          <w:tcPr>
            <w:tcW w:w="178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portion of notes payable</w:t>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3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1,748.6 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114.8 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548.3 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408.4 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424.2 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Accrued expense and other</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2,660.5 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2,807.7 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liabilities</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3,183.7 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5,528.8 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Notes payable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6,283.7 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4,547.2 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liability</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118.3 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190.5 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Long-term operating lease liabilities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310.9 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334.5 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long-term liabilities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799.6 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732.3 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10,696.2 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11,333.3 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Commitments, contingencies and guarantees</w:t>
            </w:r>
          </w:p>
        </w:tc>
        <w:tc>
          <w:tcPr>
            <w:tcW w:w="17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Equity:</w:t>
            </w:r>
          </w:p>
        </w:tc>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Biogen Inc. shareholders’ equity:</w:t>
            </w:r>
          </w:p>
        </w:tc>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Preferred stock, par value $0.001 per share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Common stock, par value $0.0005 per share</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0.1 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Additional paid-in capital</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714.0 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569.4 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Accumulated other comprehensive income (loss)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(238.1)</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(136.2)</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Retained earnings</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20,135.1 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19,259.8 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Treasury stock, at cost</w:t>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(2,977.1)</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(2,977.1)</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equity</w:t>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17,634.0 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16,716.0 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 and equity</w:t>
            </w:r>
          </w:p>
        </w:tc>
        <w:tc>
          <w:tcPr>
            <w:tcW w:w="3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28,330.2 </w:t>
            </w:r>
          </w:p>
        </w:tc>
        <w:tc>
          <w:tcPr>
            <w:tcW w:w="1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5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28,049.3 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CASH FLOW</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tbl>
      <w:tblPr>
        <w:tblW w:w="10205" w:type="dxa"/>
        <w:jc w:val="left"/>
        <w:tblInd w:w="0" w:type="dxa"/>
        <w:tblLayout w:type="fixed"/>
        <w:tblCellMar>
          <w:top w:w="28" w:type="dxa"/>
          <w:left w:w="28" w:type="dxa"/>
          <w:bottom w:w="28" w:type="dxa"/>
          <w:right w:w="28" w:type="dxa"/>
        </w:tblCellMar>
      </w:tblPr>
      <w:tblGrid>
        <w:gridCol w:w="2519"/>
        <w:gridCol w:w="2182"/>
        <w:gridCol w:w="2188"/>
        <w:gridCol w:w="274"/>
        <w:gridCol w:w="999"/>
        <w:gridCol w:w="141"/>
        <w:gridCol w:w="141"/>
        <w:gridCol w:w="141"/>
        <w:gridCol w:w="141"/>
        <w:gridCol w:w="274"/>
        <w:gridCol w:w="999"/>
        <w:gridCol w:w="206"/>
      </w:tblGrid>
      <w:tr>
        <w:trPr/>
        <w:tc>
          <w:tcPr>
            <w:tcW w:w="251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7"/>
              </w:rPr>
            </w:pPr>
            <w:r>
              <w:rPr>
                <w:rFonts w:ascii="Franklin Gothic Book;sans-serif" w:hAnsi="Franklin Gothic Book;sans-serif"/>
                <w:b/>
                <w:color w:val="000000"/>
                <w:sz w:val="17"/>
              </w:rPr>
              <w:t>For the Six Months Ended June 30,</w:t>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7"/>
              </w:rPr>
            </w:pPr>
            <w:r>
              <w:rPr>
                <w:rFonts w:ascii="Franklin Gothic Book;sans-serif" w:hAnsi="Franklin Gothic Book;sans-serif"/>
                <w:b/>
                <w:color w:val="257ACB"/>
                <w:sz w:val="17"/>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7"/>
              </w:rPr>
            </w:pPr>
            <w:r>
              <w:rPr>
                <w:rFonts w:ascii="Franklin Gothic Book;sans-serif" w:hAnsi="Franklin Gothic Book;sans-serif"/>
                <w:b/>
                <w:color w:val="000000"/>
                <w:sz w:val="17"/>
              </w:rPr>
              <w:t>2024</w:t>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operating activities:</w:t>
            </w:r>
          </w:p>
        </w:tc>
        <w:tc>
          <w:tcPr>
            <w:tcW w:w="14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income</w:t>
            </w:r>
          </w:p>
        </w:tc>
        <w:tc>
          <w:tcPr>
            <w:tcW w:w="27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7"/>
              </w:rPr>
            </w:pPr>
            <w:r>
              <w:rPr>
                <w:rFonts w:ascii="Franklin Gothic Book;sans-serif" w:hAnsi="Franklin Gothic Book;sans-serif"/>
                <w:b w:val="false"/>
                <w:color w:val="257ACB"/>
                <w:sz w:val="17"/>
              </w:rPr>
              <w:t>$</w:t>
            </w:r>
          </w:p>
        </w:tc>
        <w:tc>
          <w:tcPr>
            <w:tcW w:w="9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875.3 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977.0 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Adjustments to reconcile net income to net cash flow from operating activities:</w:t>
            </w:r>
          </w:p>
        </w:tc>
        <w:tc>
          <w:tcPr>
            <w:tcW w:w="1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Depreciation and amortization</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377.5 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306.4 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Impairment of intangible assets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Excess and obsolescence charges related to inventory</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14.3 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44.4 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Amortization of acquired inventory step-up</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103.9 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134.2 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Share-based compensation</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155.9 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143.4 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Contingent consideration</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22.8 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Deferred income taxes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(59.1)</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(47.1)</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(Gain) loss on strategic investments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33.2 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61.6 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Gain on sale of priority review voucher, net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(88.6)</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16.0 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65.0 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Changes in operating assets and liabilities, net of effects of business acquired:</w:t>
            </w:r>
          </w:p>
        </w:tc>
        <w:tc>
          <w:tcPr>
            <w:tcW w:w="1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Accounts receivable</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(170.5)</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12.3 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Due from anti-CD20 therapeutic programs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4.2 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(15.1)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Inventory</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(27.9)</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(188.2)</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Accrued expense and other current liabilities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(318.7)</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(115.6)</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Income tax assets and liabilities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(534.7)</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(7.7)</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 changes in operating assets and liabilities, net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(75.5)</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(103.0)</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operating activities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420.2 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1,179.0 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investing activities:</w:t>
            </w:r>
          </w:p>
        </w:tc>
        <w:tc>
          <w:tcPr>
            <w:tcW w:w="14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Purchases of property, plant and equipment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(63.7)</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(79.4)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sale of equity interest in Samsung Bioepis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406.8 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sale of priority review voucher</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103.0 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Acquisitions of intangible assets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(10.0)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(84.1)</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sales of strategic investments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57.5 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(30.6)</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(3.3)</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investing activities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(104.3)</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400.5 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financing activities:</w:t>
            </w:r>
          </w:p>
        </w:tc>
        <w:tc>
          <w:tcPr>
            <w:tcW w:w="14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Payments related to issuance of stock for share-based compensation arrangements, net</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(18.2)</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(40.8)</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borrowings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1,733.4 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Repayments of borrowings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(1,750.0)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(650.0)</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0.1 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financing activities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(34.7)</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(684.8)</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increase (decrease) in cash and cash equivalents</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281.2 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894.7 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Effect of exchange rate changes on cash and cash equivalents</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102.6 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(35.7)</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Cash and cash equivalents, beginning of the period</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2,375.0 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1,049.9 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Cash and cash equivalents, end of the period</w:t>
            </w:r>
          </w:p>
        </w:tc>
        <w:tc>
          <w:tcPr>
            <w:tcW w:w="2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7"/>
              </w:rPr>
            </w:pPr>
            <w:r>
              <w:rPr>
                <w:rFonts w:ascii="Franklin Gothic Book;sans-serif" w:hAnsi="Franklin Gothic Book;sans-serif"/>
                <w:b w:val="false"/>
                <w:color w:val="257ACB"/>
                <w:sz w:val="17"/>
              </w:rPr>
              <w:t>$</w:t>
            </w:r>
          </w:p>
        </w:tc>
        <w:tc>
          <w:tcPr>
            <w:tcW w:w="9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2,758.8 </w:t>
            </w:r>
          </w:p>
        </w:tc>
        <w:tc>
          <w:tcPr>
            <w:tcW w:w="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1,908.9 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EQUITY</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bidi w:val="0"/>
        <w:spacing w:before="0" w:after="0"/>
        <w:jc w:val="center"/>
        <w:rPr/>
      </w:pPr>
      <w:r>
        <w:rPr/>
      </w:r>
    </w:p>
    <w:tbl>
      <w:tblPr>
        <w:tblW w:w="15022" w:type="dxa"/>
        <w:jc w:val="left"/>
        <w:tblInd w:w="0" w:type="dxa"/>
        <w:tblLayout w:type="fixed"/>
        <w:tblCellMar>
          <w:top w:w="28" w:type="dxa"/>
          <w:left w:w="28" w:type="dxa"/>
          <w:bottom w:w="28" w:type="dxa"/>
          <w:right w:w="28" w:type="dxa"/>
        </w:tblCellMar>
      </w:tblPr>
      <w:tblGrid>
        <w:gridCol w:w="851"/>
        <w:gridCol w:w="287"/>
        <w:gridCol w:w="288"/>
        <w:gridCol w:w="245"/>
        <w:gridCol w:w="245"/>
        <w:gridCol w:w="246"/>
        <w:gridCol w:w="109"/>
        <w:gridCol w:w="109"/>
        <w:gridCol w:w="109"/>
        <w:gridCol w:w="231"/>
        <w:gridCol w:w="480"/>
        <w:gridCol w:w="130"/>
        <w:gridCol w:w="109"/>
        <w:gridCol w:w="109"/>
        <w:gridCol w:w="109"/>
        <w:gridCol w:w="278"/>
        <w:gridCol w:w="278"/>
        <w:gridCol w:w="246"/>
        <w:gridCol w:w="109"/>
        <w:gridCol w:w="109"/>
        <w:gridCol w:w="109"/>
        <w:gridCol w:w="242"/>
        <w:gridCol w:w="464"/>
        <w:gridCol w:w="135"/>
        <w:gridCol w:w="109"/>
        <w:gridCol w:w="109"/>
        <w:gridCol w:w="109"/>
        <w:gridCol w:w="246"/>
        <w:gridCol w:w="698"/>
        <w:gridCol w:w="137"/>
        <w:gridCol w:w="109"/>
        <w:gridCol w:w="109"/>
        <w:gridCol w:w="109"/>
        <w:gridCol w:w="339"/>
        <w:gridCol w:w="988"/>
        <w:gridCol w:w="189"/>
        <w:gridCol w:w="109"/>
        <w:gridCol w:w="109"/>
        <w:gridCol w:w="109"/>
        <w:gridCol w:w="196"/>
        <w:gridCol w:w="781"/>
        <w:gridCol w:w="109"/>
        <w:gridCol w:w="109"/>
        <w:gridCol w:w="109"/>
        <w:gridCol w:w="109"/>
        <w:gridCol w:w="245"/>
        <w:gridCol w:w="245"/>
        <w:gridCol w:w="246"/>
        <w:gridCol w:w="109"/>
        <w:gridCol w:w="109"/>
        <w:gridCol w:w="109"/>
        <w:gridCol w:w="196"/>
        <w:gridCol w:w="706"/>
        <w:gridCol w:w="109"/>
        <w:gridCol w:w="109"/>
        <w:gridCol w:w="109"/>
        <w:gridCol w:w="109"/>
        <w:gridCol w:w="109"/>
        <w:gridCol w:w="109"/>
        <w:gridCol w:w="109"/>
        <w:gridCol w:w="109"/>
        <w:gridCol w:w="109"/>
        <w:gridCol w:w="109"/>
        <w:gridCol w:w="109"/>
        <w:gridCol w:w="109"/>
        <w:gridCol w:w="196"/>
        <w:gridCol w:w="78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2" w:type="dxa"/>
            <w:gridSpan w:val="55"/>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Three Months Ended June 30, 2025</w:t>
            </w:r>
          </w:p>
        </w:tc>
        <w:tc>
          <w:tcPr>
            <w:tcW w:w="1894" w:type="dxa"/>
            <w:gridSpan w:val="10"/>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equity</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March 31, 2025</w:t>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170.3 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629.9 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(174.5)</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19,500.3 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16,978.7 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634.8 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634.8 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(63.6)</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(63.6)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6.9 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(0.8)</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78.1 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2025</w:t>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170.4 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714.0 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(238.1)</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20,135.1 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17,634.0 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2" w:type="dxa"/>
            <w:gridSpan w:val="55"/>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Six Months Ended June 30, 2025</w:t>
            </w:r>
          </w:p>
        </w:tc>
        <w:tc>
          <w:tcPr>
            <w:tcW w:w="1894" w:type="dxa"/>
            <w:gridSpan w:val="10"/>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December 31, 2024</w:t>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169.5 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569.4 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(136.2)</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19,259.8 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16,716.0 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875.3 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875.3 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(101.9)</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(101.9)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0.3 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22.1 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0.6 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(40.3)</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(40.3)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162.2 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0.6 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2025</w:t>
            </w:r>
          </w:p>
        </w:tc>
        <w:tc>
          <w:tcPr>
            <w:tcW w:w="49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3BA"/>
              </w:rPr>
            </w:pPr>
            <w:r>
              <w:rPr>
                <w:color w:val="2573BA"/>
              </w:rPr>
              <w:t>— </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3BA"/>
              </w:rPr>
            </w:pPr>
            <w:r>
              <w:rPr>
                <w:color w:val="2573BA"/>
              </w:rPr>
              <w:t>—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170.4 </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714.0 </w:t>
            </w:r>
          </w:p>
        </w:tc>
        <w:tc>
          <w:tcPr>
            <w:tcW w:w="1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(238.1)</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20,135.1 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17,634.0 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EQUITY - (Continued)</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bidi w:val="0"/>
        <w:spacing w:before="0" w:after="0"/>
        <w:jc w:val="center"/>
        <w:rPr/>
      </w:pPr>
      <w:r>
        <w:rPr/>
      </w:r>
    </w:p>
    <w:tbl>
      <w:tblPr>
        <w:tblW w:w="15172" w:type="dxa"/>
        <w:jc w:val="left"/>
        <w:tblInd w:w="0" w:type="dxa"/>
        <w:tblLayout w:type="fixed"/>
        <w:tblCellMar>
          <w:top w:w="28" w:type="dxa"/>
          <w:left w:w="28" w:type="dxa"/>
          <w:bottom w:w="28" w:type="dxa"/>
          <w:right w:w="28" w:type="dxa"/>
        </w:tblCellMar>
      </w:tblPr>
      <w:tblGrid>
        <w:gridCol w:w="851"/>
        <w:gridCol w:w="287"/>
        <w:gridCol w:w="288"/>
        <w:gridCol w:w="245"/>
        <w:gridCol w:w="245"/>
        <w:gridCol w:w="246"/>
        <w:gridCol w:w="109"/>
        <w:gridCol w:w="109"/>
        <w:gridCol w:w="109"/>
        <w:gridCol w:w="244"/>
        <w:gridCol w:w="470"/>
        <w:gridCol w:w="127"/>
        <w:gridCol w:w="109"/>
        <w:gridCol w:w="109"/>
        <w:gridCol w:w="109"/>
        <w:gridCol w:w="308"/>
        <w:gridCol w:w="308"/>
        <w:gridCol w:w="246"/>
        <w:gridCol w:w="109"/>
        <w:gridCol w:w="109"/>
        <w:gridCol w:w="109"/>
        <w:gridCol w:w="244"/>
        <w:gridCol w:w="470"/>
        <w:gridCol w:w="127"/>
        <w:gridCol w:w="109"/>
        <w:gridCol w:w="109"/>
        <w:gridCol w:w="109"/>
        <w:gridCol w:w="243"/>
        <w:gridCol w:w="711"/>
        <w:gridCol w:w="127"/>
        <w:gridCol w:w="109"/>
        <w:gridCol w:w="109"/>
        <w:gridCol w:w="109"/>
        <w:gridCol w:w="336"/>
        <w:gridCol w:w="1005"/>
        <w:gridCol w:w="175"/>
        <w:gridCol w:w="109"/>
        <w:gridCol w:w="109"/>
        <w:gridCol w:w="109"/>
        <w:gridCol w:w="211"/>
        <w:gridCol w:w="871"/>
        <w:gridCol w:w="109"/>
        <w:gridCol w:w="109"/>
        <w:gridCol w:w="109"/>
        <w:gridCol w:w="109"/>
        <w:gridCol w:w="263"/>
        <w:gridCol w:w="263"/>
        <w:gridCol w:w="246"/>
        <w:gridCol w:w="109"/>
        <w:gridCol w:w="109"/>
        <w:gridCol w:w="109"/>
        <w:gridCol w:w="211"/>
        <w:gridCol w:w="781"/>
        <w:gridCol w:w="109"/>
        <w:gridCol w:w="109"/>
        <w:gridCol w:w="109"/>
        <w:gridCol w:w="109"/>
        <w:gridCol w:w="244"/>
        <w:gridCol w:w="1009"/>
        <w:gridCol w:w="128"/>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March 31, 2024</w:t>
            </w:r>
          </w:p>
        </w:tc>
        <w:tc>
          <w:tcPr>
            <w:tcW w:w="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169.4 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329.5 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(160.5)</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18,021.0 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15,213.0 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72.9 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72.9 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2024</w:t>
            </w:r>
          </w:p>
        </w:tc>
        <w:tc>
          <w:tcPr>
            <w:tcW w:w="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169.5 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407.5 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(146.0)</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18,604.6 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15,889.1 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Biogen Inc.</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December 31, 2023</w:t>
            </w:r>
          </w:p>
        </w:tc>
        <w:tc>
          <w:tcPr>
            <w:tcW w:w="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168.7 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302.5 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(153.7)</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17,627.6 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14,799.4 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977.0 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June 30, 2024</w:t>
            </w:r>
          </w:p>
        </w:tc>
        <w:tc>
          <w:tcPr>
            <w:tcW w:w="4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169.5 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407.5 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(146.0)</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18,604.6 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(2,977.1)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15,889.1 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BIOGEN INC. AND SUBSIDIARIES</w:t>
      </w:r>
    </w:p>
    <w:p>
      <w:pPr>
        <w:pStyle w:val="TextBody"/>
        <w:bidi w:val="0"/>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94" w:type="dxa"/>
        <w:jc w:val="left"/>
        <w:tblInd w:w="0" w:type="dxa"/>
        <w:tblLayout w:type="fixed"/>
        <w:tblCellMar>
          <w:top w:w="28" w:type="dxa"/>
          <w:left w:w="28" w:type="dxa"/>
          <w:bottom w:w="28" w:type="dxa"/>
          <w:right w:w="28" w:type="dxa"/>
        </w:tblCellMar>
      </w:tblPr>
      <w:tblGrid>
        <w:gridCol w:w="401"/>
        <w:gridCol w:w="353"/>
        <w:gridCol w:w="355"/>
        <w:gridCol w:w="1750"/>
        <w:gridCol w:w="1750"/>
        <w:gridCol w:w="2485"/>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w:t>
            </w:r>
          </w:p>
        </w:tc>
        <w:tc>
          <w:tcPr>
            <w:tcW w:w="598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Summary of Significant Accounting Policies</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References in these notes to "Biogen," the "company," "we," "us" and "our" refer to Biogen Inc. and its consolidated subsidiaries.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Business Overview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the E.U. and certain international markets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marketed products include TECFIDERA, VUMERITY, AVONEX, PLEGRIDY and TYSABRI for the treatment of MS; SPINRAZA for the treatment of SMA; SKYCLARYS for the treatment of FA; and QALSODY for the treatment of ALS.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have collaborations with Eisai on the commercialization of LEQEMBI for the treatment of Alzheimer's disease and Sage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in certain international markets. We also have commercialization rights related to OPUVIZ, an aflibercept biosimilar referencing EYLEA, in certain international markets.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Note 19, Collaborative and Other Relationships,</w:t>
      </w:r>
      <w:r>
        <w:rPr>
          <w:color w:val="000000"/>
        </w:rPr>
        <w:t xml:space="preserve"> </w:t>
      </w:r>
      <w:r>
        <w:rPr>
          <w:rFonts w:ascii="Franklin Gothic Book;sans-serif" w:hAnsi="Franklin Gothic Book;sans-serif"/>
          <w:b w:val="false"/>
          <w:color w:val="000000"/>
          <w:sz w:val="20"/>
        </w:rPr>
        <w:t>to these unaudited condensed consolidated financial statements (condensed consolidated financial statements).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Basis of Presentation</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the opinion of management, our condensed consolidated financial statements include all adjustments, consisting of normal recurring accruals, necessary for a fair statement of our financial statements for interim periods in accordance with U.S. GAAP. The information included in this quarterly report on Form 10-Q should be read in conjunction with our audited consolidated financial statements and the accompanying notes included in our 2024 Form 10-K. Our accounting policies are described in the </w:t>
      </w:r>
      <w:r>
        <w:rPr>
          <w:rFonts w:ascii="Franklin Gothic Book;sans-serif" w:hAnsi="Franklin Gothic Book;sans-serif"/>
          <w:b w:val="false"/>
          <w:i/>
          <w:color w:val="000000"/>
          <w:sz w:val="20"/>
        </w:rPr>
        <w:t>Notes to Consolidated Financial Statements</w:t>
      </w:r>
      <w:r>
        <w:rPr>
          <w:color w:val="000000"/>
        </w:rPr>
        <w:t xml:space="preserve"> </w:t>
      </w:r>
      <w:r>
        <w:rPr>
          <w:rFonts w:ascii="Franklin Gothic Book;sans-serif" w:hAnsi="Franklin Gothic Book;sans-serif"/>
          <w:b w:val="false"/>
          <w:color w:val="000000"/>
          <w:sz w:val="20"/>
        </w:rPr>
        <w:t>in our 2024 Form 10-K and updated, as necessary, in this report. The year-end condensed consolidated balance sheet data presented for comparative purposes was derived from our audited financial statements, but does not include all disclosures required by U.S. GAAP. The results of operations for the three and six</w:t>
      </w:r>
      <w:r>
        <w:rPr>
          <w:color w:val="000000"/>
        </w:rPr>
        <w:t xml:space="preserve"> </w:t>
      </w:r>
      <w:r>
        <w:rPr>
          <w:rFonts w:ascii="Franklin Gothic Book;sans-serif" w:hAnsi="Franklin Gothic Book;sans-serif"/>
          <w:b w:val="false"/>
          <w:color w:val="000000"/>
          <w:sz w:val="20"/>
        </w:rPr>
        <w:t xml:space="preserve">months ended June 30, 2025, are not necessarily indicative of the operating results for the full year or for any other subsequent interim period.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as one operating segment, focused on discovering, developing and delivering innovative therapies for people living with serious and complex diseases.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During the first quarter of 2025 we began presenting acquired in-process research and development, upfront and milestone expense as a separate line item in our condensed consolidated statements of income. 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 which were previously included in research and development expense. Prior periods have been reclassified to conform to the current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presentation. The reclassification had no impact on our total cost and expense, net income attributable to Biogen Inc., earnings per share or total equity.</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Consolidation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condensed consolidated financial statements reflect our financial statements, those of our wholly-owned subsidiaries and variable interest entities where we are the primary beneficiary. For consolidated entities where we own or are exposed to less than 100.0% of the economics, we record net income (loss) attributable to noncontrolling interests, net of tax in our condensed consolidated statements of income equal to the percentage of the economic or ownership interest retained in such entities by the respective noncontrolling parties. Intercompany balances and transactions are eliminated in consolidation.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Use of Estimates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Significant Accounting Policies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There have been no material changes to our significant accounting policies disclosed in </w:t>
      </w:r>
      <w:r>
        <w:rPr>
          <w:rFonts w:ascii="Franklin Gothic Book;sans-serif" w:hAnsi="Franklin Gothic Book;sans-serif"/>
          <w:b w:val="false"/>
          <w:i/>
          <w:color w:val="000000"/>
          <w:sz w:val="20"/>
        </w:rPr>
        <w:t>Note 1, Summary of Significant Accounting Policies</w:t>
      </w:r>
      <w:r>
        <w:rPr>
          <w:rFonts w:ascii="Franklin Gothic Book;sans-serif" w:hAnsi="Franklin Gothic Book;sans-serif"/>
          <w:b w:val="false"/>
          <w:color w:val="000000"/>
          <w:sz w:val="20"/>
        </w:rPr>
        <w:t>, to our audited consolidated financial statements included in our 2024 Form 10-K.</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New Accounting Pronouncements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From time to time, new accounting pronouncements are issued by the FASB or other standard setting bodies that we adopt as of the specified effective date. Unless otherwise discussed below, we do not believe that the adoption of recently issued standards have had, or may have, a material impact on our condensed consolidated financial statements or disclosures.</w:t>
      </w:r>
    </w:p>
    <w:tbl>
      <w:tblPr>
        <w:tblW w:w="10205" w:type="dxa"/>
        <w:jc w:val="left"/>
        <w:tblInd w:w="0" w:type="dxa"/>
        <w:tblLayout w:type="fixed"/>
        <w:tblCellMar>
          <w:top w:w="28" w:type="dxa"/>
          <w:left w:w="28" w:type="dxa"/>
          <w:bottom w:w="28" w:type="dxa"/>
          <w:right w:w="28" w:type="dxa"/>
        </w:tblCellMar>
      </w:tblPr>
      <w:tblGrid>
        <w:gridCol w:w="682"/>
        <w:gridCol w:w="599"/>
        <w:gridCol w:w="603"/>
        <w:gridCol w:w="109"/>
        <w:gridCol w:w="109"/>
        <w:gridCol w:w="109"/>
        <w:gridCol w:w="1229"/>
        <w:gridCol w:w="1229"/>
        <w:gridCol w:w="1239"/>
        <w:gridCol w:w="109"/>
        <w:gridCol w:w="109"/>
        <w:gridCol w:w="109"/>
        <w:gridCol w:w="569"/>
        <w:gridCol w:w="512"/>
        <w:gridCol w:w="514"/>
        <w:gridCol w:w="109"/>
        <w:gridCol w:w="109"/>
        <w:gridCol w:w="109"/>
        <w:gridCol w:w="668"/>
        <w:gridCol w:w="568"/>
        <w:gridCol w:w="812"/>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Effects on the financial statements</w:t>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8"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pPr>
            <w:r>
              <w:rPr>
                <w:rFonts w:ascii="Franklin Gothic Book;sans-serif" w:hAnsi="Franklin Gothic Book;sans-serif"/>
                <w:b w:val="false"/>
                <w:color w:val="000000"/>
                <w:sz w:val="16"/>
              </w:rPr>
              <w:t xml:space="preserve">ASU No. 2023-09, </w:t>
            </w:r>
            <w:r>
              <w:rPr>
                <w:rFonts w:ascii="Franklin Gothic Book;sans-serif" w:hAnsi="Franklin Gothic Book;sans-serif"/>
                <w:b w:val="false"/>
                <w:i/>
                <w:color w:val="000000"/>
                <w:sz w:val="16"/>
              </w:rPr>
              <w:t>Income Taxes (Topic 740): Improvements to Income Tax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This standard establishes incremental disaggregation of income tax disclosures pertaining to the effective tax rate reconciliation and income taxes paid. The amendments in this update are required to be applied on a prospective basis with the option to apply it retrospectively.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Annual reporting for fiscal years beginning after December 15, 2024.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We are currently evaluating the potential impact that this new standard will have on our consolidated financial statements and related disclosures, and expect to apply this standard prospectively upon adoption.</w:t>
            </w:r>
          </w:p>
        </w:tc>
      </w:tr>
      <w:tr>
        <w:trPr/>
        <w:tc>
          <w:tcPr>
            <w:tcW w:w="1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120" w:after="283"/>
              <w:jc w:val="left"/>
              <w:rPr/>
            </w:pPr>
            <w:r>
              <w:rPr>
                <w:rFonts w:ascii="Franklin Gothic Book;sans-serif" w:hAnsi="Franklin Gothic Book;sans-serif"/>
                <w:b w:val="false"/>
                <w:color w:val="000000"/>
                <w:sz w:val="16"/>
              </w:rPr>
              <w:t xml:space="preserve">ASU No. 2024-03, </w:t>
            </w:r>
            <w:r>
              <w:rPr>
                <w:rFonts w:ascii="Franklin Gothic Book;sans-serif" w:hAnsi="Franklin Gothic Book;sans-serif"/>
                <w:b w:val="false"/>
                <w:i/>
                <w:color w:val="000000"/>
                <w:sz w:val="16"/>
              </w:rPr>
              <w:t>Income Statement (Subtopic 220-40): Reporting Comprehensive Income - Expense Disaggregation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This standard requires disclosure in the notes to the financial statements, at each interim and annual reporting period, of specified information about certain costs and expense including purchases of inventory, employee compensation, depreciation and intangible asset amortization included in each relevant expense caption. This standard also requires a qualitative description of the amounts remaining in relevant expense captions that are not separately disaggregated, as well as disclosure of the total amount of selling expenses, and, in annual reporting periods, an entity’s definition of selling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Annual reporting for fiscal years beginning after December 15, 2026, and interim periods within fiscal years beginning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12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We are currently evaluating the potential impact that this new standard will have on our consolidated financial statements and related disclosures.</w:t>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878" w:type="dxa"/>
        <w:jc w:val="left"/>
        <w:tblInd w:w="0" w:type="dxa"/>
        <w:tblLayout w:type="fixed"/>
        <w:tblCellMar>
          <w:top w:w="28" w:type="dxa"/>
          <w:left w:w="28" w:type="dxa"/>
          <w:bottom w:w="28" w:type="dxa"/>
          <w:right w:w="28" w:type="dxa"/>
        </w:tblCellMar>
      </w:tblPr>
      <w:tblGrid>
        <w:gridCol w:w="401"/>
        <w:gridCol w:w="353"/>
        <w:gridCol w:w="355"/>
        <w:gridCol w:w="517"/>
        <w:gridCol w:w="517"/>
        <w:gridCol w:w="735"/>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w:t>
            </w:r>
          </w:p>
        </w:tc>
        <w:tc>
          <w:tcPr>
            <w:tcW w:w="176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ind w:left="0" w:right="0" w:hanging="540"/>
              <w:jc w:val="left"/>
              <w:rPr>
                <w:rFonts w:ascii="Franklin Gothic Book;sans-serif" w:hAnsi="Franklin Gothic Book;sans-serif"/>
                <w:b/>
                <w:color w:val="0070C0"/>
                <w:sz w:val="24"/>
              </w:rPr>
            </w:pPr>
            <w:r>
              <w:rPr>
                <w:rFonts w:ascii="Franklin Gothic Book;sans-serif" w:hAnsi="Franklin Gothic Book;sans-serif"/>
                <w:b/>
                <w:color w:val="0070C0"/>
                <w:sz w:val="24"/>
              </w:rPr>
              <w:t>Acquisitions</w:t>
            </w:r>
          </w:p>
        </w:tc>
      </w:tr>
    </w:tbl>
    <w:p>
      <w:pPr>
        <w:pStyle w:val="TextBody"/>
        <w:bidi w:val="0"/>
        <w:spacing w:lineRule="auto" w:line="288" w:before="18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Human Immunology Biosciences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July 2, 2024, we completed the acquisition of all of the issued and outstanding shares of HI-Bio, a privately-held clinical-stage biotechnology company focused on targeted therapies for patients with severe immune-mediated diseases. HI-Bio's lead asset, felzartamab, an anti-CD38 antibody, is currently being evaluated for three leading indications, AMR, PMN and IgAN. Felzartamab has received Breakthrough Therapy Designation and ODD from the FDA for development in the treatment of PMN and AMR. Subsequent to our acquisition, felzartamab received ODD in the E.U. in IgAN and solid organ transplantation. The acquisition of HI-Bio is expected to augment our pipeline and build on our expertise in immunology.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Under the terms of this acquisition, we paid shareholders of HI-Bio approximately $1.15 billion at closing and may pay up to an additional </w:t>
      </w:r>
      <w:r>
        <w:rPr>
          <w:rFonts w:ascii="Franklin Gothic Book;sans-serif" w:hAnsi="Franklin Gothic Book;sans-serif"/>
          <w:b w:val="false"/>
          <w:color w:val="000000"/>
          <w:sz w:val="20"/>
          <w:shd w:fill="FFFFFF" w:val="clear"/>
        </w:rPr>
        <w:t>$650.0 million in contingent development and regulatory milestone payments.</w:t>
      </w:r>
      <w:r>
        <w:rPr>
          <w:color w:val="000000"/>
        </w:rPr>
        <w:t xml:space="preserve"> </w:t>
      </w:r>
      <w:r>
        <w:rPr>
          <w:rFonts w:ascii="Franklin Gothic Book;sans-serif" w:hAnsi="Franklin Gothic Book;sans-serif"/>
          <w:b w:val="false"/>
          <w:color w:val="000000"/>
          <w:sz w:val="20"/>
        </w:rPr>
        <w:t xml:space="preserve">The $1.15 billion paid includes approximately $74.5 million related to HI-Bio's outstanding, non-vested equity awards, inclusive of employer taxes, of which $56.4 million was recognized as share-based compensation payments to settle non-vested equity awards attributable to the post-acquisition service period and therefore not reflected as a component of total purchase price paid. Of the total $56.4 million, we recognized approximately $42.5 million as a charge to research and development expense with the remaining $13.9 million as a charge to selling, general and </w:t>
      </w:r>
      <w:r>
        <w:rPr>
          <w:rFonts w:ascii="Franklin Gothic Book;sans-serif" w:hAnsi="Franklin Gothic Book;sans-serif"/>
          <w:b w:val="false"/>
          <w:color w:val="000000"/>
          <w:sz w:val="20"/>
          <w:shd w:fill="FFFFFF" w:val="clear"/>
        </w:rPr>
        <w:t xml:space="preserve">administrative expense within our consolidated statements of income for the year ended December 31, 2024, included in our 2024 Form 10-K. </w:t>
      </w:r>
      <w:r>
        <w:rPr>
          <w:rFonts w:ascii="Franklin Gothic Book;sans-serif" w:hAnsi="Franklin Gothic Book;sans-serif"/>
          <w:b w:val="false"/>
          <w:color w:val="000000"/>
          <w:sz w:val="20"/>
        </w:rPr>
        <w:t>These amounts were associated with the accelerated vesting of stock options and RSUs previously granted to HI-Bio employees and required no future services to vest.</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Upon closing we also paid an additional </w:t>
      </w:r>
      <w:r>
        <w:rPr>
          <w:rFonts w:ascii="Franklin Gothic Book;sans-serif" w:hAnsi="Franklin Gothic Book;sans-serif"/>
          <w:b w:val="false"/>
          <w:color w:val="000000"/>
          <w:sz w:val="20"/>
        </w:rPr>
        <w:t>$43.7 million related to working capital adjustments as of the transaction close date, which was included as a component of total purchase price paid.</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We funded this acquisition through available cash on hand and accounted for this acquisition as a business combination using the acquisition method of accounting in accordance with</w:t>
      </w:r>
      <w:r>
        <w:rPr>
          <w:color w:val="000000"/>
        </w:rPr>
        <w:t xml:space="preserve"> </w:t>
      </w:r>
      <w:r>
        <w:rPr>
          <w:rFonts w:ascii="Franklin Gothic Book;sans-serif" w:hAnsi="Franklin Gothic Book;sans-serif"/>
          <w:b w:val="false"/>
          <w:i/>
          <w:color w:val="000000"/>
          <w:sz w:val="20"/>
        </w:rPr>
        <w:t>ASC Topic 805, Business Combinations</w:t>
      </w:r>
      <w:r>
        <w:rPr>
          <w:rFonts w:ascii="Franklin Gothic Book;sans-serif" w:hAnsi="Franklin Gothic Book;sans-serif"/>
          <w:b w:val="false"/>
          <w:color w:val="000000"/>
          <w:sz w:val="20"/>
        </w:rPr>
        <w:t>, and recorded assets acquired and liabilities assumed at their respective fair values as of the acquisition date.</w:t>
      </w:r>
    </w:p>
    <w:p>
      <w:pPr>
        <w:pStyle w:val="TextBody"/>
        <w:bidi w:val="0"/>
        <w:spacing w:lineRule="auto" w:line="288" w:before="120" w:after="283"/>
        <w:jc w:val="left"/>
        <w:rPr>
          <w:rFonts w:ascii="Franklin Gothic Book;sans-serif" w:hAnsi="Franklin Gothic Book;sans-serif"/>
          <w:b/>
          <w:i/>
          <w:color w:val="0070C0"/>
          <w:sz w:val="22"/>
        </w:rPr>
      </w:pPr>
      <w:r>
        <w:rPr>
          <w:rFonts w:ascii="Franklin Gothic Book;sans-serif" w:hAnsi="Franklin Gothic Book;sans-serif"/>
          <w:b/>
          <w:i/>
          <w:color w:val="0070C0"/>
          <w:sz w:val="22"/>
        </w:rPr>
        <w:t>Purchase Price Consideration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consideration transferred for the acquisition of HI-Bio is summarized as follows:</w:t>
      </w:r>
    </w:p>
    <w:tbl>
      <w:tblPr>
        <w:tblW w:w="6342" w:type="dxa"/>
        <w:jc w:val="left"/>
        <w:tblInd w:w="0" w:type="dxa"/>
        <w:tblLayout w:type="fixed"/>
        <w:tblCellMar>
          <w:top w:w="28" w:type="dxa"/>
          <w:left w:w="28" w:type="dxa"/>
          <w:bottom w:w="28" w:type="dxa"/>
          <w:right w:w="28" w:type="dxa"/>
        </w:tblCellMar>
      </w:tblPr>
      <w:tblGrid>
        <w:gridCol w:w="1512"/>
        <w:gridCol w:w="1328"/>
        <w:gridCol w:w="1345"/>
        <w:gridCol w:w="109"/>
        <w:gridCol w:w="109"/>
        <w:gridCol w:w="109"/>
        <w:gridCol w:w="341"/>
        <w:gridCol w:w="1240"/>
        <w:gridCol w:w="249"/>
      </w:tblGrid>
      <w:tr>
        <w:trPr/>
        <w:tc>
          <w:tcPr>
            <w:tcW w:w="151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5B7F"/>
                <w:sz w:val="16"/>
              </w:rPr>
            </w:pPr>
            <w:r>
              <w:rPr>
                <w:rFonts w:ascii="Franklin Gothic Book;sans-serif" w:hAnsi="Franklin Gothic Book;sans-serif"/>
                <w:b/>
                <w:color w:val="005B7F"/>
                <w:sz w:val="16"/>
              </w:rPr>
              <w:t>As of July 2, 2024</w:t>
            </w:r>
          </w:p>
        </w:tc>
      </w:tr>
      <w:tr>
        <w:trPr/>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Cash consideration paid to HI-Bio shareholders</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5B7F"/>
                <w:sz w:val="16"/>
              </w:rPr>
            </w:pPr>
            <w:r>
              <w:rPr>
                <w:rFonts w:ascii="Franklin Gothic Book;sans-serif" w:hAnsi="Franklin Gothic Book;sans-serif"/>
                <w:b w:val="false"/>
                <w:color w:val="005B7F"/>
                <w:sz w:val="16"/>
              </w:rPr>
              <w:t>$</w:t>
            </w:r>
          </w:p>
        </w:tc>
        <w:tc>
          <w:tcPr>
            <w:tcW w:w="1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1,137.3 </w:t>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485.1 </w:t>
            </w:r>
          </w:p>
        </w:tc>
        <w:tc>
          <w:tcPr>
            <w:tcW w:w="2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5B7F"/>
                <w:sz w:val="16"/>
              </w:rPr>
            </w:pPr>
            <w:r>
              <w:rPr>
                <w:rFonts w:ascii="Franklin Gothic Book;sans-serif" w:hAnsi="Franklin Gothic Book;sans-serif"/>
                <w:b w:val="false"/>
                <w:color w:val="005B7F"/>
                <w:sz w:val="16"/>
              </w:rPr>
              <w:t>$</w:t>
            </w:r>
          </w:p>
        </w:tc>
        <w:tc>
          <w:tcPr>
            <w:tcW w:w="12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1,622.4 </w:t>
            </w:r>
          </w:p>
        </w:tc>
        <w:tc>
          <w:tcPr>
            <w:tcW w:w="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Represents total consideration paid to shareholders of HI-Bio of $1.15 billion, plus an additional $43.7 million related to working capital adjustments as of the transaction close date, less $56.4 million of cash paid for HI-Bio's outstanding, non-vested equity awards, inclusive of employer taxes, which were recognized as compensation attributable to the post-acquisition service period and therefore not reflected as a component of total consideration. </w:t>
      </w:r>
    </w:p>
    <w:p>
      <w:pPr>
        <w:pStyle w:val="TextBody"/>
        <w:bidi w:val="0"/>
        <w:spacing w:lineRule="auto" w:line="288" w:before="120" w:after="283"/>
        <w:jc w:val="left"/>
        <w:rPr/>
      </w:pPr>
      <w:r>
        <w:rPr>
          <w:rFonts w:ascii="Franklin Gothic Book;sans-serif" w:hAnsi="Franklin Gothic Book;sans-serif"/>
          <w:b/>
          <w:color w:val="0070C0"/>
          <w:sz w:val="20"/>
        </w:rPr>
        <w:t>Contingent Consideration:</w:t>
      </w:r>
      <w:r>
        <w:rPr>
          <w:color w:val="000000"/>
        </w:rPr>
        <w:t xml:space="preserve"> </w:t>
      </w:r>
      <w:r>
        <w:rPr>
          <w:rFonts w:ascii="Franklin Gothic Book;sans-serif" w:hAnsi="Franklin Gothic Book;sans-serif"/>
          <w:b w:val="false"/>
          <w:color w:val="000000"/>
          <w:sz w:val="20"/>
        </w:rPr>
        <w:t xml:space="preserve">We may make certain contingent payments to the former shareholders of HI-Bio upon the achievement of certain development and regulatory milestones. As of the acquisition date, the maximum aggregate amount payable for these potential milestones was $650.0 million. The acquisition-date fair value of these milestones was approximately $485.1 million and was estimated utilizing a probability-adjusted discounted cash flow calculation using an appropriate discount rate dependent on the nature and timing of the milestone payments, which ranged from </w:t>
      </w:r>
      <w:r>
        <w:rPr>
          <w:rFonts w:ascii="Franklin Gothic Book;sans-serif" w:hAnsi="Franklin Gothic Book;sans-serif"/>
          <w:b w:val="false"/>
          <w:color w:val="000000"/>
          <w:sz w:val="20"/>
          <w:shd w:fill="FFFFFF" w:val="clear"/>
        </w:rPr>
        <w:t xml:space="preserve">6.2% to 7.0%, and </w:t>
      </w:r>
      <w:r>
        <w:rPr>
          <w:rFonts w:ascii="Franklin Gothic Book;sans-serif" w:hAnsi="Franklin Gothic Book;sans-serif"/>
          <w:b w:val="false"/>
          <w:color w:val="000000"/>
          <w:sz w:val="20"/>
        </w:rPr>
        <w:t>probabilities of technological and regulatory success ranging from 67.0% to near-certain probability.</w:t>
      </w:r>
      <w:r>
        <w:rPr>
          <w:color w:val="000000"/>
          <w:shd w:fill="FFFFFF" w:val="clear"/>
        </w:rPr>
        <w:t xml:space="preserve"> </w:t>
      </w:r>
      <w:r>
        <w:rPr>
          <w:rFonts w:ascii="Franklin Gothic Book;sans-serif" w:hAnsi="Franklin Gothic Book;sans-serif"/>
          <w:b w:val="false"/>
          <w:color w:val="000000"/>
          <w:sz w:val="20"/>
          <w:shd w:fill="FFFFFF" w:val="clear"/>
        </w:rPr>
        <w:t>Of the total contingent consideration, approximately $279.3 million related to milestones classified as short-term and reflected as a component of accrued expense and other with the remaining $205.8 million reflected as a component of other long-term liabilities within our condensed consolidated balance sheets. The short-term liability related to the fourth patient dosed in a Phase 3 clinical trial of felzartamab in a first and s</w:t>
      </w:r>
      <w:r>
        <w:rPr>
          <w:rFonts w:ascii="Franklin Gothic Book;sans-serif" w:hAnsi="Franklin Gothic Book;sans-serif"/>
          <w:b w:val="false"/>
          <w:color w:val="000000"/>
          <w:sz w:val="20"/>
        </w:rPr>
        <w:t>econd indication, which would each result in the achievement of a $150.0 million milestone payment. During the second quarter of 2025 the first milestone related to the fourth patient dosed in a phase 3 clinical trial of felzartamab for AMR was achieved, resulting in a $150.0 million milestone payment made to the former shareholders of HI-Bio, which was substantially paid in July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Subsequent changes in the fair value of the contingent consideration obligation are being recognized as (gain) loss on fair value remeasurement of contingent consideration within our condensed consolidated statements of income. This fair value measurement is based on significant inputs that are not observable in the market and thus represent Level 3 fair value measurements. For additional information related to the fair value of this obligation, please read </w:t>
      </w:r>
      <w:r>
        <w:rPr>
          <w:rFonts w:ascii="Franklin Gothic Book;sans-serif" w:hAnsi="Franklin Gothic Book;sans-serif"/>
          <w:b w:val="false"/>
          <w:i/>
          <w:color w:val="000000"/>
          <w:sz w:val="20"/>
        </w:rPr>
        <w:t>Note 8, Fair Value Measurements</w:t>
      </w:r>
      <w:r>
        <w:rPr>
          <w:rFonts w:ascii="Franklin Gothic Book;sans-serif" w:hAnsi="Franklin Gothic Book;sans-serif"/>
          <w:b w:val="false"/>
          <w:color w:val="000000"/>
          <w:sz w:val="20"/>
        </w:rPr>
        <w:t>, to these condensed consolidated financial statements.</w:t>
      </w:r>
    </w:p>
    <w:p>
      <w:pPr>
        <w:pStyle w:val="TextBody"/>
        <w:bidi w:val="0"/>
        <w:spacing w:lineRule="auto" w:line="288" w:before="180" w:after="283"/>
        <w:jc w:val="left"/>
        <w:rPr/>
      </w:pPr>
      <w:r>
        <w:rPr>
          <w:rFonts w:ascii="Franklin Gothic Book;sans-serif" w:hAnsi="Franklin Gothic Book;sans-serif"/>
          <w:b/>
          <w:color w:val="0070C0"/>
          <w:sz w:val="20"/>
        </w:rPr>
        <w:t xml:space="preserve">Other Contractual Commitments: </w:t>
      </w:r>
      <w:r>
        <w:rPr>
          <w:rFonts w:ascii="Franklin Gothic Book;sans-serif" w:hAnsi="Franklin Gothic Book;sans-serif"/>
          <w:b w:val="false"/>
          <w:color w:val="000000"/>
          <w:sz w:val="20"/>
        </w:rPr>
        <w:t>We acquired HI-Bio's pre-existing in-license commitments under third-party agreements with MorphoSys, which included tiered royalties on potential future sales ranging from high-single digit to mid-teen percentages, as well as potential development, regulatory and commercial milestone payments of up to $130.0 million, $230.0 million and $640.0 million, respectively. At the transaction close date the achievement of these milestones was not considered probable and therefore not recorded in our financial statements.</w:t>
      </w:r>
    </w:p>
    <w:p>
      <w:pPr>
        <w:pStyle w:val="TextBody"/>
        <w:bidi w:val="0"/>
        <w:spacing w:lineRule="auto" w:line="288" w:before="180" w:after="60"/>
        <w:ind w:left="0" w:right="0" w:hanging="180"/>
        <w:jc w:val="left"/>
        <w:rPr>
          <w:rFonts w:ascii="Franklin Gothic Book;sans-serif" w:hAnsi="Franklin Gothic Book;sans-serif"/>
          <w:b/>
          <w:i/>
          <w:color w:val="0070C0"/>
          <w:sz w:val="22"/>
        </w:rPr>
      </w:pPr>
      <w:r>
        <w:rPr>
          <w:rFonts w:ascii="Franklin Gothic Book;sans-serif" w:hAnsi="Franklin Gothic Book;sans-serif"/>
          <w:b/>
          <w:i/>
          <w:color w:val="0070C0"/>
          <w:sz w:val="22"/>
        </w:rPr>
        <w:t>Purchase Price Allocation</w:t>
      </w:r>
    </w:p>
    <w:p>
      <w:pPr>
        <w:pStyle w:val="TextBody"/>
        <w:bidi w:val="0"/>
        <w:spacing w:lineRule="auto" w:line="288" w:before="120" w:after="6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finalized purchase accounting for this acquisition in the second quarter of 2025.</w:t>
      </w:r>
    </w:p>
    <w:p>
      <w:pPr>
        <w:pStyle w:val="TextBody"/>
        <w:bidi w:val="0"/>
        <w:spacing w:lineRule="auto" w:line="288" w:before="120" w:after="6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amounts recognized for assets acquired and liabilities assumed as of the acquisition date, and reflects measurement period adjustments made to the amounts initially recorded as of the acquisition date on July 2, 2024. The related impact to our condensed consolidated statements of income that would have been recognized in previous periods if the adjustments were recognized as of the acquisition date is immaterial.</w:t>
      </w:r>
    </w:p>
    <w:tbl>
      <w:tblPr>
        <w:tblW w:w="9094" w:type="dxa"/>
        <w:jc w:val="left"/>
        <w:tblInd w:w="0" w:type="dxa"/>
        <w:tblLayout w:type="fixed"/>
        <w:tblCellMar>
          <w:top w:w="28" w:type="dxa"/>
          <w:left w:w="28" w:type="dxa"/>
          <w:bottom w:w="28" w:type="dxa"/>
          <w:right w:w="28" w:type="dxa"/>
        </w:tblCellMar>
      </w:tblPr>
      <w:tblGrid>
        <w:gridCol w:w="1395"/>
        <w:gridCol w:w="1226"/>
        <w:gridCol w:w="1233"/>
        <w:gridCol w:w="109"/>
        <w:gridCol w:w="109"/>
        <w:gridCol w:w="109"/>
        <w:gridCol w:w="109"/>
        <w:gridCol w:w="109"/>
        <w:gridCol w:w="109"/>
        <w:gridCol w:w="109"/>
        <w:gridCol w:w="109"/>
        <w:gridCol w:w="109"/>
        <w:gridCol w:w="792"/>
        <w:gridCol w:w="2883"/>
        <w:gridCol w:w="584"/>
      </w:tblGrid>
      <w:tr>
        <w:trPr/>
        <w:tc>
          <w:tcPr>
            <w:tcW w:w="13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5B7F"/>
                <w:sz w:val="16"/>
              </w:rPr>
            </w:pPr>
            <w:r>
              <w:rPr>
                <w:rFonts w:ascii="Franklin Gothic Book;sans-serif" w:hAnsi="Franklin Gothic Book;sans-serif"/>
                <w:b/>
                <w:color w:val="005B7F"/>
                <w:sz w:val="16"/>
              </w:rPr>
              <w:t>Amounts Recognized as of Acquisition Date</w:t>
            </w:r>
          </w:p>
          <w:p>
            <w:pPr>
              <w:pStyle w:val="TableContents"/>
              <w:bidi w:val="0"/>
              <w:spacing w:lineRule="auto" w:line="240" w:before="0" w:after="0"/>
              <w:jc w:val="center"/>
              <w:rPr>
                <w:rFonts w:ascii="Franklin Gothic Book;sans-serif" w:hAnsi="Franklin Gothic Book;sans-serif"/>
                <w:b/>
                <w:color w:val="005B7F"/>
                <w:sz w:val="16"/>
              </w:rPr>
            </w:pPr>
            <w:r>
              <w:rPr>
                <w:rFonts w:ascii="Franklin Gothic Book;sans-serif" w:hAnsi="Franklin Gothic Book;sans-serif"/>
                <w:b/>
                <w:color w:val="005B7F"/>
                <w:sz w:val="16"/>
              </w:rPr>
              <w:t>(as adjusted)</w:t>
            </w:r>
          </w:p>
          <w:p>
            <w:pPr>
              <w:pStyle w:val="TableContents"/>
              <w:bidi w:val="0"/>
              <w:spacing w:lineRule="auto" w:line="240" w:before="0" w:after="0"/>
              <w:jc w:val="center"/>
              <w:rPr>
                <w:rFonts w:ascii="Franklin Gothic Book;sans-serif" w:hAnsi="Franklin Gothic Book;sans-serif"/>
                <w:b/>
                <w:color w:val="005B7F"/>
                <w:sz w:val="16"/>
              </w:rPr>
            </w:pPr>
            <w:r>
              <w:rPr>
                <w:rFonts w:ascii="Franklin Gothic Book;sans-serif" w:hAnsi="Franklin Gothic Book;sans-serif"/>
                <w:b/>
                <w:color w:val="005B7F"/>
                <w:sz w:val="16"/>
              </w:rPr>
              <w:t>June 30, 2025</w:t>
            </w:r>
          </w:p>
        </w:tc>
      </w:tr>
      <w:tr>
        <w:trPr/>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5B7F"/>
                <w:sz w:val="16"/>
              </w:rPr>
            </w:pPr>
            <w:r>
              <w:rPr>
                <w:rFonts w:ascii="Franklin Gothic Book;sans-serif" w:hAnsi="Franklin Gothic Book;sans-serif"/>
                <w:b w:val="false"/>
                <w:color w:val="005B7F"/>
                <w:sz w:val="16"/>
              </w:rPr>
              <w:t>$</w:t>
            </w:r>
          </w:p>
        </w:tc>
        <w:tc>
          <w:tcPr>
            <w:tcW w:w="28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62.5 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IPR&amp;D - felzartamab (IgAN)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920.0 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IPR&amp;D - felzartamab (AMR)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450.0 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IPR&amp;D - felzartamab (PMN)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265.0 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clinical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7.9 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Prepaid expense and other assets</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1.4 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1.2 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(1.1)</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(35.0)</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Deferred tax liability</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(309.3)</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(1.2)</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identifiable 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1,361.4 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Goodwill</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261.0 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5B7F"/>
                <w:sz w:val="16"/>
              </w:rPr>
            </w:pPr>
            <w:r>
              <w:rPr>
                <w:rFonts w:ascii="Franklin Gothic Book;sans-serif" w:hAnsi="Franklin Gothic Book;sans-serif"/>
                <w:b w:val="false"/>
                <w:color w:val="005B7F"/>
                <w:sz w:val="16"/>
              </w:rPr>
              <w:t>$</w:t>
            </w:r>
          </w:p>
        </w:tc>
        <w:tc>
          <w:tcPr>
            <w:tcW w:w="28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5B7F"/>
                <w:sz w:val="16"/>
              </w:rPr>
            </w:pPr>
            <w:r>
              <w:rPr>
                <w:rFonts w:ascii="Franklin Gothic Book;sans-serif" w:hAnsi="Franklin Gothic Book;sans-serif"/>
                <w:b w:val="false"/>
                <w:color w:val="005B7F"/>
                <w:sz w:val="16"/>
              </w:rPr>
              <w:t>1,622.4 </w:t>
            </w:r>
          </w:p>
        </w:tc>
        <w:tc>
          <w:tcPr>
            <w:tcW w:w="58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Includes measurement period adjustments recorded in 2025 that increased prepaid expense and other assets by $0.4 million, net deferred tax liability by $4.9 million and goodwill by $4.5 million.</w:t>
      </w:r>
    </w:p>
    <w:p>
      <w:pPr>
        <w:pStyle w:val="TextBody"/>
        <w:bidi w:val="0"/>
        <w:spacing w:lineRule="auto" w:line="288" w:before="120" w:after="283"/>
        <w:jc w:val="left"/>
        <w:rPr/>
      </w:pPr>
      <w:r>
        <w:rPr>
          <w:rFonts w:ascii="Franklin Gothic Book;sans-serif" w:hAnsi="Franklin Gothic Book;sans-serif"/>
          <w:b/>
          <w:color w:val="0070C0"/>
          <w:sz w:val="20"/>
        </w:rPr>
        <w:t>Intang</w:t>
      </w:r>
      <w:r>
        <w:rPr>
          <w:rFonts w:ascii="Franklin Gothic Book;sans-serif" w:hAnsi="Franklin Gothic Book;sans-serif"/>
          <w:b/>
          <w:color w:val="0070C0"/>
          <w:sz w:val="20"/>
          <w:shd w:fill="FFFFFF" w:val="clear"/>
        </w:rPr>
        <w:t>ible assets:</w:t>
      </w:r>
      <w:r>
        <w:rPr>
          <w:color w:val="000000"/>
          <w:shd w:fill="FFFFFF" w:val="clear"/>
        </w:rPr>
        <w:t xml:space="preserve"> </w:t>
      </w:r>
      <w:r>
        <w:rPr>
          <w:rFonts w:ascii="Franklin Gothic Book;sans-serif" w:hAnsi="Franklin Gothic Book;sans-serif"/>
          <w:b w:val="false"/>
          <w:color w:val="000000"/>
          <w:sz w:val="20"/>
          <w:shd w:fill="FFFFFF" w:val="clear"/>
        </w:rPr>
        <w:t>Intangible assets comprised of approximately $1.6 billion of IPR&amp;D related to HI-Bio's lead asset felzartamab. This includes $920.0 million of IPR&amp;D related to felzartamab indication for IgAN, $450.0 million of IPR&amp;D related to felzartamab indication for AMR and $265.0 million of IPR&amp;D related to felzartamab indication for PMN. The estimated fair values of the program related intangible assets were determined using a multi-period excess earnings method, a form of the income approach, utilizing cash flow analyses and a discount rate of 14.5%. These fair value measurements were based on significant inputs that are not observable in the market and thus represent Level 3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pPr>
      <w:r>
        <w:rPr>
          <w:rFonts w:ascii="Franklin Gothic Book;sans-serif" w:hAnsi="Franklin Gothic Book;sans-serif"/>
          <w:b/>
          <w:color w:val="0070C0"/>
          <w:sz w:val="20"/>
        </w:rPr>
        <w:t>Goodwill:</w:t>
      </w:r>
      <w:r>
        <w:rPr>
          <w:color w:val="000000"/>
        </w:rPr>
        <w:t xml:space="preserve"> </w:t>
      </w:r>
      <w:r>
        <w:rPr>
          <w:rFonts w:ascii="Franklin Gothic Book;sans-serif" w:hAnsi="Franklin Gothic Book;sans-serif"/>
          <w:b w:val="false"/>
          <w:color w:val="000000"/>
          <w:sz w:val="20"/>
        </w:rPr>
        <w:t>Goodwill was calculated as the excess of the consideration transferred over the net assets recognized and represents the future economic benefits arising from the other assets acq</w:t>
      </w:r>
      <w:r>
        <w:rPr>
          <w:rFonts w:ascii="Franklin Gothic Book;sans-serif" w:hAnsi="Franklin Gothic Book;sans-serif"/>
          <w:b w:val="false"/>
          <w:color w:val="000000"/>
          <w:sz w:val="20"/>
          <w:shd w:fill="FFFFFF" w:val="clear"/>
        </w:rPr>
        <w:t>uired that could not be individually identified and separately recognized. We recognized goodwill of approximately $261.0 million, which includes measurement period adjustments, and is not deductible for tax purposes. The goodwill recognized from our acquisition of HI-Bio is primarily the result of the deferred tax consequences from the transaction recorded for financial statement purposes.</w:t>
      </w:r>
    </w:p>
    <w:p>
      <w:pPr>
        <w:pStyle w:val="TextBody"/>
        <w:bidi w:val="0"/>
        <w:spacing w:lineRule="auto" w:line="288" w:before="120" w:after="283"/>
        <w:jc w:val="left"/>
        <w:rPr/>
      </w:pPr>
      <w:r>
        <w:rPr>
          <w:rFonts w:ascii="Franklin Gothic Book;sans-serif" w:hAnsi="Franklin Gothic Book;sans-serif"/>
          <w:b/>
          <w:color w:val="0070C0"/>
          <w:sz w:val="20"/>
        </w:rPr>
        <w:t>Acquisition-related expense:</w:t>
      </w:r>
      <w:r>
        <w:rPr>
          <w:color w:val="000000"/>
        </w:rPr>
        <w:t xml:space="preserve"> </w:t>
      </w:r>
      <w:r>
        <w:rPr>
          <w:rFonts w:ascii="Franklin Gothic Book;sans-serif" w:hAnsi="Franklin Gothic Book;sans-serif"/>
          <w:b w:val="false"/>
          <w:color w:val="000000"/>
          <w:sz w:val="20"/>
        </w:rPr>
        <w:t>Acquisition-related expense, primarily comprised</w:t>
      </w:r>
      <w:r>
        <w:rPr>
          <w:color w:val="000000"/>
          <w:shd w:fill="FFFFFF" w:val="clear"/>
        </w:rPr>
        <w:t xml:space="preserve"> </w:t>
      </w:r>
      <w:r>
        <w:rPr>
          <w:rFonts w:ascii="Franklin Gothic Book;sans-serif" w:hAnsi="Franklin Gothic Book;sans-serif"/>
          <w:b w:val="false"/>
          <w:color w:val="000000"/>
          <w:sz w:val="20"/>
          <w:shd w:fill="FFFFFF" w:val="clear"/>
        </w:rPr>
        <w:t xml:space="preserve">of advisory and legal fees, and other transaction costs, totaled approximately $2.8 million and were recorded within selling, general and administrative expense within our consolidated statements of income for the year ended December 31, 2024, included in our </w:t>
      </w:r>
      <w:r>
        <w:rPr>
          <w:rFonts w:ascii="Franklin Gothic Book;sans-serif" w:hAnsi="Franklin Gothic Book;sans-serif"/>
          <w:b w:val="false"/>
          <w:color w:val="000000"/>
          <w:sz w:val="20"/>
        </w:rPr>
        <w:t>2024</w:t>
      </w:r>
      <w:r>
        <w:rPr>
          <w:color w:val="000000"/>
          <w:shd w:fill="FFFFFF" w:val="clear"/>
        </w:rPr>
        <w:t xml:space="preserve"> </w:t>
      </w:r>
      <w:r>
        <w:rPr>
          <w:rFonts w:ascii="Franklin Gothic Book;sans-serif" w:hAnsi="Franklin Gothic Book;sans-serif"/>
          <w:b w:val="false"/>
          <w:color w:val="000000"/>
          <w:sz w:val="20"/>
          <w:shd w:fill="FFFFFF" w:val="clear"/>
        </w:rPr>
        <w:t>Form 10-K</w:t>
      </w:r>
      <w:r>
        <w:rPr>
          <w:rFonts w:ascii="Franklin Gothic Book;sans-serif" w:hAnsi="Franklin Gothic Book;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10" w:type="dxa"/>
        <w:jc w:val="left"/>
        <w:tblInd w:w="0" w:type="dxa"/>
        <w:tblLayout w:type="fixed"/>
        <w:tblCellMar>
          <w:top w:w="28" w:type="dxa"/>
          <w:left w:w="28" w:type="dxa"/>
          <w:bottom w:w="28" w:type="dxa"/>
          <w:right w:w="28" w:type="dxa"/>
        </w:tblCellMar>
      </w:tblPr>
      <w:tblGrid>
        <w:gridCol w:w="401"/>
        <w:gridCol w:w="353"/>
        <w:gridCol w:w="355"/>
        <w:gridCol w:w="527"/>
        <w:gridCol w:w="527"/>
        <w:gridCol w:w="747"/>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3:</w:t>
            </w:r>
          </w:p>
        </w:tc>
        <w:tc>
          <w:tcPr>
            <w:tcW w:w="180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Dispositions</w:t>
            </w:r>
          </w:p>
        </w:tc>
      </w:tr>
    </w:tbl>
    <w:p>
      <w:pPr>
        <w:pStyle w:val="TextBody"/>
        <w:bidi w:val="0"/>
        <w:spacing w:lineRule="auto" w:line="288" w:before="18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Sale of Joint Venture Equity Interest in Samsung Bioepis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In April 2022 we completed the sale of our 49.9% equity interest in Samsung Bioepis to Samsung BioLogics in exchange for total consideration of approximately $2.3 billion. Under the terms of this transaction, we received approximately $1.0 billion in cash at closing, with approximately $1.3 billion in cash to be deferred over two payments. The first deferred payment of </w:t>
      </w:r>
      <w:r>
        <w:rPr>
          <w:rFonts w:ascii="Franklin Gothic Book;sans-serif" w:hAnsi="Franklin Gothic Book;sans-serif"/>
          <w:b w:val="false"/>
          <w:color w:val="000000"/>
          <w:sz w:val="20"/>
        </w:rPr>
        <w:t>$812.5 million</w:t>
      </w:r>
      <w:r>
        <w:rPr>
          <w:color w:val="000000"/>
          <w:shd w:fill="FFFFFF" w:val="clear"/>
        </w:rPr>
        <w:t xml:space="preserve"> </w:t>
      </w:r>
      <w:r>
        <w:rPr>
          <w:rFonts w:ascii="Franklin Gothic Book;sans-serif" w:hAnsi="Franklin Gothic Book;sans-serif"/>
          <w:b w:val="false"/>
          <w:color w:val="000000"/>
          <w:sz w:val="20"/>
          <w:shd w:fill="FFFFFF" w:val="clear"/>
        </w:rPr>
        <w:t>was received in April 2023 and</w:t>
      </w:r>
      <w:r>
        <w:rPr>
          <w:color w:val="000000"/>
        </w:rPr>
        <w:t xml:space="preserve"> </w:t>
      </w:r>
      <w:r>
        <w:rPr>
          <w:rFonts w:ascii="Franklin Gothic Book;sans-serif" w:hAnsi="Franklin Gothic Book;sans-serif"/>
          <w:b w:val="false"/>
          <w:color w:val="000000"/>
          <w:sz w:val="20"/>
          <w:shd w:fill="FFFFFF" w:val="clear"/>
        </w:rPr>
        <w:t>the second deferred payment of $437.5 million</w:t>
      </w:r>
      <w:r>
        <w:rPr>
          <w:color w:val="000000"/>
        </w:rPr>
        <w:t xml:space="preserve"> </w:t>
      </w:r>
      <w:r>
        <w:rPr>
          <w:rFonts w:ascii="Franklin Gothic Book;sans-serif" w:hAnsi="Franklin Gothic Book;sans-serif"/>
          <w:b w:val="false"/>
          <w:color w:val="000000"/>
          <w:sz w:val="20"/>
        </w:rPr>
        <w:t>was received in April 2024.</w:t>
      </w:r>
    </w:p>
    <w:p>
      <w:pPr>
        <w:pStyle w:val="TextBody"/>
        <w:bidi w:val="0"/>
        <w:spacing w:lineRule="auto" w:line="268" w:before="120" w:after="283"/>
        <w:jc w:val="left"/>
        <w:rPr/>
      </w:pPr>
      <w:r>
        <w:rPr>
          <w:rFonts w:ascii="Franklin Gothic Book;sans-serif" w:hAnsi="Franklin Gothic Book;sans-serif"/>
          <w:b w:val="false"/>
          <w:color w:val="000000"/>
          <w:sz w:val="20"/>
          <w:shd w:fill="FFFFFF" w:val="clear"/>
        </w:rPr>
        <w:t xml:space="preserve">For the </w:t>
      </w:r>
      <w:r>
        <w:rPr>
          <w:rFonts w:ascii="Franklin Gothic Book;sans-serif" w:hAnsi="Franklin Gothic Book;sans-serif"/>
          <w:b w:val="false"/>
          <w:color w:val="000000"/>
          <w:sz w:val="20"/>
        </w:rPr>
        <w:t>three and six</w:t>
      </w:r>
      <w:r>
        <w:rPr>
          <w:color w:val="000000"/>
          <w:shd w:fill="FFFFFF" w:val="clear"/>
        </w:rPr>
        <w:t xml:space="preserve"> </w:t>
      </w:r>
      <w:r>
        <w:rPr>
          <w:rFonts w:ascii="Franklin Gothic Book;sans-serif" w:hAnsi="Franklin Gothic Book;sans-serif"/>
          <w:b w:val="false"/>
          <w:color w:val="000000"/>
          <w:sz w:val="20"/>
          <w:shd w:fill="FFFFFF" w:val="clear"/>
        </w:rPr>
        <w:t>months ended June 30, 2024, we recognized</w:t>
      </w:r>
      <w:r>
        <w:rPr>
          <w:color w:val="000000"/>
        </w:rPr>
        <w:t xml:space="preserve"> </w:t>
      </w:r>
      <w:r>
        <w:rPr>
          <w:rFonts w:ascii="Franklin Gothic Book;sans-serif" w:hAnsi="Franklin Gothic Book;sans-serif"/>
          <w:b w:val="false"/>
          <w:color w:val="000000"/>
          <w:sz w:val="20"/>
        </w:rPr>
        <w:t>gains</w:t>
      </w:r>
      <w:r>
        <w:rPr>
          <w:color w:val="000000"/>
          <w:shd w:fill="FFFFFF" w:val="clear"/>
        </w:rPr>
        <w:t xml:space="preserve"> </w:t>
      </w:r>
      <w:r>
        <w:rPr>
          <w:rFonts w:ascii="Franklin Gothic Book;sans-serif" w:hAnsi="Franklin Gothic Book;sans-serif"/>
          <w:b w:val="false"/>
          <w:color w:val="000000"/>
          <w:sz w:val="20"/>
          <w:shd w:fill="FFFFFF" w:val="clear"/>
        </w:rPr>
        <w:t xml:space="preserve">of approximately $1.4 million and </w:t>
      </w:r>
      <w:r>
        <w:rPr>
          <w:rFonts w:ascii="Franklin Gothic Book;sans-serif" w:hAnsi="Franklin Gothic Book;sans-serif"/>
          <w:b w:val="false"/>
          <w:color w:val="000000"/>
          <w:sz w:val="20"/>
        </w:rPr>
        <w:t xml:space="preserve">$7.5 million, respectively, </w:t>
      </w:r>
      <w:r>
        <w:rPr>
          <w:rFonts w:ascii="Franklin Gothic Book;sans-serif" w:hAnsi="Franklin Gothic Book;sans-serif"/>
          <w:b w:val="false"/>
          <w:color w:val="000000"/>
          <w:sz w:val="20"/>
          <w:shd w:fill="FFFFFF" w:val="clear"/>
        </w:rPr>
        <w:t xml:space="preserve">to reflect the changes in fair value associated with the passage of time related to the second deferred payment </w:t>
      </w:r>
      <w:r>
        <w:rPr>
          <w:rFonts w:ascii="Franklin Gothic Book;sans-serif" w:hAnsi="Franklin Gothic Book;sans-serif"/>
          <w:b w:val="false"/>
          <w:color w:val="000000"/>
          <w:sz w:val="20"/>
        </w:rPr>
        <w:t>due to us, which was received in April 2024 and</w:t>
      </w:r>
      <w:r>
        <w:rPr>
          <w:color w:val="000000"/>
          <w:shd w:fill="FFFFFF" w:val="clear"/>
        </w:rPr>
        <w:t xml:space="preserve"> </w:t>
      </w:r>
      <w:r>
        <w:rPr>
          <w:rFonts w:ascii="Franklin Gothic Book;sans-serif" w:hAnsi="Franklin Gothic Book;sans-serif"/>
          <w:b w:val="false"/>
          <w:color w:val="000000"/>
          <w:sz w:val="20"/>
          <w:shd w:fill="FFFFFF" w:val="clear"/>
        </w:rPr>
        <w:t>recorded in other (income) expense, net within our condensed consolidated statements of income.</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additional information on the sale of our equity interest in Samsung Bioepis, please read </w:t>
      </w:r>
      <w:r>
        <w:rPr>
          <w:rFonts w:ascii="Franklin Gothic Book;sans-serif" w:hAnsi="Franklin Gothic Book;sans-serif"/>
          <w:b w:val="false"/>
          <w:i/>
          <w:color w:val="000000"/>
          <w:sz w:val="20"/>
          <w:shd w:fill="FFFFFF" w:val="clear"/>
        </w:rPr>
        <w:t>Note 3, Dispositions</w:t>
      </w:r>
      <w:r>
        <w:rPr>
          <w:rFonts w:ascii="Franklin Gothic Book;sans-serif" w:hAnsi="Franklin Gothic Book;sans-serif"/>
          <w:b w:val="false"/>
          <w:color w:val="000000"/>
          <w:sz w:val="20"/>
          <w:shd w:fill="FFFFFF" w:val="clear"/>
        </w:rPr>
        <w:t>, to our consolidated financial statements included in our 2024 Form 10-K.</w:t>
      </w:r>
    </w:p>
    <w:p>
      <w:pPr>
        <w:pStyle w:val="TextBody"/>
        <w:bidi w:val="0"/>
        <w:spacing w:lineRule="auto" w:line="26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Sale of Priority Review Voucher</w:t>
      </w:r>
    </w:p>
    <w:p>
      <w:pPr>
        <w:pStyle w:val="TextBody"/>
        <w:bidi w:val="0"/>
        <w:spacing w:lineRule="auto" w:line="268" w:before="180" w:after="283"/>
        <w:jc w:val="left"/>
        <w:rPr/>
      </w:pPr>
      <w:r>
        <w:rPr>
          <w:rFonts w:ascii="Franklin Gothic Book;sans-serif" w:hAnsi="Franklin Gothic Book;sans-serif"/>
          <w:b w:val="false"/>
          <w:color w:val="000000"/>
          <w:sz w:val="20"/>
          <w:shd w:fill="FFFFFF" w:val="clear"/>
        </w:rPr>
        <w:t xml:space="preserve">In April 2024 we completed the sale of our rare pediatric disease PRV, generated by the development associated with SPINRAZA, to a third party. In consideration for the PRV we received a cash payment of $103.0 million upon the closing of the PRV purchase, of which approximately $14.4 million was paid to Ionis. Our net portion of approximately $88.6 million was recognized in gain on sale of priority review voucher, net within our condensed consolidated statements of income for the </w:t>
      </w:r>
      <w:r>
        <w:rPr>
          <w:rFonts w:ascii="Franklin Gothic Book;sans-serif" w:hAnsi="Franklin Gothic Book;sans-serif"/>
          <w:b w:val="false"/>
          <w:color w:val="000000"/>
          <w:sz w:val="20"/>
        </w:rPr>
        <w:t>three and six</w:t>
      </w:r>
      <w:r>
        <w:rPr>
          <w:color w:val="000000"/>
          <w:shd w:fill="FFFFFF" w:val="clear"/>
        </w:rPr>
        <w:t xml:space="preserve"> </w:t>
      </w:r>
      <w:r>
        <w:rPr>
          <w:rFonts w:ascii="Franklin Gothic Book;sans-serif" w:hAnsi="Franklin Gothic Book;sans-serif"/>
          <w:b w:val="false"/>
          <w:color w:val="000000"/>
          <w:sz w:val="20"/>
          <w:shd w:fill="FFFFFF" w:val="clear"/>
        </w:rPr>
        <w:t>months ended June 30, 2024.</w:t>
      </w:r>
    </w:p>
    <w:p>
      <w:pPr>
        <w:pStyle w:val="TextBody"/>
        <w:bidi w:val="0"/>
        <w:spacing w:lineRule="auto" w:line="26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Sale of TOFIDENCE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March 2025 we completed the sale of our regulatory and commercial rights in the U.S. for TOFIDENCE, a tocilizumab biosimilar referencing ACTEMRA, to Organon. Under the terms of this transaction, we received a payment of approximately $51.0 million </w:t>
      </w:r>
      <w:r>
        <w:rPr>
          <w:rFonts w:ascii="Franklin Gothic Book;sans-serif" w:hAnsi="Franklin Gothic Book;sans-serif"/>
          <w:b w:val="false"/>
          <w:color w:val="000000"/>
          <w:sz w:val="20"/>
          <w:shd w:fill="FFFFFF" w:val="clear"/>
        </w:rPr>
        <w:t>in July 2025 a</w:t>
      </w:r>
      <w:r>
        <w:rPr>
          <w:rFonts w:ascii="Franklin Gothic Book;sans-serif" w:hAnsi="Franklin Gothic Book;sans-serif"/>
          <w:b w:val="false"/>
          <w:color w:val="000000"/>
          <w:sz w:val="20"/>
        </w:rPr>
        <w:t>nd recognized a de minimis loss within our condensed consolidated statements of income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05" w:type="dxa"/>
        <w:jc w:val="left"/>
        <w:tblInd w:w="0" w:type="dxa"/>
        <w:tblLayout w:type="fixed"/>
        <w:tblCellMar>
          <w:top w:w="28" w:type="dxa"/>
          <w:left w:w="28" w:type="dxa"/>
          <w:bottom w:w="28" w:type="dxa"/>
          <w:right w:w="28" w:type="dxa"/>
        </w:tblCellMar>
      </w:tblPr>
      <w:tblGrid>
        <w:gridCol w:w="401"/>
        <w:gridCol w:w="353"/>
        <w:gridCol w:w="355"/>
        <w:gridCol w:w="584"/>
        <w:gridCol w:w="584"/>
        <w:gridCol w:w="828"/>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4:</w:t>
            </w:r>
          </w:p>
        </w:tc>
        <w:tc>
          <w:tcPr>
            <w:tcW w:w="1996"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Restructuring</w:t>
            </w:r>
          </w:p>
        </w:tc>
      </w:tr>
    </w:tbl>
    <w:p>
      <w:pPr>
        <w:pStyle w:val="TextBody"/>
        <w:bidi w:val="0"/>
        <w:spacing w:lineRule="auto" w:line="288" w:before="18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2023 Fit for Growth Restructuring Program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2023 we initiated cost saving measures as part of our Fit for Growth program to reduce operating costs, while improving operating efficiency and effectiveness. The Fit for Growth program is expected to generate approximately $1.0 billion in gross operating expense savings by the end of 2025, some of which will be reinvested in various initiatives. The Fit for Growth program is currently estimated to include net headcount reductions of approximately 1,400 employees and we expect to incur total restructuring charges ranging from approximately $300.0 million to $310.0 million. As of June 30, 2025, cumulative total restructuring charges incurred in connection with our Fit for Growth program totaled approximately $300.0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charges incurred from our 2023 Fit for Growth program are summarized as follows:</w:t>
      </w:r>
    </w:p>
    <w:tbl>
      <w:tblPr>
        <w:tblW w:w="10205" w:type="dxa"/>
        <w:jc w:val="left"/>
        <w:tblInd w:w="0" w:type="dxa"/>
        <w:tblLayout w:type="fixed"/>
        <w:tblCellMar>
          <w:top w:w="28" w:type="dxa"/>
          <w:left w:w="28" w:type="dxa"/>
          <w:bottom w:w="28" w:type="dxa"/>
          <w:right w:w="28" w:type="dxa"/>
        </w:tblCellMar>
      </w:tblPr>
      <w:tblGrid>
        <w:gridCol w:w="518"/>
        <w:gridCol w:w="455"/>
        <w:gridCol w:w="460"/>
        <w:gridCol w:w="109"/>
        <w:gridCol w:w="109"/>
        <w:gridCol w:w="109"/>
        <w:gridCol w:w="274"/>
        <w:gridCol w:w="666"/>
        <w:gridCol w:w="143"/>
        <w:gridCol w:w="109"/>
        <w:gridCol w:w="109"/>
        <w:gridCol w:w="109"/>
        <w:gridCol w:w="411"/>
        <w:gridCol w:w="822"/>
        <w:gridCol w:w="214"/>
        <w:gridCol w:w="109"/>
        <w:gridCol w:w="109"/>
        <w:gridCol w:w="109"/>
        <w:gridCol w:w="211"/>
        <w:gridCol w:w="511"/>
        <w:gridCol w:w="109"/>
        <w:gridCol w:w="109"/>
        <w:gridCol w:w="109"/>
        <w:gridCol w:w="109"/>
        <w:gridCol w:w="274"/>
        <w:gridCol w:w="666"/>
        <w:gridCol w:w="143"/>
        <w:gridCol w:w="109"/>
        <w:gridCol w:w="109"/>
        <w:gridCol w:w="109"/>
        <w:gridCol w:w="376"/>
        <w:gridCol w:w="911"/>
        <w:gridCol w:w="195"/>
        <w:gridCol w:w="109"/>
        <w:gridCol w:w="109"/>
        <w:gridCol w:w="109"/>
        <w:gridCol w:w="211"/>
        <w:gridCol w:w="511"/>
        <w:gridCol w:w="162"/>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Accelerated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0.7 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1.3 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(1.1)</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Accelerated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(3.2)</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6.4 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34.2 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34.2 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3.2 </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5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26.1 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i/>
          <w:color w:val="0070C0"/>
          <w:sz w:val="20"/>
        </w:rPr>
        <w:t>Other Costs:</w:t>
      </w:r>
      <w:r>
        <w:rPr>
          <w:color w:val="000000"/>
        </w:rPr>
        <w:t xml:space="preserve"> </w:t>
      </w:r>
      <w:r>
        <w:rPr>
          <w:rFonts w:ascii="Franklin Gothic Book;sans-serif" w:hAnsi="Franklin Gothic Book;sans-serif"/>
          <w:b w:val="false"/>
          <w:color w:val="000000"/>
          <w:sz w:val="20"/>
        </w:rPr>
        <w:t>Includes costs associated with items such as asset abandonment and write-offs, facility closure costs, pre-tax gains and losses resulting from the termination of certain leases, employee non-severance expense, consulting fees and other costs.</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Reata Integration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Following the close of our Reata acquisition in September 2023, we implemented an integration plan designed to realize operating synergies through cost savings and avoidance. Under this initiative, we estimate we will incur total integration charges of approximately $35.0 million related to severance and employment costs. These severance and employment costs were substantially incurred during 2023.</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charges incurred from our Reata integration are summarized as follows:</w:t>
      </w:r>
    </w:p>
    <w:tbl>
      <w:tblPr>
        <w:tblW w:w="10205" w:type="dxa"/>
        <w:jc w:val="left"/>
        <w:tblInd w:w="0" w:type="dxa"/>
        <w:tblLayout w:type="fixed"/>
        <w:tblCellMar>
          <w:top w:w="28" w:type="dxa"/>
          <w:left w:w="28" w:type="dxa"/>
          <w:bottom w:w="28" w:type="dxa"/>
          <w:right w:w="28" w:type="dxa"/>
        </w:tblCellMar>
      </w:tblPr>
      <w:tblGrid>
        <w:gridCol w:w="526"/>
        <w:gridCol w:w="461"/>
        <w:gridCol w:w="467"/>
        <w:gridCol w:w="109"/>
        <w:gridCol w:w="109"/>
        <w:gridCol w:w="109"/>
        <w:gridCol w:w="310"/>
        <w:gridCol w:w="620"/>
        <w:gridCol w:w="161"/>
        <w:gridCol w:w="109"/>
        <w:gridCol w:w="109"/>
        <w:gridCol w:w="109"/>
        <w:gridCol w:w="430"/>
        <w:gridCol w:w="827"/>
        <w:gridCol w:w="223"/>
        <w:gridCol w:w="109"/>
        <w:gridCol w:w="109"/>
        <w:gridCol w:w="109"/>
        <w:gridCol w:w="211"/>
        <w:gridCol w:w="406"/>
        <w:gridCol w:w="109"/>
        <w:gridCol w:w="109"/>
        <w:gridCol w:w="109"/>
        <w:gridCol w:w="109"/>
        <w:gridCol w:w="316"/>
        <w:gridCol w:w="610"/>
        <w:gridCol w:w="165"/>
        <w:gridCol w:w="109"/>
        <w:gridCol w:w="109"/>
        <w:gridCol w:w="109"/>
        <w:gridCol w:w="440"/>
        <w:gridCol w:w="848"/>
        <w:gridCol w:w="229"/>
        <w:gridCol w:w="109"/>
        <w:gridCol w:w="109"/>
        <w:gridCol w:w="109"/>
        <w:gridCol w:w="211"/>
        <w:gridCol w:w="511"/>
        <w:gridCol w:w="162"/>
      </w:tblGrid>
      <w:tr>
        <w:trPr/>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Accelerated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1.8 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4.0 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5.8 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Accelerated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3.6 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6.3 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(0.2)</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(0.2)</w:t>
            </w:r>
          </w:p>
        </w:tc>
        <w:tc>
          <w:tcPr>
            <w:tcW w:w="1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9.9 </w:t>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9.3 </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11.8 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connection with our acquisition of Reata we assumed responsibility for a single-tenant, build-to-suit building of approximately 327,400 square feet of office and laboratory space located in Plano, Texas, with an initial lease term of 16 years. We do not intend to occupy this building and are evaluating opportunities to sublease the property. For additional information on our acquisition of Reata,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xml:space="preserve">, to our consolidated financial statements included in our </w:t>
      </w:r>
      <w:r>
        <w:rPr>
          <w:rFonts w:ascii="Franklin Gothic Book;sans-serif" w:hAnsi="Franklin Gothic Book;sans-serif"/>
          <w:b w:val="false"/>
          <w:color w:val="000000"/>
          <w:sz w:val="20"/>
          <w:shd w:fill="FFFFFF" w:val="clear"/>
        </w:rPr>
        <w:t>2024</w:t>
      </w:r>
      <w:r>
        <w:rPr>
          <w:color w:val="000000"/>
        </w:rPr>
        <w:t xml:space="preserve"> </w:t>
      </w:r>
      <w:r>
        <w:rPr>
          <w:rFonts w:ascii="Franklin Gothic Book;sans-serif" w:hAnsi="Franklin Gothic Book;sans-serif"/>
          <w:b w:val="false"/>
          <w:color w:val="000000"/>
          <w:sz w:val="20"/>
        </w:rPr>
        <w:t>Form 10-K.</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Restructuring Reserve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Charges and spending related to workforce reductions are summarized as follows:</w:t>
      </w:r>
    </w:p>
    <w:tbl>
      <w:tblPr>
        <w:tblW w:w="8194" w:type="dxa"/>
        <w:jc w:val="left"/>
        <w:tblInd w:w="0" w:type="dxa"/>
        <w:tblLayout w:type="fixed"/>
        <w:tblCellMar>
          <w:top w:w="28" w:type="dxa"/>
          <w:left w:w="28" w:type="dxa"/>
          <w:bottom w:w="28" w:type="dxa"/>
          <w:right w:w="28" w:type="dxa"/>
        </w:tblCellMar>
      </w:tblPr>
      <w:tblGrid>
        <w:gridCol w:w="1258"/>
        <w:gridCol w:w="1106"/>
        <w:gridCol w:w="1115"/>
        <w:gridCol w:w="109"/>
        <w:gridCol w:w="109"/>
        <w:gridCol w:w="109"/>
        <w:gridCol w:w="436"/>
        <w:gridCol w:w="1059"/>
        <w:gridCol w:w="225"/>
        <w:gridCol w:w="225"/>
        <w:gridCol w:w="586"/>
        <w:gridCol w:w="109"/>
        <w:gridCol w:w="109"/>
        <w:gridCol w:w="109"/>
        <w:gridCol w:w="109"/>
        <w:gridCol w:w="109"/>
        <w:gridCol w:w="211"/>
        <w:gridCol w:w="511"/>
        <w:gridCol w:w="109"/>
        <w:gridCol w:w="109"/>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Workforce Reductions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2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1857" w:type="dxa"/>
            <w:gridSpan w:val="12"/>
            <w:tcBorders/>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January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0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31.9 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35.3 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(25.8)</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currency and 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(1.0)</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40.4 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(0.7)</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(9.5)</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currency and 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(1.0)</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29.2 </w:t>
            </w:r>
          </w:p>
        </w:tc>
        <w:tc>
          <w:tcPr>
            <w:tcW w:w="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415" w:type="dxa"/>
        <w:jc w:val="left"/>
        <w:tblInd w:w="0" w:type="dxa"/>
        <w:tblLayout w:type="fixed"/>
        <w:tblCellMar>
          <w:top w:w="28" w:type="dxa"/>
          <w:left w:w="28" w:type="dxa"/>
          <w:bottom w:w="28" w:type="dxa"/>
          <w:right w:w="28" w:type="dxa"/>
        </w:tblCellMar>
      </w:tblPr>
      <w:tblGrid>
        <w:gridCol w:w="401"/>
        <w:gridCol w:w="353"/>
        <w:gridCol w:w="355"/>
        <w:gridCol w:w="382"/>
        <w:gridCol w:w="382"/>
        <w:gridCol w:w="542"/>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5:</w:t>
            </w:r>
          </w:p>
        </w:tc>
        <w:tc>
          <w:tcPr>
            <w:tcW w:w="1306"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Revenue</w:t>
            </w:r>
          </w:p>
        </w:tc>
      </w:tr>
    </w:tbl>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Product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by product is summarized as follows:</w:t>
      </w:r>
    </w:p>
    <w:tbl>
      <w:tblPr>
        <w:tblW w:w="10205" w:type="dxa"/>
        <w:jc w:val="left"/>
        <w:tblInd w:w="0" w:type="dxa"/>
        <w:tblLayout w:type="fixed"/>
        <w:tblCellMar>
          <w:top w:w="28" w:type="dxa"/>
          <w:left w:w="28" w:type="dxa"/>
          <w:bottom w:w="28" w:type="dxa"/>
          <w:right w:w="28" w:type="dxa"/>
        </w:tblCellMar>
      </w:tblPr>
      <w:tblGrid>
        <w:gridCol w:w="803"/>
        <w:gridCol w:w="662"/>
        <w:gridCol w:w="666"/>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8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418.0 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182.8 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250.9 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FAMPYRA</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657.4 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1,149.8 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SKYCLARYS</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QALSODY</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534.1 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BYOOVIZ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TOFIDENCE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198.1 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ZURZUVAE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941.1 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937.6 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1,878.7 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1,899.6 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Effective January 1, 2025, our collaboration and license agreement for FAMPYRA global commercialization rights was terminated.</w:t>
      </w:r>
    </w:p>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SKYCLARYS became commercially available in the E.U. during the first quarter of 2024.</w:t>
      </w:r>
    </w:p>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(3)</w:t>
      </w:r>
      <w:r>
        <w:rPr>
          <w:color w:val="000000"/>
        </w:rPr>
        <w:t xml:space="preserve"> </w:t>
      </w:r>
      <w:r>
        <w:rPr>
          <w:rFonts w:ascii="Franklin Gothic Book;sans-serif" w:hAnsi="Franklin Gothic Book;sans-serif"/>
          <w:b w:val="false"/>
          <w:color w:val="000000"/>
          <w:sz w:val="16"/>
        </w:rPr>
        <w:t>QALSODY became commercially available in the E.U. during the second quarter of 2024.</w:t>
      </w:r>
    </w:p>
    <w:p>
      <w:pPr>
        <w:pStyle w:val="TextBody"/>
        <w:bidi w:val="0"/>
        <w:spacing w:lineRule="auto" w:line="288" w:before="20" w:after="283"/>
        <w:jc w:val="left"/>
        <w:rPr/>
      </w:pPr>
      <w:r>
        <w:rPr>
          <w:rFonts w:ascii="Franklin Gothic Book;sans-serif" w:hAnsi="Franklin Gothic Book;sans-serif"/>
          <w:b w:val="false"/>
          <w:color w:val="000000"/>
          <w:sz w:val="10"/>
        </w:rPr>
        <w:t>(4)</w:t>
      </w:r>
      <w:r>
        <w:rPr>
          <w:color w:val="000000"/>
        </w:rPr>
        <w:t xml:space="preserve"> </w:t>
      </w:r>
      <w:r>
        <w:rPr>
          <w:rFonts w:ascii="Franklin Gothic Book;sans-serif" w:hAnsi="Franklin Gothic Book;sans-serif"/>
          <w:b w:val="false"/>
          <w:color w:val="000000"/>
          <w:sz w:val="16"/>
        </w:rPr>
        <w:t>Other includes FUMADERM and ADUHELM.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Layout w:type="fixed"/>
        <w:tblCellMar>
          <w:top w:w="28" w:type="dxa"/>
          <w:left w:w="28" w:type="dxa"/>
          <w:bottom w:w="28" w:type="dxa"/>
          <w:right w:w="28" w:type="dxa"/>
        </w:tblCellMar>
      </w:tblPr>
      <w:tblGrid>
        <w:gridCol w:w="704"/>
        <w:gridCol w:w="487"/>
        <w:gridCol w:w="490"/>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7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293.3 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750.8 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799.8 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494.5 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836.1 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FAMPYRA</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1,147.8 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912.4 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2,060.2 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2,225.7 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SKYCLARYS</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178.0 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QALSODY</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958.0 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236.0 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BYOOVIZ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TOFIDENCE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395.0 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ZURZUVAE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1,694.9 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1,910.3 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3,605.2 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2,018.7 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3,611.5 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Effective January 1, 2025, our collaboration and license agreement for FAMPYRA global commercialization rights was terminated.</w:t>
      </w:r>
    </w:p>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SKYCLARYS became commercially available in the E.U. during the first quarter of 2024.</w:t>
      </w:r>
    </w:p>
    <w:p>
      <w:pPr>
        <w:pStyle w:val="TextBody"/>
        <w:bidi w:val="0"/>
        <w:spacing w:lineRule="auto" w:line="288" w:before="20" w:after="283"/>
        <w:ind w:left="0" w:right="0" w:hanging="180"/>
        <w:jc w:val="left"/>
        <w:rPr/>
      </w:pPr>
      <w:r>
        <w:rPr>
          <w:rFonts w:ascii="Franklin Gothic Book;sans-serif" w:hAnsi="Franklin Gothic Book;sans-serif"/>
          <w:b w:val="false"/>
          <w:color w:val="000000"/>
          <w:sz w:val="10"/>
        </w:rPr>
        <w:t>(3)</w:t>
      </w:r>
      <w:r>
        <w:rPr>
          <w:color w:val="000000"/>
        </w:rPr>
        <w:t xml:space="preserve"> </w:t>
      </w:r>
      <w:r>
        <w:rPr>
          <w:rFonts w:ascii="Franklin Gothic Book;sans-serif" w:hAnsi="Franklin Gothic Book;sans-serif"/>
          <w:b w:val="false"/>
          <w:color w:val="000000"/>
          <w:sz w:val="16"/>
        </w:rPr>
        <w:t>QALSODY became commercially available in the E.U. during the second quarter of 2024.</w:t>
      </w:r>
    </w:p>
    <w:p>
      <w:pPr>
        <w:pStyle w:val="TextBody"/>
        <w:bidi w:val="0"/>
        <w:spacing w:lineRule="auto" w:line="288" w:before="20" w:after="283"/>
        <w:jc w:val="left"/>
        <w:rPr/>
      </w:pPr>
      <w:r>
        <w:rPr>
          <w:rFonts w:ascii="Franklin Gothic Book;sans-serif" w:hAnsi="Franklin Gothic Book;sans-serif"/>
          <w:b w:val="false"/>
          <w:color w:val="000000"/>
          <w:sz w:val="10"/>
        </w:rPr>
        <w:t>(4)</w:t>
      </w:r>
      <w:r>
        <w:rPr>
          <w:color w:val="000000"/>
        </w:rPr>
        <w:t xml:space="preserve"> </w:t>
      </w:r>
      <w:r>
        <w:rPr>
          <w:rFonts w:ascii="Franklin Gothic Book;sans-serif" w:hAnsi="Franklin Gothic Book;sans-serif"/>
          <w:b w:val="false"/>
          <w:color w:val="000000"/>
          <w:sz w:val="16"/>
        </w:rPr>
        <w:t>Other includes FUMADERM and ADUHELM.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recognized revenue from two wholesalers accounting for 28.2% and 15.8% of gross product revenue for the three months ended June 30, 2025, and 27.1% and 15.0% of gross product revenue for the six months ended June 30,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recognized revenue from two wholesalers accounting for 25.4% and 12.3% of gross product revenue for the three months ended June 30, 2024, and 25.5% and 12.0% of gross product revenue for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An analysis of the change in reserves for discounts and allowances is summarized as follows:</w:t>
      </w:r>
    </w:p>
    <w:tbl>
      <w:tblPr>
        <w:tblW w:w="9961" w:type="dxa"/>
        <w:jc w:val="left"/>
        <w:tblInd w:w="0" w:type="dxa"/>
        <w:tblLayout w:type="fixed"/>
        <w:tblCellMar>
          <w:top w:w="28" w:type="dxa"/>
          <w:left w:w="28" w:type="dxa"/>
          <w:bottom w:w="28" w:type="dxa"/>
          <w:right w:w="28" w:type="dxa"/>
        </w:tblCellMar>
      </w:tblPr>
      <w:tblGrid>
        <w:gridCol w:w="1574"/>
        <w:gridCol w:w="1384"/>
        <w:gridCol w:w="1391"/>
        <w:gridCol w:w="109"/>
        <w:gridCol w:w="109"/>
        <w:gridCol w:w="109"/>
        <w:gridCol w:w="236"/>
        <w:gridCol w:w="691"/>
        <w:gridCol w:w="124"/>
        <w:gridCol w:w="109"/>
        <w:gridCol w:w="109"/>
        <w:gridCol w:w="109"/>
        <w:gridCol w:w="250"/>
        <w:gridCol w:w="910"/>
        <w:gridCol w:w="131"/>
        <w:gridCol w:w="109"/>
        <w:gridCol w:w="109"/>
        <w:gridCol w:w="109"/>
        <w:gridCol w:w="211"/>
        <w:gridCol w:w="511"/>
        <w:gridCol w:w="109"/>
        <w:gridCol w:w="109"/>
        <w:gridCol w:w="109"/>
        <w:gridCol w:w="109"/>
        <w:gridCol w:w="211"/>
        <w:gridCol w:w="766"/>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Contractual</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162.7 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880.8 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1,091.6 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provisions relating to sales in current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394.1 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1,402.1 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1,811.1 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Adjustments relating to prior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(63.7)</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(59.0)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Payments/credits relating to sales in current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(290.4)</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(744.1)</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(1,034.7)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Payments/credits relating to sales in prior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(91.8)</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(440.4)</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(538.0)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176.0 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1,034.7 </w:t>
            </w:r>
          </w:p>
        </w:tc>
        <w:tc>
          <w:tcPr>
            <w:tcW w:w="1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1,271.0 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total reserves above, which are included in our condensed consolidated balance sheets, are summarized as follows:</w:t>
      </w:r>
    </w:p>
    <w:tbl>
      <w:tblPr>
        <w:tblW w:w="8782" w:type="dxa"/>
        <w:jc w:val="left"/>
        <w:tblInd w:w="0" w:type="dxa"/>
        <w:tblLayout w:type="fixed"/>
        <w:tblCellMar>
          <w:top w:w="28" w:type="dxa"/>
          <w:left w:w="28" w:type="dxa"/>
          <w:bottom w:w="28" w:type="dxa"/>
          <w:right w:w="28" w:type="dxa"/>
        </w:tblCellMar>
      </w:tblPr>
      <w:tblGrid>
        <w:gridCol w:w="1319"/>
        <w:gridCol w:w="1159"/>
        <w:gridCol w:w="1166"/>
        <w:gridCol w:w="109"/>
        <w:gridCol w:w="109"/>
        <w:gridCol w:w="109"/>
        <w:gridCol w:w="381"/>
        <w:gridCol w:w="1386"/>
        <w:gridCol w:w="197"/>
        <w:gridCol w:w="109"/>
        <w:gridCol w:w="109"/>
        <w:gridCol w:w="109"/>
        <w:gridCol w:w="470"/>
        <w:gridCol w:w="1707"/>
        <w:gridCol w:w="343"/>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Reduction of 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273.6 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154.1 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Component of 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997.4 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937.5 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revenue-related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1,271.0 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1,091.6 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Franklin Gothic Book;sans-serif" w:hAnsi="Franklin Gothic Book;sans-serif"/>
          <w:b/>
          <w:color w:val="0070C0"/>
          <w:sz w:val="22"/>
        </w:rPr>
      </w:pPr>
      <w:r>
        <w:rPr>
          <w:rFonts w:ascii="Franklin Gothic Book;sans-serif" w:hAnsi="Franklin Gothic Book;sans-serif"/>
          <w:b/>
          <w:color w:val="0070C0"/>
          <w:sz w:val="22"/>
        </w:rPr>
        <w:t>Revenue from Anti-CD20 Therapeutic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anti-CD20 therapeutic programs is summarized in the table below. For the purposes of this footnote, we refer to RITUXAN and RITUXAN HYCELA collectively as RITUXAN.</w:t>
      </w:r>
    </w:p>
    <w:tbl>
      <w:tblPr>
        <w:tblW w:w="10205" w:type="dxa"/>
        <w:jc w:val="left"/>
        <w:tblInd w:w="0" w:type="dxa"/>
        <w:tblLayout w:type="fixed"/>
        <w:tblCellMar>
          <w:top w:w="28" w:type="dxa"/>
          <w:left w:w="28" w:type="dxa"/>
          <w:bottom w:w="28" w:type="dxa"/>
          <w:right w:w="28" w:type="dxa"/>
        </w:tblCellMar>
      </w:tblPr>
      <w:tblGrid>
        <w:gridCol w:w="1470"/>
        <w:gridCol w:w="1198"/>
        <w:gridCol w:w="1204"/>
        <w:gridCol w:w="109"/>
        <w:gridCol w:w="109"/>
        <w:gridCol w:w="109"/>
        <w:gridCol w:w="275"/>
        <w:gridCol w:w="805"/>
        <w:gridCol w:w="142"/>
        <w:gridCol w:w="142"/>
        <w:gridCol w:w="142"/>
        <w:gridCol w:w="142"/>
        <w:gridCol w:w="275"/>
        <w:gridCol w:w="805"/>
        <w:gridCol w:w="142"/>
        <w:gridCol w:w="109"/>
        <w:gridCol w:w="109"/>
        <w:gridCol w:w="109"/>
        <w:gridCol w:w="263"/>
        <w:gridCol w:w="769"/>
        <w:gridCol w:w="136"/>
        <w:gridCol w:w="136"/>
        <w:gridCol w:w="136"/>
        <w:gridCol w:w="136"/>
        <w:gridCol w:w="263"/>
        <w:gridCol w:w="769"/>
        <w:gridCol w:w="201"/>
      </w:tblGrid>
      <w:tr>
        <w:trPr/>
        <w:tc>
          <w:tcPr>
            <w:tcW w:w="147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revenue on sales of OCREVUS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353.8 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336.3 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642.6 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639.0 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pre-tax profits in the U.S. for RITUXAN, GAZYVA and LUNSUMIO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107.7 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191.4 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11.5 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467.3 </w:t>
            </w:r>
          </w:p>
        </w:tc>
        <w:tc>
          <w:tcPr>
            <w:tcW w:w="1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444.5 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845.5 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838.5 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Franklin Gothic Book;sans-serif" w:hAnsi="Franklin Gothic Book;sans-serif"/>
          <w:b w:val="false"/>
          <w:color w:val="000000"/>
          <w:sz w:val="20"/>
        </w:rPr>
        <w:t xml:space="preserve">For additional information on our collaboration arrangements with Genentech,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to these condensed consolidated financial statements.</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Alzheimer's Collaboration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we recognized Alzheimer's collaboration revenue of approximately $54.9 million and $87.9 million, respectively, compared to $11.8 million and $14.6 million, respectively, in the prior year comparative periods.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Contract Manufacturing, Royalty and Other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 is summarized as follows:</w:t>
      </w:r>
    </w:p>
    <w:tbl>
      <w:tblPr>
        <w:tblW w:w="10205" w:type="dxa"/>
        <w:jc w:val="left"/>
        <w:tblInd w:w="0" w:type="dxa"/>
        <w:tblLayout w:type="fixed"/>
        <w:tblCellMar>
          <w:top w:w="28" w:type="dxa"/>
          <w:left w:w="28" w:type="dxa"/>
          <w:bottom w:w="28" w:type="dxa"/>
          <w:right w:w="28" w:type="dxa"/>
        </w:tblCellMar>
      </w:tblPr>
      <w:tblGrid>
        <w:gridCol w:w="1285"/>
        <w:gridCol w:w="1115"/>
        <w:gridCol w:w="1127"/>
        <w:gridCol w:w="109"/>
        <w:gridCol w:w="109"/>
        <w:gridCol w:w="109"/>
        <w:gridCol w:w="293"/>
        <w:gridCol w:w="858"/>
        <w:gridCol w:w="151"/>
        <w:gridCol w:w="151"/>
        <w:gridCol w:w="151"/>
        <w:gridCol w:w="151"/>
        <w:gridCol w:w="293"/>
        <w:gridCol w:w="858"/>
        <w:gridCol w:w="151"/>
        <w:gridCol w:w="109"/>
        <w:gridCol w:w="109"/>
        <w:gridCol w:w="109"/>
        <w:gridCol w:w="278"/>
        <w:gridCol w:w="812"/>
        <w:gridCol w:w="143"/>
        <w:gridCol w:w="143"/>
        <w:gridCol w:w="143"/>
        <w:gridCol w:w="143"/>
        <w:gridCol w:w="278"/>
        <w:gridCol w:w="812"/>
        <w:gridCol w:w="215"/>
      </w:tblGrid>
      <w:tr>
        <w:trPr/>
        <w:tc>
          <w:tcPr>
            <w:tcW w:w="12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225.0 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507.3 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252.2 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19.6 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30.6 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244.6 </w:t>
            </w:r>
          </w:p>
        </w:tc>
        <w:tc>
          <w:tcPr>
            <w:tcW w:w="1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109.0 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537.9 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290.8 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Contract Manufacturing Revenue</w:t>
      </w:r>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revenue primarily reflects amounts earned under contract manufacturing agreements with our strategic customers and batches of LEQEMBI related to our collaboration with Eisai.</w:t>
      </w:r>
    </w:p>
    <w:p>
      <w:pPr>
        <w:pStyle w:val="TextBody"/>
        <w:bidi w:val="0"/>
        <w:spacing w:lineRule="auto" w:line="288" w:before="14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Royalty and Other Revenue</w:t>
      </w:r>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Royalty and other revenue primarily reflects royalty revenue on biosimilar products from our license arrangements with Samsung Bioepis and royalties we receive from net sales on products related to patents that we have out-licensed.</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license arrangements with Samsung Bioepis and our collaboration arrangements with Eisai,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50" w:type="dxa"/>
        <w:jc w:val="left"/>
        <w:tblInd w:w="0" w:type="dxa"/>
        <w:tblLayout w:type="fixed"/>
        <w:tblCellMar>
          <w:top w:w="28" w:type="dxa"/>
          <w:left w:w="28" w:type="dxa"/>
          <w:bottom w:w="28" w:type="dxa"/>
          <w:right w:w="28" w:type="dxa"/>
        </w:tblCellMar>
      </w:tblPr>
      <w:tblGrid>
        <w:gridCol w:w="401"/>
        <w:gridCol w:w="353"/>
        <w:gridCol w:w="355"/>
        <w:gridCol w:w="422"/>
        <w:gridCol w:w="422"/>
        <w:gridCol w:w="597"/>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6:</w:t>
            </w:r>
          </w:p>
        </w:tc>
        <w:tc>
          <w:tcPr>
            <w:tcW w:w="144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Inventory</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components of inventory are summarized as follows:</w:t>
      </w:r>
    </w:p>
    <w:tbl>
      <w:tblPr>
        <w:tblW w:w="7732" w:type="dxa"/>
        <w:jc w:val="left"/>
        <w:tblInd w:w="0" w:type="dxa"/>
        <w:tblLayout w:type="fixed"/>
        <w:tblCellMar>
          <w:top w:w="28" w:type="dxa"/>
          <w:left w:w="28" w:type="dxa"/>
          <w:bottom w:w="28" w:type="dxa"/>
          <w:right w:w="28" w:type="dxa"/>
        </w:tblCellMar>
      </w:tblPr>
      <w:tblGrid>
        <w:gridCol w:w="940"/>
        <w:gridCol w:w="825"/>
        <w:gridCol w:w="829"/>
        <w:gridCol w:w="109"/>
        <w:gridCol w:w="109"/>
        <w:gridCol w:w="109"/>
        <w:gridCol w:w="381"/>
        <w:gridCol w:w="1386"/>
        <w:gridCol w:w="197"/>
        <w:gridCol w:w="109"/>
        <w:gridCol w:w="109"/>
        <w:gridCol w:w="109"/>
        <w:gridCol w:w="470"/>
        <w:gridCol w:w="1707"/>
        <w:gridCol w:w="3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Raw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305.0 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317.8 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Work in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1,641.9 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1,882.8 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Finished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478.0 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353.8 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2,424.9 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2,554.4 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2,274.3 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2,460.5 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Investments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150.6 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93.9 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2,424.9 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2,554.4 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inventory is included in investments and other assets within our condensed consolidated balance sheets.</w:t>
      </w:r>
    </w:p>
    <w:p>
      <w:pPr>
        <w:pStyle w:val="TextBody"/>
        <w:bidi w:val="0"/>
        <w:spacing w:lineRule="auto" w:line="268" w:before="120" w:after="283"/>
        <w:jc w:val="left"/>
        <w:rPr/>
      </w:pPr>
      <w:r>
        <w:rPr>
          <w:rFonts w:ascii="Franklin Gothic Book;sans-serif" w:hAnsi="Franklin Gothic Book;sans-serif"/>
          <w:b w:val="false"/>
          <w:color w:val="000000"/>
          <w:sz w:val="20"/>
        </w:rPr>
        <w:t xml:space="preserve">As a result of our acquisition of Reata in September 2023 we recorded a fair value step-up adjustment related to the acquired inventory of SKYCLARYS of approximately $1.3 billion. This fair value step-up adjustment is being amortized to cost of sales within our condensed consolidated statements of income as the inventory is sold or used for clinical purposes. We expect this amount to be fully amortized by the end of 2028. For the three and six months ended June 30, 2025, amortization from the fair value step-up adjustment was approximately $52.5 million and $103.9 million, respectively. For the three and six months ended June 30, 2024, amortization from the fair value step-up adjustment was approximately $90.1 million and $134.2 million, respectively, which includes approximately $46.0 million of inventory used for clinical purposes, which is reflected in research and development expense within our condensed consolidated statements of income. For additional information on our acquisition of Reata,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xml:space="preserve">, to our consolidated financial statements included in our </w:t>
      </w:r>
      <w:r>
        <w:rPr>
          <w:rFonts w:ascii="Franklin Gothic Book;sans-serif" w:hAnsi="Franklin Gothic Book;sans-serif"/>
          <w:b w:val="false"/>
          <w:color w:val="000000"/>
          <w:sz w:val="20"/>
          <w:shd w:fill="FFFFFF" w:val="clear"/>
        </w:rPr>
        <w:t>2024</w:t>
      </w:r>
      <w:r>
        <w:rPr>
          <w:color w:val="000000"/>
        </w:rPr>
        <w:t xml:space="preserve"> </w:t>
      </w:r>
      <w:r>
        <w:rPr>
          <w:rFonts w:ascii="Franklin Gothic Book;sans-serif" w:hAnsi="Franklin Gothic Book;sans-serif"/>
          <w:b w:val="false"/>
          <w:color w:val="000000"/>
          <w:sz w:val="20"/>
        </w:rPr>
        <w:t>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5428" w:type="dxa"/>
        <w:jc w:val="left"/>
        <w:tblInd w:w="0" w:type="dxa"/>
        <w:tblLayout w:type="fixed"/>
        <w:tblCellMar>
          <w:top w:w="28" w:type="dxa"/>
          <w:left w:w="28" w:type="dxa"/>
          <w:bottom w:w="28" w:type="dxa"/>
          <w:right w:w="28" w:type="dxa"/>
        </w:tblCellMar>
      </w:tblPr>
      <w:tblGrid>
        <w:gridCol w:w="401"/>
        <w:gridCol w:w="353"/>
        <w:gridCol w:w="355"/>
        <w:gridCol w:w="1263"/>
        <w:gridCol w:w="1263"/>
        <w:gridCol w:w="1793"/>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7:</w:t>
            </w:r>
          </w:p>
        </w:tc>
        <w:tc>
          <w:tcPr>
            <w:tcW w:w="431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Intangible Assets and Goodwill</w:t>
            </w:r>
          </w:p>
        </w:tc>
      </w:tr>
    </w:tbl>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Intangible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 of accumulated amortization, impairment charges and adjustments are summarized as follows:</w:t>
      </w:r>
    </w:p>
    <w:tbl>
      <w:tblPr>
        <w:tblW w:w="12682" w:type="dxa"/>
        <w:jc w:val="left"/>
        <w:tblInd w:w="0" w:type="dxa"/>
        <w:tblLayout w:type="fixed"/>
        <w:tblCellMar>
          <w:top w:w="28" w:type="dxa"/>
          <w:left w:w="28" w:type="dxa"/>
          <w:bottom w:w="28" w:type="dxa"/>
          <w:right w:w="28" w:type="dxa"/>
        </w:tblCellMar>
      </w:tblPr>
      <w:tblGrid>
        <w:gridCol w:w="906"/>
        <w:gridCol w:w="316"/>
        <w:gridCol w:w="279"/>
        <w:gridCol w:w="109"/>
        <w:gridCol w:w="109"/>
        <w:gridCol w:w="109"/>
        <w:gridCol w:w="549"/>
        <w:gridCol w:w="549"/>
        <w:gridCol w:w="553"/>
        <w:gridCol w:w="109"/>
        <w:gridCol w:w="109"/>
        <w:gridCol w:w="109"/>
        <w:gridCol w:w="211"/>
        <w:gridCol w:w="871"/>
        <w:gridCol w:w="109"/>
        <w:gridCol w:w="109"/>
        <w:gridCol w:w="109"/>
        <w:gridCol w:w="109"/>
        <w:gridCol w:w="253"/>
        <w:gridCol w:w="937"/>
        <w:gridCol w:w="131"/>
        <w:gridCol w:w="109"/>
        <w:gridCol w:w="109"/>
        <w:gridCol w:w="109"/>
        <w:gridCol w:w="211"/>
        <w:gridCol w:w="766"/>
        <w:gridCol w:w="109"/>
        <w:gridCol w:w="109"/>
        <w:gridCol w:w="109"/>
        <w:gridCol w:w="109"/>
        <w:gridCol w:w="211"/>
        <w:gridCol w:w="871"/>
        <w:gridCol w:w="109"/>
        <w:gridCol w:w="109"/>
        <w:gridCol w:w="109"/>
        <w:gridCol w:w="109"/>
        <w:gridCol w:w="253"/>
        <w:gridCol w:w="937"/>
        <w:gridCol w:w="131"/>
        <w:gridCol w:w="109"/>
        <w:gridCol w:w="109"/>
        <w:gridCol w:w="109"/>
        <w:gridCol w:w="211"/>
        <w:gridCol w:w="76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Estimated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Completed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14,087.1 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(6,423.0)</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7,664.1 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14,138.4 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(6,254.1)</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7,884.3 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In-process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Indefinite until commercialization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Priority review voucher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15,890.5 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(6,423.0)</w:t>
            </w:r>
          </w:p>
        </w:tc>
        <w:tc>
          <w:tcPr>
            <w:tcW w:w="1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9,467.5 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15,945.3 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(6,254.1)</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9,691.2 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Amortization and Impairments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the 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months ended June 30, 2025, amortization and impairment of acquired intangible assets totale</w:t>
      </w:r>
      <w:r>
        <w:rPr>
          <w:rFonts w:ascii="Franklin Gothic Book;sans-serif" w:hAnsi="Franklin Gothic Book;sans-serif"/>
          <w:b w:val="false"/>
          <w:color w:val="000000"/>
          <w:sz w:val="20"/>
        </w:rPr>
        <w:t xml:space="preserve">d $130.9 million and $242.7 million, respectively, compared to $86.9 million and $165.2 million, respectively, </w:t>
      </w:r>
      <w:r>
        <w:rPr>
          <w:rFonts w:ascii="Franklin Gothic Book;sans-serif" w:hAnsi="Franklin Gothic Book;sans-serif"/>
          <w:b w:val="false"/>
          <w:color w:val="000000"/>
          <w:sz w:val="20"/>
          <w:shd w:fill="FFFFFF" w:val="clear"/>
        </w:rPr>
        <w:t>in the prior year comparative periods.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the 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June 30, 2025, amortization of acquired intangible assets, excluding impairment charges, totaled </w:t>
      </w:r>
      <w:r>
        <w:rPr>
          <w:rFonts w:ascii="Franklin Gothic Book;sans-serif" w:hAnsi="Franklin Gothic Book;sans-serif"/>
          <w:b w:val="false"/>
          <w:color w:val="000000"/>
          <w:sz w:val="20"/>
        </w:rPr>
        <w:t xml:space="preserve">$127.4 million and $239.2 million, respectively, </w:t>
      </w:r>
      <w:r>
        <w:rPr>
          <w:rFonts w:ascii="Franklin Gothic Book;sans-serif" w:hAnsi="Franklin Gothic Book;sans-serif"/>
          <w:b w:val="false"/>
          <w:color w:val="000000"/>
          <w:sz w:val="20"/>
          <w:shd w:fill="FFFFFF" w:val="clear"/>
        </w:rPr>
        <w:t xml:space="preserve">compared to </w:t>
      </w:r>
      <w:r>
        <w:rPr>
          <w:rFonts w:ascii="Franklin Gothic Book;sans-serif" w:hAnsi="Franklin Gothic Book;sans-serif"/>
          <w:b w:val="false"/>
          <w:color w:val="000000"/>
          <w:sz w:val="20"/>
        </w:rPr>
        <w:t xml:space="preserve">$86.9 million and $165.2 million, respectively, in the prior year comparative periods. </w:t>
      </w:r>
      <w:r>
        <w:rPr>
          <w:rFonts w:ascii="Franklin Gothic Book;sans-serif" w:hAnsi="Franklin Gothic Book;sans-serif"/>
          <w:b w:val="false"/>
          <w:color w:val="000000"/>
          <w:sz w:val="20"/>
          <w:shd w:fill="FFFFFF" w:val="clear"/>
        </w:rPr>
        <w:t>Th</w:t>
      </w:r>
      <w:r>
        <w:rPr>
          <w:rFonts w:ascii="Franklin Gothic Book;sans-serif" w:hAnsi="Franklin Gothic Book;sans-serif"/>
          <w:b w:val="false"/>
          <w:color w:val="000000"/>
          <w:sz w:val="20"/>
        </w:rPr>
        <w:t>e increases were primarily due to amortization for the acquired intangible assets associated with SKYCLARYS and TYSABRI.</w:t>
      </w:r>
    </w:p>
    <w:p>
      <w:pPr>
        <w:pStyle w:val="TextBody"/>
        <w:bidi w:val="0"/>
        <w:spacing w:lineRule="auto" w:line="288" w:before="120" w:after="283"/>
        <w:jc w:val="left"/>
        <w:rPr/>
      </w:pPr>
      <w:r>
        <w:rPr>
          <w:rFonts w:ascii="Franklin Gothic Book;sans-serif" w:hAnsi="Franklin Gothic Book;sans-serif"/>
          <w:b w:val="false"/>
          <w:color w:val="000000"/>
          <w:sz w:val="20"/>
        </w:rPr>
        <w:t>For the three and six months ended June 30, 2025, amortization and impairment of acquired intangible assets reflects the impact of a $3.5 million impairment charge related to a compound acquired from HI-Bio. For the three and six months ended June 30, 2024, we had no im</w:t>
      </w:r>
      <w:r>
        <w:rPr>
          <w:rFonts w:ascii="Franklin Gothic Book;sans-serif" w:hAnsi="Franklin Gothic Book;sans-serif"/>
          <w:b w:val="false"/>
          <w:color w:val="000000"/>
          <w:sz w:val="20"/>
          <w:shd w:fill="FFFFFF" w:val="clear"/>
        </w:rPr>
        <w:t>pair</w:t>
      </w:r>
      <w:r>
        <w:rPr>
          <w:rFonts w:ascii="Franklin Gothic Book;sans-serif" w:hAnsi="Franklin Gothic Book;sans-serif"/>
          <w:b w:val="false"/>
          <w:color w:val="000000"/>
          <w:sz w:val="20"/>
        </w:rPr>
        <w:t>ment charges.</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Completed Technology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Completed technology primarily relates to our other marketed products and programs acquired through asset acquisitions, licenses and business combinations. Completed technology intangible assets are amortized over their estimated useful lives, which range between 2 to 31 years, with a remaining weighted average useful life of 12 years.</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IPR&amp;D Related to Business Combinations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carrying value associated with our IPR&amp;D assets as of June 30, 2025 and December 31, 2024, primarily relates to the IPR&amp;D programs we acquired in connection with our acquisition of HI-Bio in July 2024, with an estimated fair value of approximately $1.6 billion.</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Priority Review Voucher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Reata in September 2023 we acquired a rare pediatric disease PRV which may be used to obtain priority review by the FDA for a future regulatory submission or sold to a third party. We recorded the PRV based on its estimated fair value of $100.0 million as an intangible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Estimated Future Amortization of Intangible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estimated future amortization of finite-lived intangible assets for the next five years is expected to be as follows:</w:t>
      </w:r>
    </w:p>
    <w:tbl>
      <w:tblPr>
        <w:tblW w:w="4856"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432"/>
        <w:gridCol w:w="1262"/>
        <w:gridCol w:w="315"/>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2025 (remaining 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240.0 </w:t>
            </w:r>
          </w:p>
        </w:tc>
        <w:tc>
          <w:tcPr>
            <w:tcW w:w="3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565.0 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600.0 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630.0 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665.0 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700.0 </w:t>
            </w:r>
          </w:p>
        </w:tc>
        <w:tc>
          <w:tcPr>
            <w:tcW w:w="3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Franklin Gothic Book;sans-serif" w:hAnsi="Franklin Gothic Book;sans-serif"/>
          <w:b/>
          <w:color w:val="2573BA"/>
          <w:sz w:val="22"/>
        </w:rPr>
      </w:pPr>
      <w:r>
        <w:rPr>
          <w:rFonts w:ascii="Franklin Gothic Book;sans-serif" w:hAnsi="Franklin Gothic Book;sans-serif"/>
          <w:b/>
          <w:color w:val="2573BA"/>
          <w:sz w:val="22"/>
        </w:rPr>
        <w:t>Goodwill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provides a roll forward of the changes in our goodwill balance:</w:t>
      </w:r>
    </w:p>
    <w:tbl>
      <w:tblPr>
        <w:tblW w:w="6042" w:type="dxa"/>
        <w:jc w:val="left"/>
        <w:tblInd w:w="0" w:type="dxa"/>
        <w:tblLayout w:type="fixed"/>
        <w:tblCellMar>
          <w:top w:w="28" w:type="dxa"/>
          <w:left w:w="28" w:type="dxa"/>
          <w:bottom w:w="28" w:type="dxa"/>
          <w:right w:w="28" w:type="dxa"/>
        </w:tblCellMar>
      </w:tblPr>
      <w:tblGrid>
        <w:gridCol w:w="1341"/>
        <w:gridCol w:w="1179"/>
        <w:gridCol w:w="1185"/>
        <w:gridCol w:w="109"/>
        <w:gridCol w:w="109"/>
        <w:gridCol w:w="109"/>
        <w:gridCol w:w="375"/>
        <w:gridCol w:w="1362"/>
        <w:gridCol w:w="273"/>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6,478.9 </w:t>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Goodwill resulting from HI-Bio acquisition</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6,493.1 </w:t>
            </w:r>
          </w:p>
        </w:tc>
        <w:tc>
          <w:tcPr>
            <w:tcW w:w="2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Goodwill resulting from the HI-Bio acquisition relates to HI-Bio measurement period adjustments recognized during 2025 related to certain income tax adjustments. For additional information on our acquisition of HI-Bio, please read </w:t>
      </w:r>
      <w:r>
        <w:rPr>
          <w:rFonts w:ascii="Franklin Gothic Book;sans-serif" w:hAnsi="Franklin Gothic Book;sans-serif"/>
          <w:b w:val="false"/>
          <w:i/>
          <w:color w:val="000000"/>
          <w:sz w:val="16"/>
        </w:rPr>
        <w:t>Note 2, Acquisitions</w:t>
      </w:r>
      <w:r>
        <w:rPr>
          <w:rFonts w:ascii="Franklin Gothic Book;sans-serif" w:hAnsi="Franklin Gothic Book;sans-serif"/>
          <w:b w:val="false"/>
          <w:color w:val="000000"/>
          <w:sz w:val="16"/>
        </w:rPr>
        <w:t>, to these condensed consolidated financial statements.</w:t>
      </w:r>
    </w:p>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Other includes adjustments related to foreign currency exchange rate fluctuations.</w:t>
      </w:r>
    </w:p>
    <w:p>
      <w:pPr>
        <w:pStyle w:val="TextBody"/>
        <w:bidi w:val="0"/>
        <w:spacing w:lineRule="auto" w:line="288" w:before="120" w:after="283"/>
        <w:jc w:val="left"/>
        <w:rPr/>
      </w:pPr>
      <w:r>
        <w:rPr>
          <w:rFonts w:ascii="Franklin Gothic Book;sans-serif" w:hAnsi="Franklin Gothic Book;sans-serif"/>
          <w:b w:val="false"/>
          <w:color w:val="000000"/>
          <w:sz w:val="20"/>
        </w:rPr>
        <w:t>As of June 30, 2025, we had</w:t>
      </w:r>
      <w:r>
        <w:rPr>
          <w:color w:val="000000"/>
          <w:shd w:fill="FFFFFF" w:val="clear"/>
        </w:rPr>
        <w:t xml:space="preserve"> </w:t>
      </w:r>
      <w:r>
        <w:rPr>
          <w:rFonts w:ascii="Franklin Gothic Book;sans-serif" w:hAnsi="Franklin Gothic Book;sans-serif"/>
          <w:b w:val="false"/>
          <w:color w:val="000000"/>
          <w:sz w:val="20"/>
        </w:rPr>
        <w:t>no</w:t>
      </w:r>
      <w:r>
        <w:rPr>
          <w:color w:val="000000"/>
          <w:shd w:fill="FFFFFF" w:val="clear"/>
        </w:rPr>
        <w:t xml:space="preserve"> </w:t>
      </w:r>
      <w:r>
        <w:rPr>
          <w:rFonts w:ascii="Franklin Gothic Book;sans-serif" w:hAnsi="Franklin Gothic Book;sans-serif"/>
          <w:b w:val="false"/>
          <w:color w:val="000000"/>
          <w:sz w:val="20"/>
        </w:rPr>
        <w:t>impairment losses related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4738" w:type="dxa"/>
        <w:jc w:val="left"/>
        <w:tblInd w:w="0" w:type="dxa"/>
        <w:tblLayout w:type="fixed"/>
        <w:tblCellMar>
          <w:top w:w="28" w:type="dxa"/>
          <w:left w:w="28" w:type="dxa"/>
          <w:bottom w:w="28" w:type="dxa"/>
          <w:right w:w="28" w:type="dxa"/>
        </w:tblCellMar>
      </w:tblPr>
      <w:tblGrid>
        <w:gridCol w:w="401"/>
        <w:gridCol w:w="353"/>
        <w:gridCol w:w="355"/>
        <w:gridCol w:w="1062"/>
        <w:gridCol w:w="1062"/>
        <w:gridCol w:w="1505"/>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8:</w:t>
            </w:r>
          </w:p>
        </w:tc>
        <w:tc>
          <w:tcPr>
            <w:tcW w:w="362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Fair Value Measurements</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tables below present information about our assets and liabilities that are regularly measured and carried at fair value and indicate the level within the fair value hierarchy of the valuation techniques we utilized to determine such fair value:</w:t>
      </w:r>
    </w:p>
    <w:tbl>
      <w:tblPr>
        <w:tblW w:w="10205" w:type="dxa"/>
        <w:jc w:val="left"/>
        <w:tblInd w:w="0" w:type="dxa"/>
        <w:tblLayout w:type="fixed"/>
        <w:tblCellMar>
          <w:top w:w="28" w:type="dxa"/>
          <w:left w:w="28" w:type="dxa"/>
          <w:bottom w:w="28" w:type="dxa"/>
          <w:right w:w="28" w:type="dxa"/>
        </w:tblCellMar>
      </w:tblPr>
      <w:tblGrid>
        <w:gridCol w:w="1195"/>
        <w:gridCol w:w="1043"/>
        <w:gridCol w:w="1046"/>
        <w:gridCol w:w="109"/>
        <w:gridCol w:w="109"/>
        <w:gridCol w:w="109"/>
        <w:gridCol w:w="211"/>
        <w:gridCol w:w="766"/>
        <w:gridCol w:w="109"/>
        <w:gridCol w:w="109"/>
        <w:gridCol w:w="109"/>
        <w:gridCol w:w="109"/>
        <w:gridCol w:w="318"/>
        <w:gridCol w:w="928"/>
        <w:gridCol w:w="165"/>
        <w:gridCol w:w="109"/>
        <w:gridCol w:w="109"/>
        <w:gridCol w:w="109"/>
        <w:gridCol w:w="327"/>
        <w:gridCol w:w="1190"/>
        <w:gridCol w:w="170"/>
        <w:gridCol w:w="109"/>
        <w:gridCol w:w="109"/>
        <w:gridCol w:w="109"/>
        <w:gridCol w:w="306"/>
        <w:gridCol w:w="895"/>
        <w:gridCol w:w="228"/>
      </w:tblGrid>
      <w:tr>
        <w:trPr/>
        <w:tc>
          <w:tcPr>
            <w:tcW w:w="119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 Measurements on a Recurring Basis</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4" w:type="dxa"/>
            <w:gridSpan w:val="21"/>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Quoted Prices</w:t>
              <w:br/>
              <w:t>in 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w:t>
              <w:br/>
              <w:t>Inputs</w:t>
              <w:br/>
              <w:t>(Level 3)</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2,234.9 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2,234.9 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157.0 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31.7 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Convertible note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30.0 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Plan assets for 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50.1 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2,503.7 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157.0 </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2,316.7 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30.0 </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123.7 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297.2 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26.8 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237.7 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685.4 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ACB"/>
              </w:rPr>
            </w:pPr>
            <w:r>
              <w:rPr>
                <w:color w:val="257ACB"/>
              </w:rPr>
              <w:t>— </w:t>
            </w:r>
          </w:p>
        </w:tc>
        <w:tc>
          <w:tcPr>
            <w:tcW w:w="1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150.5 </w:t>
            </w:r>
          </w:p>
        </w:tc>
        <w:tc>
          <w:tcPr>
            <w:tcW w:w="1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534.9 </w:t>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 xml:space="preserve">As part of our strategic research arrangement with City Therapeutics we invested in a convertible note, for which we elected the fair value option. For additional information on the arrangement with City Therapeutics, please read </w:t>
      </w:r>
      <w:r>
        <w:rPr>
          <w:rFonts w:ascii="Franklin Gothic Book;sans-serif" w:hAnsi="Franklin Gothic Book;sans-serif"/>
          <w:b w:val="false"/>
          <w:i/>
          <w:color w:val="000000"/>
          <w:sz w:val="16"/>
        </w:rPr>
        <w:t>Note 19, Collaborative and Other Relationships,</w:t>
      </w:r>
      <w:r>
        <w:rPr>
          <w:color w:val="000000"/>
        </w:rPr>
        <w:t xml:space="preserve"> </w:t>
      </w:r>
      <w:r>
        <w:rPr>
          <w:rFonts w:ascii="Franklin Gothic Book;sans-serif" w:hAnsi="Franklin Gothic Book;sans-serif"/>
          <w:b w:val="false"/>
          <w:color w:val="000000"/>
          <w:sz w:val="16"/>
        </w:rPr>
        <w:t>to these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Layout w:type="fixed"/>
        <w:tblCellMar>
          <w:top w:w="28" w:type="dxa"/>
          <w:left w:w="28" w:type="dxa"/>
          <w:bottom w:w="28" w:type="dxa"/>
          <w:right w:w="28" w:type="dxa"/>
        </w:tblCellMar>
      </w:tblPr>
      <w:tblGrid>
        <w:gridCol w:w="1195"/>
        <w:gridCol w:w="1043"/>
        <w:gridCol w:w="1046"/>
        <w:gridCol w:w="109"/>
        <w:gridCol w:w="109"/>
        <w:gridCol w:w="109"/>
        <w:gridCol w:w="211"/>
        <w:gridCol w:w="766"/>
        <w:gridCol w:w="109"/>
        <w:gridCol w:w="109"/>
        <w:gridCol w:w="109"/>
        <w:gridCol w:w="109"/>
        <w:gridCol w:w="318"/>
        <w:gridCol w:w="928"/>
        <w:gridCol w:w="165"/>
        <w:gridCol w:w="109"/>
        <w:gridCol w:w="109"/>
        <w:gridCol w:w="109"/>
        <w:gridCol w:w="327"/>
        <w:gridCol w:w="1190"/>
        <w:gridCol w:w="170"/>
        <w:gridCol w:w="109"/>
        <w:gridCol w:w="109"/>
        <w:gridCol w:w="109"/>
        <w:gridCol w:w="306"/>
        <w:gridCol w:w="895"/>
        <w:gridCol w:w="228"/>
      </w:tblGrid>
      <w:tr>
        <w:trPr/>
        <w:tc>
          <w:tcPr>
            <w:tcW w:w="119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 Measurements on a Recurring Basis</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Quoted Prices</w:t>
              <w:br/>
              <w:t>in 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w:t>
              <w:br/>
              <w:t>Inputs</w:t>
              <w:br/>
              <w:t>(Level 3)</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1,664.9 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Plan assets for 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179.7 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1,770.2 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9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291.2 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221.6 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512.8 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marketable equity securities represent investments in publicly traded equity securities. Our ability to liquidate our investment in Denali may be limited by the size of our interest, the volume of market-related activity, our concentrated level of ownership and potential restrictions resulting from our status as a collaborator. Therefore, we may realize significantly less than the current value of such investments.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Sage announced it entered into a definitive agreement for Supernus Pharmaceuticals, Inc. to acquire Sage, with the transaction expected to close in the third quarter of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set forth in the amended Schedule 13D we filed with the SEC on July 30, 2025, we have disposed of all of our shares of Sage common stock in a block trade.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investments in Denali and Sage common stock,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2024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have been no material impairments of our assets measured and carried at fair value as of June 30, 2025 and December 31, 2024. In addition, there have been no changes to our valuation techniques as of June 30, 2025 and December 31, 2024.</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description of our validation procedures related to prices provided by third-party pricing services and our option pricing valuation model, please read </w:t>
      </w:r>
      <w:r>
        <w:rPr>
          <w:rFonts w:ascii="Franklin Gothic Book;sans-serif" w:hAnsi="Franklin Gothic Book;sans-serif"/>
          <w:b w:val="false"/>
          <w:i/>
          <w:color w:val="000000"/>
          <w:sz w:val="20"/>
        </w:rPr>
        <w:t>Note 1, Summary of Significant Accounting Policies - Fair Value Measurements,</w:t>
      </w:r>
      <w:r>
        <w:rPr>
          <w:color w:val="000000"/>
        </w:rPr>
        <w:t xml:space="preserve"> </w:t>
      </w:r>
      <w:r>
        <w:rPr>
          <w:rFonts w:ascii="Franklin Gothic Book;sans-serif" w:hAnsi="Franklin Gothic Book;sans-serif"/>
          <w:b w:val="false"/>
          <w:color w:val="000000"/>
          <w:sz w:val="20"/>
        </w:rPr>
        <w:t xml:space="preserve">to our consolidated financial statements included in our 2024 Form 10-K. </w:t>
      </w:r>
    </w:p>
    <w:p>
      <w:pPr>
        <w:pStyle w:val="TextBody"/>
        <w:bidi w:val="0"/>
        <w:spacing w:lineRule="auto" w:line="288" w:before="120" w:after="283"/>
        <w:jc w:val="left"/>
        <w:rPr>
          <w:rFonts w:ascii="Franklin Gothic Book;sans-serif" w:hAnsi="Franklin Gothic Book;sans-serif"/>
          <w:b/>
          <w:color w:val="0070C0"/>
          <w:sz w:val="24"/>
        </w:rPr>
      </w:pPr>
      <w:r>
        <w:rPr>
          <w:rFonts w:ascii="Franklin Gothic Book;sans-serif" w:hAnsi="Franklin Gothic Book;sans-serif"/>
          <w:b/>
          <w:color w:val="0070C0"/>
          <w:sz w:val="24"/>
        </w:rPr>
        <w:t>Level 3 Assets and Liabilities Held at Fair Value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presents quantitative information, as of the dates indicated, about the valuation techniques and significant unobservable inputs used in the valuation of our Level 3 financial assets and liabilities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Layout w:type="fixed"/>
        <w:tblCellMar>
          <w:top w:w="28" w:type="dxa"/>
          <w:left w:w="28" w:type="dxa"/>
          <w:bottom w:w="28" w:type="dxa"/>
          <w:right w:w="28" w:type="dxa"/>
        </w:tblCellMar>
      </w:tblPr>
      <w:tblGrid>
        <w:gridCol w:w="649"/>
        <w:gridCol w:w="529"/>
        <w:gridCol w:w="534"/>
        <w:gridCol w:w="109"/>
        <w:gridCol w:w="109"/>
        <w:gridCol w:w="109"/>
        <w:gridCol w:w="243"/>
        <w:gridCol w:w="710"/>
        <w:gridCol w:w="125"/>
        <w:gridCol w:w="125"/>
        <w:gridCol w:w="125"/>
        <w:gridCol w:w="125"/>
        <w:gridCol w:w="435"/>
        <w:gridCol w:w="435"/>
        <w:gridCol w:w="436"/>
        <w:gridCol w:w="125"/>
        <w:gridCol w:w="125"/>
        <w:gridCol w:w="125"/>
        <w:gridCol w:w="755"/>
        <w:gridCol w:w="755"/>
        <w:gridCol w:w="757"/>
        <w:gridCol w:w="125"/>
        <w:gridCol w:w="125"/>
        <w:gridCol w:w="125"/>
        <w:gridCol w:w="257"/>
        <w:gridCol w:w="257"/>
        <w:gridCol w:w="259"/>
        <w:gridCol w:w="125"/>
        <w:gridCol w:w="125"/>
        <w:gridCol w:w="125"/>
        <w:gridCol w:w="256"/>
        <w:gridCol w:w="256"/>
        <w:gridCol w:w="730"/>
      </w:tblGrid>
      <w:tr>
        <w:trPr/>
        <w:tc>
          <w:tcPr>
            <w:tcW w:w="64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Quantitative Information about Level 3 Fair Value Measurements</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27"/>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As of June 30, 2025</w:t>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Valuation Technique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 Input(s)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Range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Weighted Average</w:t>
            </w:r>
          </w:p>
        </w:tc>
      </w:tr>
      <w:tr>
        <w:trPr/>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7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534.9 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Discounted cash flow</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 rate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5.6% - 5.7%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5.7 </w:t>
            </w:r>
          </w:p>
        </w:tc>
        <w:tc>
          <w:tcPr>
            <w:tcW w:w="7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Expected timing of achievement of development milestones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2025 - 2030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70C0"/>
              </w:rPr>
            </w:pPr>
            <w:r>
              <w:rPr>
                <w:color w:val="0070C0"/>
              </w:rPr>
              <w:t>— </w:t>
            </w:r>
          </w:p>
        </w:tc>
        <w:tc>
          <w:tcPr>
            <w:tcW w:w="7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9"/>
        <w:gridCol w:w="529"/>
        <w:gridCol w:w="534"/>
        <w:gridCol w:w="109"/>
        <w:gridCol w:w="109"/>
        <w:gridCol w:w="109"/>
        <w:gridCol w:w="243"/>
        <w:gridCol w:w="710"/>
        <w:gridCol w:w="125"/>
        <w:gridCol w:w="125"/>
        <w:gridCol w:w="125"/>
        <w:gridCol w:w="125"/>
        <w:gridCol w:w="435"/>
        <w:gridCol w:w="435"/>
        <w:gridCol w:w="436"/>
        <w:gridCol w:w="125"/>
        <w:gridCol w:w="125"/>
        <w:gridCol w:w="125"/>
        <w:gridCol w:w="755"/>
        <w:gridCol w:w="755"/>
        <w:gridCol w:w="757"/>
        <w:gridCol w:w="125"/>
        <w:gridCol w:w="125"/>
        <w:gridCol w:w="125"/>
        <w:gridCol w:w="257"/>
        <w:gridCol w:w="257"/>
        <w:gridCol w:w="259"/>
        <w:gridCol w:w="125"/>
        <w:gridCol w:w="125"/>
        <w:gridCol w:w="125"/>
        <w:gridCol w:w="256"/>
        <w:gridCol w:w="256"/>
        <w:gridCol w:w="730"/>
      </w:tblGrid>
      <w:tr>
        <w:trPr/>
        <w:tc>
          <w:tcPr>
            <w:tcW w:w="64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Quantitative Information about Level 3 Fair Value Measurements</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Valuation Technique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 Input(s)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Range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Weighted Average</w:t>
            </w:r>
          </w:p>
        </w:tc>
      </w:tr>
      <w:tr>
        <w:trPr/>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512.8 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Discounted cash flow</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 rate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6.2% - 6.3%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Expected timing of achievement of development milestones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2025 - 2030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weighted average discount rates were calculated based on the relative fair values of each distinct contingent consideration obligation related to our acquisition of HI-Bio in July 2024. In addition, we apply various probabilities of technological and regulatory success to the valuation models to estimate the fair values of these contingent consideration obligations, which ranged from approximately 70.0% to near certain probability as of June 30, 2025 and December 31, 2024.</w:t>
      </w:r>
    </w:p>
    <w:p>
      <w:pPr>
        <w:pStyle w:val="TextBody"/>
        <w:bidi w:val="0"/>
        <w:spacing w:lineRule="auto" w:line="288" w:before="120" w:after="283"/>
        <w:jc w:val="left"/>
        <w:rPr/>
      </w:pPr>
      <w:r>
        <w:rPr>
          <w:rFonts w:ascii="Franklin Gothic Book;sans-serif" w:hAnsi="Franklin Gothic Book;sans-serif"/>
          <w:b w:val="false"/>
          <w:color w:val="000000"/>
          <w:sz w:val="20"/>
        </w:rPr>
        <w:t>There were</w:t>
      </w:r>
      <w:r>
        <w:rPr>
          <w:color w:val="000000"/>
          <w:shd w:fill="FFFFFF" w:val="clear"/>
        </w:rPr>
        <w:t xml:space="preserve"> </w:t>
      </w:r>
      <w:r>
        <w:rPr>
          <w:rFonts w:ascii="Franklin Gothic Book;sans-serif" w:hAnsi="Franklin Gothic Book;sans-serif"/>
          <w:b w:val="false"/>
          <w:color w:val="000000"/>
          <w:sz w:val="20"/>
          <w:shd w:fill="FFFFFF" w:val="clear"/>
        </w:rPr>
        <w:t>no tr</w:t>
      </w:r>
      <w:r>
        <w:rPr>
          <w:rFonts w:ascii="Franklin Gothic Book;sans-serif" w:hAnsi="Franklin Gothic Book;sans-serif"/>
          <w:b w:val="false"/>
          <w:color w:val="000000"/>
          <w:sz w:val="20"/>
        </w:rPr>
        <w:t>ansfers of assets or liabilities into or out of Level 3 as of June 30, 2025 and December 31, 2024.</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Contingent Consideration Obligations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HI-Bio in July 2024 we agreed to make additional payments based upon the achievement of certain milestone events. The following table provides a roll forward of the fair value of our contingent consideration obligations, which were classified as Level 3 measurements:</w:t>
      </w:r>
    </w:p>
    <w:tbl>
      <w:tblPr>
        <w:tblW w:w="10205" w:type="dxa"/>
        <w:jc w:val="left"/>
        <w:tblInd w:w="0" w:type="dxa"/>
        <w:tblLayout w:type="fixed"/>
        <w:tblCellMar>
          <w:top w:w="28" w:type="dxa"/>
          <w:left w:w="28" w:type="dxa"/>
          <w:bottom w:w="28" w:type="dxa"/>
          <w:right w:w="28" w:type="dxa"/>
        </w:tblCellMar>
      </w:tblPr>
      <w:tblGrid>
        <w:gridCol w:w="846"/>
        <w:gridCol w:w="727"/>
        <w:gridCol w:w="731"/>
        <w:gridCol w:w="109"/>
        <w:gridCol w:w="109"/>
        <w:gridCol w:w="109"/>
        <w:gridCol w:w="783"/>
        <w:gridCol w:w="2289"/>
        <w:gridCol w:w="404"/>
        <w:gridCol w:w="109"/>
        <w:gridCol w:w="109"/>
        <w:gridCol w:w="109"/>
        <w:gridCol w:w="109"/>
        <w:gridCol w:w="109"/>
        <w:gridCol w:w="740"/>
        <w:gridCol w:w="2163"/>
        <w:gridCol w:w="382"/>
        <w:gridCol w:w="109"/>
        <w:gridCol w:w="159"/>
      </w:tblGrid>
      <w:tr>
        <w:trPr/>
        <w:tc>
          <w:tcPr>
            <w:tcW w:w="8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For the 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Fair value,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2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522.4 </w:t>
            </w:r>
          </w:p>
        </w:tc>
        <w:tc>
          <w:tcPr>
            <w:tcW w:w="4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21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512.8 </w:t>
            </w:r>
          </w:p>
        </w:tc>
        <w:tc>
          <w:tcPr>
            <w:tcW w:w="3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Changes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13.2 </w:t>
            </w:r>
          </w:p>
        </w:tc>
        <w:tc>
          <w:tcPr>
            <w:tcW w:w="4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22.8 </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(0.7)</w:t>
            </w:r>
          </w:p>
        </w:tc>
        <w:tc>
          <w:tcPr>
            <w:tcW w:w="4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(0.7)</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Fair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2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534.9 </w:t>
            </w:r>
          </w:p>
        </w:tc>
        <w:tc>
          <w:tcPr>
            <w:tcW w:w="4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2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534.9 </w:t>
            </w:r>
          </w:p>
        </w:tc>
        <w:tc>
          <w:tcPr>
            <w:tcW w:w="3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color w:val="000000"/>
          <w:sz w:val="20"/>
        </w:rPr>
        <w:t xml:space="preserve">Changes in the fair value of our contingent consideration obligations are recorded in (gain) loss on fair value remeasurement of contingent consideration in our condensed consolidated statements of income. 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Franklin Gothic Book;sans-serif" w:hAnsi="Franklin Gothic Book;sans-serif"/>
          <w:b w:val="false"/>
          <w:i/>
          <w:color w:val="000000"/>
          <w:sz w:val="20"/>
        </w:rPr>
        <w:t>Note 1, Summary of Significant Accounting Policies</w:t>
      </w:r>
      <w:r>
        <w:rPr>
          <w:rFonts w:ascii="Franklin Gothic Book;sans-serif" w:hAnsi="Franklin Gothic Book;sans-serif"/>
          <w:b w:val="false"/>
          <w:color w:val="000000"/>
          <w:sz w:val="20"/>
        </w:rPr>
        <w:t>, to our consolidated financial statements included in our 2024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2025 and December 31, 2024, approximately $297.2 million and $291.2 million, respectively, of the fair value of the total contingent consideration obligations were classified as short-term and reflected as a component of accrued expense and other with the remaining $237.7 million and $221.6 million, respectively, reflected as a component of other long-term liabilities in our condensed consolidated balance sheets.</w:t>
      </w:r>
    </w:p>
    <w:p>
      <w:pPr>
        <w:pStyle w:val="TextBody"/>
        <w:bidi w:val="0"/>
        <w:spacing w:lineRule="auto" w:line="288" w:before="120" w:after="283"/>
        <w:jc w:val="left"/>
        <w:rPr/>
      </w:pPr>
      <w:r>
        <w:rPr>
          <w:rFonts w:ascii="Franklin Gothic Book;sans-serif" w:hAnsi="Franklin Gothic Book;sans-serif"/>
          <w:b w:val="false"/>
          <w:color w:val="000000"/>
          <w:sz w:val="20"/>
        </w:rPr>
        <w:t>F</w:t>
      </w:r>
      <w:r>
        <w:rPr>
          <w:rFonts w:ascii="Franklin Gothic Book;sans-serif" w:hAnsi="Franklin Gothic Book;sans-serif"/>
          <w:b w:val="false"/>
          <w:color w:val="000000"/>
          <w:sz w:val="20"/>
          <w:shd w:fill="FFFFFF" w:val="clear"/>
        </w:rPr>
        <w:t xml:space="preserve">or the 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months ended June 30, 2025</w:t>
      </w:r>
      <w:r>
        <w:rPr>
          <w:rFonts w:ascii="Franklin Gothic Book;sans-serif" w:hAnsi="Franklin Gothic Book;sans-serif"/>
          <w:b w:val="false"/>
          <w:color w:val="000000"/>
          <w:sz w:val="20"/>
        </w:rPr>
        <w:t>, changes in the fair value of our contingent consideration obligations were primarily due to the passage of time.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2025 the first milestone related to the fourth patient dosed in a phase 3 clinical trial of felzartamab for AMR was achieved, resulting in a $150.0 million milestone payment made to the former shareholders of HI-Bio, which was substantially paid in July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color w:val="0070C0"/>
          <w:sz w:val="24"/>
          <w:shd w:fill="FFFFFF" w:val="clear"/>
        </w:rPr>
      </w:pPr>
      <w:r>
        <w:rPr>
          <w:rFonts w:ascii="Franklin Gothic Book;sans-serif" w:hAnsi="Franklin Gothic Book;sans-serif"/>
          <w:b/>
          <w:color w:val="0070C0"/>
          <w:sz w:val="24"/>
          <w:shd w:fill="FFFFFF" w:val="clear"/>
        </w:rPr>
        <w:t>Financial Instruments Not Carried at Fair Value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Other Financial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Due to the short-term nature of certain financial instruments, the carrying value reflected in our condensed consolidated balance sheets for current accounts receivable, due from anti-CD20 therapeutic programs, other current assets, accounts payable and accrued expense and other, approximates fair value.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Debt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fair and carrying values of our debt instruments, which are Level 2 liabilities, are summarized as follows:</w:t>
      </w:r>
    </w:p>
    <w:tbl>
      <w:tblPr>
        <w:tblW w:w="9792" w:type="dxa"/>
        <w:jc w:val="left"/>
        <w:tblInd w:w="0" w:type="dxa"/>
        <w:tblLayout w:type="fixed"/>
        <w:tblCellMar>
          <w:top w:w="28" w:type="dxa"/>
          <w:left w:w="28" w:type="dxa"/>
          <w:bottom w:w="28" w:type="dxa"/>
          <w:right w:w="28" w:type="dxa"/>
        </w:tblCellMar>
      </w:tblPr>
      <w:tblGrid>
        <w:gridCol w:w="1482"/>
        <w:gridCol w:w="1304"/>
        <w:gridCol w:w="13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Carrying</w:t>
              <w:br/>
              <w:t>Value</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4.050% Senior Notes due September 15, 2025</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portion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1,748.6 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Non-current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2.250% Senior Notes due May 1,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5.050% Senior Notes due January 15, 2031</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5.750% Senior Notes due May 15, 2035</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5.200% Senior Notes due September 15,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3.150% Senior Notes due May 1,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3.250% Senior Notes due February 15, 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6.450% Senior Notes due May 15, 2055</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721.7 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 portion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5,552.1 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6,283.7 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3,696.2 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4,547.2 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5,552.1 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6,283.7 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5,437.2 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6,295.8 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In May 2025 we issued our 2025 Senior Notes for an aggregate principal amount of $1.75 billion. In June 2025 we used the net proceeds from the sale of our 2025 Senior Notes to redeem in full our 4.050% Senior Notes due September 15, 2025, prior to maturity. For additional information, please read </w:t>
      </w:r>
      <w:r>
        <w:rPr>
          <w:rFonts w:ascii="Franklin Gothic Book;sans-serif" w:hAnsi="Franklin Gothic Book;sans-serif"/>
          <w:b w:val="false"/>
          <w:i/>
          <w:color w:val="000000"/>
          <w:sz w:val="16"/>
        </w:rPr>
        <w:t>Note 13, Indebtedness</w:t>
      </w:r>
      <w:r>
        <w:rPr>
          <w:rFonts w:ascii="Franklin Gothic Book;sans-serif" w:hAnsi="Franklin Gothic Book;sans-serif"/>
          <w:b w:val="false"/>
          <w:color w:val="000000"/>
          <w:sz w:val="16"/>
        </w:rPr>
        <w:t>, to these condensed consolidated financial statements.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 fair values of each of our series of Senior Notes were determined through market, observable and corroborated sources. The changes in the fair values of our Senior Notes as of June 30, 2025, compared to December 31, 2024, are primarily related to decreases in U.S. treasury yields, partially offset by increases in credit spreads used to value our Senior Notes since December 31, 2024. For additional information related to our Senior Notes, please read </w:t>
      </w:r>
      <w:r>
        <w:rPr>
          <w:rFonts w:ascii="Franklin Gothic Book;sans-serif" w:hAnsi="Franklin Gothic Book;sans-serif"/>
          <w:b w:val="false"/>
          <w:i/>
          <w:color w:val="000000"/>
          <w:sz w:val="20"/>
        </w:rPr>
        <w:t>Note 13,</w:t>
      </w:r>
      <w:r>
        <w:rPr>
          <w:color w:val="000000"/>
        </w:rPr>
        <w:t xml:space="preserve"> </w:t>
      </w:r>
      <w:r>
        <w:rPr>
          <w:rFonts w:ascii="Franklin Gothic Book;sans-serif" w:hAnsi="Franklin Gothic Book;sans-serif"/>
          <w:b w:val="false"/>
          <w:i/>
          <w:color w:val="000000"/>
          <w:sz w:val="20"/>
        </w:rPr>
        <w:t>Indebtedness,</w:t>
      </w:r>
      <w:r>
        <w:rPr>
          <w:color w:val="000000"/>
        </w:rPr>
        <w:t xml:space="preserve"> </w:t>
      </w:r>
      <w:r>
        <w:rPr>
          <w:rFonts w:ascii="Franklin Gothic Book;sans-serif" w:hAnsi="Franklin Gothic Book;sans-serif"/>
          <w:b w:val="false"/>
          <w:color w:val="000000"/>
          <w:sz w:val="20"/>
        </w:rPr>
        <w:t>to our consolidated financial statements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98" w:type="dxa"/>
        <w:jc w:val="left"/>
        <w:tblInd w:w="0" w:type="dxa"/>
        <w:tblLayout w:type="fixed"/>
        <w:tblCellMar>
          <w:top w:w="28" w:type="dxa"/>
          <w:left w:w="28" w:type="dxa"/>
          <w:bottom w:w="28" w:type="dxa"/>
          <w:right w:w="28" w:type="dxa"/>
        </w:tblCellMar>
      </w:tblPr>
      <w:tblGrid>
        <w:gridCol w:w="401"/>
        <w:gridCol w:w="353"/>
        <w:gridCol w:w="355"/>
        <w:gridCol w:w="905"/>
        <w:gridCol w:w="905"/>
        <w:gridCol w:w="1279"/>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9:</w:t>
            </w:r>
          </w:p>
        </w:tc>
        <w:tc>
          <w:tcPr>
            <w:tcW w:w="308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Financial Instruments</w:t>
            </w:r>
          </w:p>
        </w:tc>
      </w:tr>
    </w:tbl>
    <w:p>
      <w:pPr>
        <w:pStyle w:val="TextBody"/>
        <w:bidi w:val="0"/>
        <w:spacing w:lineRule="auto" w:line="288" w:before="120" w:after="120"/>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financial assets with maturities of less than 90 days from the date of purchase included in cash and cash equivalents in our condensed consolidated balance sheets:</w:t>
      </w:r>
    </w:p>
    <w:tbl>
      <w:tblPr>
        <w:tblW w:w="6967" w:type="dxa"/>
        <w:jc w:val="left"/>
        <w:tblInd w:w="0" w:type="dxa"/>
        <w:tblLayout w:type="fixed"/>
        <w:tblCellMar>
          <w:top w:w="28" w:type="dxa"/>
          <w:left w:w="28" w:type="dxa"/>
          <w:bottom w:w="28" w:type="dxa"/>
          <w:right w:w="28" w:type="dxa"/>
        </w:tblCellMar>
      </w:tblPr>
      <w:tblGrid>
        <w:gridCol w:w="662"/>
        <w:gridCol w:w="582"/>
        <w:gridCol w:w="585"/>
        <w:gridCol w:w="109"/>
        <w:gridCol w:w="109"/>
        <w:gridCol w:w="109"/>
        <w:gridCol w:w="381"/>
        <w:gridCol w:w="1386"/>
        <w:gridCol w:w="197"/>
        <w:gridCol w:w="109"/>
        <w:gridCol w:w="109"/>
        <w:gridCol w:w="109"/>
        <w:gridCol w:w="470"/>
        <w:gridCol w:w="1707"/>
        <w:gridCol w:w="343"/>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2,234.9 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1,664.9 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2,234.9 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1,664.9 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carrying value of our money market funds approximates fair value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marketable equity securities gains (losses) are recorded in other (income) expense, net in our condensed consolidated statements of income. The following tables summarize our marketable equity securities, classified as available-for-sale:</w:t>
      </w:r>
    </w:p>
    <w:tbl>
      <w:tblPr>
        <w:tblW w:w="9057" w:type="dxa"/>
        <w:jc w:val="left"/>
        <w:tblInd w:w="0" w:type="dxa"/>
        <w:tblLayout w:type="fixed"/>
        <w:tblCellMar>
          <w:top w:w="28" w:type="dxa"/>
          <w:left w:w="28" w:type="dxa"/>
          <w:bottom w:w="28" w:type="dxa"/>
          <w:right w:w="28" w:type="dxa"/>
        </w:tblCellMar>
      </w:tblPr>
      <w:tblGrid>
        <w:gridCol w:w="1287"/>
        <w:gridCol w:w="1131"/>
        <w:gridCol w:w="1137"/>
        <w:gridCol w:w="109"/>
        <w:gridCol w:w="109"/>
        <w:gridCol w:w="109"/>
        <w:gridCol w:w="236"/>
        <w:gridCol w:w="691"/>
        <w:gridCol w:w="124"/>
        <w:gridCol w:w="109"/>
        <w:gridCol w:w="109"/>
        <w:gridCol w:w="109"/>
        <w:gridCol w:w="314"/>
        <w:gridCol w:w="604"/>
        <w:gridCol w:w="163"/>
        <w:gridCol w:w="109"/>
        <w:gridCol w:w="109"/>
        <w:gridCol w:w="109"/>
        <w:gridCol w:w="239"/>
        <w:gridCol w:w="717"/>
        <w:gridCol w:w="125"/>
        <w:gridCol w:w="109"/>
        <w:gridCol w:w="109"/>
        <w:gridCol w:w="109"/>
        <w:gridCol w:w="211"/>
        <w:gridCol w:w="61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668.7 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(511.7)</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668.7 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257ACB"/>
              </w:rPr>
            </w:pPr>
            <w:r>
              <w:rPr>
                <w:color w:val="257ACB"/>
              </w:rPr>
              <w:t>— </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(511.7)</w:t>
            </w:r>
          </w:p>
        </w:tc>
        <w:tc>
          <w:tcPr>
            <w:tcW w:w="1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157.0 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57" w:type="dxa"/>
        <w:jc w:val="left"/>
        <w:tblInd w:w="0" w:type="dxa"/>
        <w:tblLayout w:type="fixed"/>
        <w:tblCellMar>
          <w:top w:w="28" w:type="dxa"/>
          <w:left w:w="28" w:type="dxa"/>
          <w:bottom w:w="28" w:type="dxa"/>
          <w:right w:w="28" w:type="dxa"/>
        </w:tblCellMar>
      </w:tblPr>
      <w:tblGrid>
        <w:gridCol w:w="1287"/>
        <w:gridCol w:w="1131"/>
        <w:gridCol w:w="1137"/>
        <w:gridCol w:w="109"/>
        <w:gridCol w:w="109"/>
        <w:gridCol w:w="109"/>
        <w:gridCol w:w="236"/>
        <w:gridCol w:w="691"/>
        <w:gridCol w:w="124"/>
        <w:gridCol w:w="109"/>
        <w:gridCol w:w="109"/>
        <w:gridCol w:w="109"/>
        <w:gridCol w:w="314"/>
        <w:gridCol w:w="604"/>
        <w:gridCol w:w="163"/>
        <w:gridCol w:w="109"/>
        <w:gridCol w:w="109"/>
        <w:gridCol w:w="109"/>
        <w:gridCol w:w="239"/>
        <w:gridCol w:w="717"/>
        <w:gridCol w:w="125"/>
        <w:gridCol w:w="109"/>
        <w:gridCol w:w="109"/>
        <w:gridCol w:w="109"/>
        <w:gridCol w:w="211"/>
        <w:gridCol w:w="61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668.7 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(489.0)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668.7 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(489.0)</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Strategic Investments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Our strategic investment portfolio includes investments in equity securities of certain biotechnology companies, which are reflected within our disclosures included in </w:t>
      </w:r>
      <w:r>
        <w:rPr>
          <w:rFonts w:ascii="Franklin Gothic Book;sans-serif" w:hAnsi="Franklin Gothic Book;sans-serif"/>
          <w:b w:val="false"/>
          <w:i/>
          <w:color w:val="000000"/>
          <w:sz w:val="20"/>
        </w:rPr>
        <w:t>Note 8, Fair Value Measurements,</w:t>
      </w:r>
      <w:r>
        <w:rPr>
          <w:color w:val="000000"/>
        </w:rPr>
        <w:t xml:space="preserve"> </w:t>
      </w:r>
      <w:r>
        <w:rPr>
          <w:rFonts w:ascii="Franklin Gothic Book;sans-serif" w:hAnsi="Franklin Gothic Book;sans-serif"/>
          <w:b w:val="false"/>
          <w:color w:val="000000"/>
          <w:sz w:val="20"/>
        </w:rPr>
        <w:t>to these condensed consolidated financial statements, as well as venture capital funds where the underlying investments are in equity securities of certain biotechnology companies and non-marketable equity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2025 and December 31, 2024, our strategic investment portfolio was comprised of investments totaling $224.0 million and $226.7 million, respectively, which are included in investments and other assets within our condensed consolidated balance sheets.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decrease in our strategic investment portfolio as of June 30, 2025, compared to December 31, 2024, was primarily due to the decrease in the fair value of our investment in Denali common stock, partially offset by an increase in the fair value of our investment in Sage common stock.</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investments in Denali and Sage common stock,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461"/>
        <w:gridCol w:w="406"/>
        <w:gridCol w:w="408"/>
        <w:gridCol w:w="962"/>
        <w:gridCol w:w="962"/>
        <w:gridCol w:w="136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10:</w:t>
            </w:r>
          </w:p>
        </w:tc>
        <w:tc>
          <w:tcPr>
            <w:tcW w:w="3284"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Derivative Instruments</w:t>
            </w:r>
          </w:p>
        </w:tc>
      </w:tr>
    </w:tbl>
    <w:p>
      <w:pPr>
        <w:pStyle w:val="TextBody"/>
        <w:bidi w:val="0"/>
        <w:spacing w:lineRule="auto" w:line="288" w:before="12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Foreign Currency Forward Contracts - Hedging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currency forward contracts and foreign currency options in effect as of June 30, 2025 and December 31, 2024, had durations of 1 to 24 months and 1 to 12 months, respectively.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condensed consolidated statements of income that have been impacted by the hedged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notional amount of foreign currency forward contracts and foreign currency options that were entered into to hedge forecasted revenue and operating expense is summarized as follows:</w:t>
      </w:r>
    </w:p>
    <w:tbl>
      <w:tblPr>
        <w:tblW w:w="9668" w:type="dxa"/>
        <w:jc w:val="left"/>
        <w:tblInd w:w="0" w:type="dxa"/>
        <w:tblLayout w:type="fixed"/>
        <w:tblCellMar>
          <w:top w:w="28" w:type="dxa"/>
          <w:left w:w="28" w:type="dxa"/>
          <w:bottom w:w="28" w:type="dxa"/>
          <w:right w:w="28" w:type="dxa"/>
        </w:tblCellMar>
      </w:tblPr>
      <w:tblGrid>
        <w:gridCol w:w="1640"/>
        <w:gridCol w:w="1442"/>
        <w:gridCol w:w="1448"/>
        <w:gridCol w:w="109"/>
        <w:gridCol w:w="109"/>
        <w:gridCol w:w="109"/>
        <w:gridCol w:w="381"/>
        <w:gridCol w:w="1386"/>
        <w:gridCol w:w="197"/>
        <w:gridCol w:w="109"/>
        <w:gridCol w:w="109"/>
        <w:gridCol w:w="109"/>
        <w:gridCol w:w="470"/>
        <w:gridCol w:w="1707"/>
        <w:gridCol w:w="343"/>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Notional Amount</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2,024.6 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1,062.6 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British pound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68.7 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133.8 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Swiss franc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128.5 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Canadian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38.6 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foreign currency forward contracts and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2,242.2 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1,235.0 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pre-tax portion of the fair value of these foreign currency forward contracts and foreign currency options that were included in AOCI in total equity is summarized as follows:</w:t>
      </w:r>
    </w:p>
    <w:tbl>
      <w:tblPr>
        <w:tblW w:w="7657" w:type="dxa"/>
        <w:jc w:val="left"/>
        <w:tblInd w:w="0" w:type="dxa"/>
        <w:tblLayout w:type="fixed"/>
        <w:tblCellMar>
          <w:top w:w="28" w:type="dxa"/>
          <w:left w:w="28" w:type="dxa"/>
          <w:bottom w:w="28" w:type="dxa"/>
          <w:right w:w="28" w:type="dxa"/>
        </w:tblCellMar>
      </w:tblPr>
      <w:tblGrid>
        <w:gridCol w:w="913"/>
        <w:gridCol w:w="802"/>
        <w:gridCol w:w="805"/>
        <w:gridCol w:w="109"/>
        <w:gridCol w:w="109"/>
        <w:gridCol w:w="109"/>
        <w:gridCol w:w="410"/>
        <w:gridCol w:w="1343"/>
        <w:gridCol w:w="211"/>
        <w:gridCol w:w="109"/>
        <w:gridCol w:w="109"/>
        <w:gridCol w:w="109"/>
        <w:gridCol w:w="605"/>
        <w:gridCol w:w="1468"/>
        <w:gridCol w:w="446"/>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17.9 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50.6 </w:t>
            </w:r>
          </w:p>
        </w:tc>
        <w:tc>
          <w:tcPr>
            <w:tcW w:w="4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(153.1)</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(135.2)</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50.3 </w:t>
            </w:r>
          </w:p>
        </w:tc>
        <w:tc>
          <w:tcPr>
            <w:tcW w:w="4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net unrealized losses of approximately $135.2 million to be settled over the next 24 months, of which approximately $111.1 million of these net unrealized losses 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June 30, 2025 and December 31, 2024, credit risk did not materially change the fair value of our foreign currency forward contracts and forward currency options.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tables summarize the effect of foreign currency forward contracts and forward currency options designated as hedging instruments in our condensed consolidated statements of income:</w:t>
      </w:r>
    </w:p>
    <w:tbl>
      <w:tblPr>
        <w:tblW w:w="10205" w:type="dxa"/>
        <w:jc w:val="left"/>
        <w:tblInd w:w="0" w:type="dxa"/>
        <w:tblLayout w:type="fixed"/>
        <w:tblCellMar>
          <w:top w:w="28" w:type="dxa"/>
          <w:left w:w="28" w:type="dxa"/>
          <w:bottom w:w="28" w:type="dxa"/>
          <w:right w:w="28" w:type="dxa"/>
        </w:tblCellMar>
      </w:tblPr>
      <w:tblGrid>
        <w:gridCol w:w="484"/>
        <w:gridCol w:w="425"/>
        <w:gridCol w:w="431"/>
        <w:gridCol w:w="165"/>
        <w:gridCol w:w="165"/>
        <w:gridCol w:w="165"/>
        <w:gridCol w:w="320"/>
        <w:gridCol w:w="860"/>
        <w:gridCol w:w="165"/>
        <w:gridCol w:w="165"/>
        <w:gridCol w:w="165"/>
        <w:gridCol w:w="165"/>
        <w:gridCol w:w="320"/>
        <w:gridCol w:w="776"/>
        <w:gridCol w:w="165"/>
        <w:gridCol w:w="109"/>
        <w:gridCol w:w="109"/>
        <w:gridCol w:w="109"/>
        <w:gridCol w:w="440"/>
        <w:gridCol w:w="440"/>
        <w:gridCol w:w="446"/>
        <w:gridCol w:w="177"/>
        <w:gridCol w:w="177"/>
        <w:gridCol w:w="177"/>
        <w:gridCol w:w="344"/>
        <w:gridCol w:w="755"/>
        <w:gridCol w:w="177"/>
        <w:gridCol w:w="177"/>
        <w:gridCol w:w="177"/>
        <w:gridCol w:w="177"/>
        <w:gridCol w:w="344"/>
        <w:gridCol w:w="662"/>
        <w:gridCol w:w="272"/>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49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Reclassified from AOCI into Operating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 Excluded from Effectiveness Testing and</w:t>
              <w:br/>
              <w:t>Recognized in Operating Income (in millions)</w:t>
            </w:r>
          </w:p>
        </w:tc>
      </w:tr>
      <w:tr>
        <w:trPr/>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(22.9)</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9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Reclassified from AOCI into Operating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 Excluded from Effectiveness Testing and</w:t>
              <w:br/>
              <w:t>Recognized in Operating Income (in millions)</w:t>
            </w:r>
          </w:p>
        </w:tc>
      </w:tr>
      <w:tr>
        <w:trPr/>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(12.0)</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7.3 </w:t>
            </w:r>
          </w:p>
        </w:tc>
        <w:tc>
          <w:tcPr>
            <w:tcW w:w="1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Franklin Gothic Book;sans-serif" w:hAnsi="Franklin Gothic Book;sans-serif"/>
          <w:b/>
          <w:color w:val="2573BA"/>
          <w:sz w:val="22"/>
        </w:rPr>
      </w:pPr>
      <w:r>
        <w:rPr>
          <w:rFonts w:ascii="Franklin Gothic Book;sans-serif" w:hAnsi="Franklin Gothic Book;sans-serif"/>
          <w:b/>
          <w:color w:val="2573BA"/>
          <w:sz w:val="22"/>
        </w:rPr>
        <w:t>Foreign Currency Forward Contracts - Other Derivative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enter into other foreign currency forward contracts, usually with durations of one month or less, to mitigate the foreign currency risk related to certain balance sheet positions. We have not elected hedge accounting for these transactions.</w:t>
      </w:r>
    </w:p>
    <w:p>
      <w:pPr>
        <w:pStyle w:val="TextBody"/>
        <w:bidi w:val="0"/>
        <w:spacing w:lineRule="auto" w:line="288" w:before="120" w:after="283"/>
        <w:jc w:val="left"/>
        <w:rPr/>
      </w:pPr>
      <w:r>
        <w:rPr>
          <w:rFonts w:ascii="Franklin Gothic Book;sans-serif" w:hAnsi="Franklin Gothic Book;sans-serif"/>
          <w:b w:val="false"/>
          <w:color w:val="000000"/>
          <w:sz w:val="20"/>
        </w:rPr>
        <w:t>The aggregate notional amount of these outstanding foreign currency forward contracts was $1,045.2 million and $738.7 million as of June 30, 2025 and December 31, 2024, respectively. Net gains of $27.7 million and $35.4 million</w:t>
      </w:r>
      <w:r>
        <w:rPr>
          <w:color w:val="000000"/>
        </w:rPr>
        <w:t xml:space="preserve"> </w:t>
      </w:r>
      <w:r>
        <w:rPr>
          <w:rFonts w:ascii="Franklin Gothic Book;sans-serif" w:hAnsi="Franklin Gothic Book;sans-serif"/>
          <w:b w:val="false"/>
          <w:color w:val="000000"/>
          <w:sz w:val="20"/>
        </w:rPr>
        <w:t>related to these contracts were recorded as a component of other (income) expense, net for the three and six months ended June 30, 2025, respectively, compared to net losses of $5.7 million and $30.0 million, respectively, in the prior year comparative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Summary of Derivative Instruments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pStyle w:val="TextBody"/>
        <w:bidi w:val="0"/>
        <w:spacing w:lineRule="auto" w:line="288" w:before="120" w:after="6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fair value and presentation in our condensed consolidated balance sheets of our outstanding derivative instruments, including those designated as hedging instruments:</w:t>
      </w:r>
    </w:p>
    <w:tbl>
      <w:tblPr>
        <w:tblW w:w="10205" w:type="dxa"/>
        <w:jc w:val="left"/>
        <w:tblInd w:w="0" w:type="dxa"/>
        <w:tblLayout w:type="fixed"/>
        <w:tblCellMar>
          <w:top w:w="28" w:type="dxa"/>
          <w:left w:w="28" w:type="dxa"/>
          <w:bottom w:w="28" w:type="dxa"/>
          <w:right w:w="28" w:type="dxa"/>
        </w:tblCellMar>
      </w:tblPr>
      <w:tblGrid>
        <w:gridCol w:w="968"/>
        <w:gridCol w:w="851"/>
        <w:gridCol w:w="845"/>
        <w:gridCol w:w="109"/>
        <w:gridCol w:w="109"/>
        <w:gridCol w:w="109"/>
        <w:gridCol w:w="763"/>
        <w:gridCol w:w="762"/>
        <w:gridCol w:w="764"/>
        <w:gridCol w:w="109"/>
        <w:gridCol w:w="109"/>
        <w:gridCol w:w="109"/>
        <w:gridCol w:w="475"/>
        <w:gridCol w:w="1150"/>
        <w:gridCol w:w="244"/>
        <w:gridCol w:w="109"/>
        <w:gridCol w:w="109"/>
        <w:gridCol w:w="109"/>
        <w:gridCol w:w="575"/>
        <w:gridCol w:w="1397"/>
        <w:gridCol w:w="430"/>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Asset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5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16.1 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58.4 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Liability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118.9 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26.8 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Other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Asset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15.6 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Liability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10" w:type="dxa"/>
        <w:jc w:val="left"/>
        <w:tblInd w:w="0" w:type="dxa"/>
        <w:tblLayout w:type="fixed"/>
        <w:tblCellMar>
          <w:top w:w="28" w:type="dxa"/>
          <w:left w:w="28" w:type="dxa"/>
          <w:bottom w:w="28" w:type="dxa"/>
          <w:right w:w="28" w:type="dxa"/>
        </w:tblCellMar>
      </w:tblPr>
      <w:tblGrid>
        <w:gridCol w:w="461"/>
        <w:gridCol w:w="406"/>
        <w:gridCol w:w="408"/>
        <w:gridCol w:w="1270"/>
        <w:gridCol w:w="1270"/>
        <w:gridCol w:w="1795"/>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11:</w:t>
            </w:r>
          </w:p>
        </w:tc>
        <w:tc>
          <w:tcPr>
            <w:tcW w:w="433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Property, Plant and Equipment</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are recorded at historical cost, net of accumulated depreciation. Accumulated depreciation on property, plant and equipment was $2,808.7 million and $2,670.8 million as of June 30, 2025 and December 31, 2024, respectively. For the three and six months ended June 30, 2025, depreciation expense totaled approximately $66.9 million and $138.3 million, respectively, compared to $71.9 million and $141.2 million, respectively, in the prior year comparative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71" w:type="dxa"/>
        <w:jc w:val="left"/>
        <w:tblInd w:w="0" w:type="dxa"/>
        <w:tblLayout w:type="fixed"/>
        <w:tblCellMar>
          <w:top w:w="28" w:type="dxa"/>
          <w:left w:w="28" w:type="dxa"/>
          <w:bottom w:w="28" w:type="dxa"/>
          <w:right w:w="28" w:type="dxa"/>
        </w:tblCellMar>
      </w:tblPr>
      <w:tblGrid>
        <w:gridCol w:w="461"/>
        <w:gridCol w:w="406"/>
        <w:gridCol w:w="408"/>
        <w:gridCol w:w="321"/>
        <w:gridCol w:w="321"/>
        <w:gridCol w:w="454"/>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12:</w:t>
            </w:r>
          </w:p>
        </w:tc>
        <w:tc>
          <w:tcPr>
            <w:tcW w:w="1096"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Leases</w:t>
            </w:r>
          </w:p>
        </w:tc>
      </w:tr>
    </w:tbl>
    <w:p>
      <w:pPr>
        <w:pStyle w:val="TextBody"/>
        <w:bidi w:val="0"/>
        <w:spacing w:lineRule="auto" w:line="288" w:before="120" w:after="283"/>
        <w:ind w:left="0" w:right="0" w:hanging="540"/>
        <w:jc w:val="left"/>
        <w:rPr>
          <w:rFonts w:ascii="Franklin Gothic Book;sans-serif" w:hAnsi="Franklin Gothic Book;sans-serif"/>
          <w:b/>
          <w:color w:val="006EBF"/>
          <w:sz w:val="22"/>
        </w:rPr>
      </w:pPr>
      <w:r>
        <w:rPr>
          <w:rFonts w:ascii="Franklin Gothic Book;sans-serif" w:hAnsi="Franklin Gothic Book;sans-serif"/>
          <w:b/>
          <w:color w:val="006EBF"/>
          <w:sz w:val="22"/>
        </w:rPr>
        <w:t>New Corporate Headquarters Lease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in our real estate footprint in Massachusetts, this new lease is intended to replace two existing leases, both in Cambridge, Massachusetts, including our current corporate headquarters. We expect the initial lease term of approximately 15.5 years to commence on May 31, 2028. The estimated minimum lease payments as a result of the new lease total approximately $1.5 billion over the initial lease term. We have an option to extend the lease for three extension periods of five years each and one six month short-term extension, at then market-based rates. We will account for this lease as a right-of-use asset and lease liability upon the lease commencement date.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accounting policies relating to leases, please read </w:t>
      </w:r>
      <w:r>
        <w:rPr>
          <w:rFonts w:ascii="Franklin Gothic Book;sans-serif" w:hAnsi="Franklin Gothic Book;sans-serif"/>
          <w:b w:val="false"/>
          <w:i/>
          <w:color w:val="000000"/>
          <w:sz w:val="20"/>
        </w:rPr>
        <w:t>Note 1, Summary of Significant Accounting Policies - Leases</w:t>
      </w:r>
      <w:r>
        <w:rPr>
          <w:rFonts w:ascii="Franklin Gothic Book;sans-serif" w:hAnsi="Franklin Gothic Book;sans-serif"/>
          <w:b w:val="false"/>
          <w:color w:val="000000"/>
          <w:sz w:val="20"/>
        </w:rPr>
        <w:t>, to our consolidated financial statements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3256" w:type="dxa"/>
        <w:jc w:val="left"/>
        <w:tblInd w:w="0" w:type="dxa"/>
        <w:tblLayout w:type="fixed"/>
        <w:tblCellMar>
          <w:top w:w="28" w:type="dxa"/>
          <w:left w:w="28" w:type="dxa"/>
          <w:bottom w:w="28" w:type="dxa"/>
          <w:right w:w="28" w:type="dxa"/>
        </w:tblCellMar>
      </w:tblPr>
      <w:tblGrid>
        <w:gridCol w:w="461"/>
        <w:gridCol w:w="406"/>
        <w:gridCol w:w="408"/>
        <w:gridCol w:w="580"/>
        <w:gridCol w:w="580"/>
        <w:gridCol w:w="82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13:</w:t>
            </w:r>
          </w:p>
        </w:tc>
        <w:tc>
          <w:tcPr>
            <w:tcW w:w="198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Indebtedness</w:t>
            </w:r>
          </w:p>
        </w:tc>
      </w:tr>
    </w:tbl>
    <w:p>
      <w:pPr>
        <w:pStyle w:val="TextBody"/>
        <w:bidi w:val="0"/>
        <w:spacing w:lineRule="auto" w:line="288" w:before="120" w:after="283"/>
        <w:ind w:left="0" w:right="0" w:hanging="540"/>
        <w:jc w:val="left"/>
        <w:rPr>
          <w:rFonts w:ascii="Franklin Gothic Book;sans-serif" w:hAnsi="Franklin Gothic Book;sans-serif"/>
          <w:b/>
          <w:color w:val="006EBF"/>
          <w:sz w:val="22"/>
        </w:rPr>
      </w:pPr>
      <w:r>
        <w:rPr>
          <w:rFonts w:ascii="Franklin Gothic Book;sans-serif" w:hAnsi="Franklin Gothic Book;sans-serif"/>
          <w:b/>
          <w:color w:val="006EBF"/>
          <w:sz w:val="22"/>
        </w:rPr>
        <w:t>2025 Senior Notes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May 12, 2025, we issued senior unsecured notes for an aggregate principal amount of $1.75 billion, consisting of the following:</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$400.0 million of 5.050% Senior Notes due January 15, 2031, valued at 99.981% of par;</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$650.0 million of 5.750% Senior Notes due May 15, 2035, valued at 99.924% of par; and</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$700.0 million of 6.450% Senior Notes due May 15, 2055, valued at 99.657% of par.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2025 Senior Notes are senior unsecured obligations and may be redeemed at our option at any time at 100% of the principal amount plus accrued interest and, until a specified period before maturity, a specified make-whole amount. Our 2025 Senior Notes contain a change-of-control provision that, under certain circumstances, may require us to purchase our 2025 Senior Notes at a price equal to 101% of the principal amount plus accrued and unpaid interest to the date of repurchase.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incurred approximately $13.9 million of costs associated with this offering which have been recorded as a reduction to the carrying amount of the debt on our condensed consolidated balance sheet. These costs will be amortized as additional interest expense using the effective interest rate method over the period from issuance through maturity. The discounts will be amortized as additional interest expense over the period from issuance through maturity using the effective interest rate method.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on our 2031 Senior Notes is payable January 15 and July 15 of each year, commencing January 15, 2026. Interest on our 2035 Senior Notes and 2055 Senior Notes is payable May 15 and November 15 of each year, commencing on November 15, 2025.</w:t>
      </w:r>
    </w:p>
    <w:p>
      <w:pPr>
        <w:pStyle w:val="TextBody"/>
        <w:bidi w:val="0"/>
        <w:spacing w:lineRule="auto" w:line="288" w:before="120" w:after="283"/>
        <w:jc w:val="left"/>
        <w:rPr>
          <w:rFonts w:ascii="Franklin Gothic Book;sans-serif" w:hAnsi="Franklin Gothic Book;sans-serif"/>
          <w:b/>
          <w:color w:val="006EBF"/>
          <w:sz w:val="22"/>
        </w:rPr>
      </w:pPr>
      <w:r>
        <w:rPr>
          <w:rFonts w:ascii="Franklin Gothic Book;sans-serif" w:hAnsi="Franklin Gothic Book;sans-serif"/>
          <w:b/>
          <w:color w:val="006EBF"/>
          <w:sz w:val="22"/>
        </w:rPr>
        <w:t>4.050% Senior Notes due September 15,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September 15, 2015, we issued $1.75 billion aggregate principal amount of 4.050% Senior Notes due September 15, 2025, at 99.764% of par. In June 2025 we used the net proceeds from the sale of our 2025 Senior Notes to redeem our 4.050% Senior Notes due September 15, 2025, prior to their maturity. No gain or loss was recognized upon redemption.</w:t>
      </w:r>
    </w:p>
    <w:p>
      <w:pPr>
        <w:pStyle w:val="TextBody"/>
        <w:bidi w:val="0"/>
        <w:spacing w:lineRule="auto" w:line="288" w:before="120" w:after="283"/>
        <w:jc w:val="left"/>
        <w:rPr>
          <w:rFonts w:ascii="Franklin Gothic Book;sans-serif" w:hAnsi="Franklin Gothic Book;sans-serif"/>
          <w:b/>
          <w:color w:val="006EBF"/>
          <w:sz w:val="22"/>
        </w:rPr>
      </w:pPr>
      <w:r>
        <w:rPr>
          <w:rFonts w:ascii="Franklin Gothic Book;sans-serif" w:hAnsi="Franklin Gothic Book;sans-serif"/>
          <w:b/>
          <w:color w:val="006EBF"/>
          <w:sz w:val="22"/>
        </w:rPr>
        <w:t>2023 Term Loan Credit Agreement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connection with our acquisition of Reata in September 2023 we entered into a $1.5 billion term loan credit agreement. On the closing date of the Reata acquisition we drew $1.0 billion from the 2023 Term Loan, comprised of a $500.0 million floating rate 364-day tranche and a $500.0 million floating rate three-year tranche. The remaining unused commitment of $500.0 million was terminated. As of December 31, 2023, we repaid $350.0 million of the 364--day tranche. The remaining $150.0 million portion of the 364-day tranche was repaid during the first quarter of 2024.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Additionally, during the first quarter of 2024 we repaid $250.0 million of the three-year tranche, with the remaining $250.0 million portion being subsequently repaid in full during the second quarter of 2024. For additional information on our acquisition of Reata,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consolidated financial statements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66" w:type="dxa"/>
        <w:jc w:val="left"/>
        <w:tblInd w:w="0" w:type="dxa"/>
        <w:tblLayout w:type="fixed"/>
        <w:tblCellMar>
          <w:top w:w="28" w:type="dxa"/>
          <w:left w:w="28" w:type="dxa"/>
          <w:bottom w:w="28" w:type="dxa"/>
          <w:right w:w="28" w:type="dxa"/>
        </w:tblCellMar>
      </w:tblPr>
      <w:tblGrid>
        <w:gridCol w:w="461"/>
        <w:gridCol w:w="406"/>
        <w:gridCol w:w="408"/>
        <w:gridCol w:w="290"/>
        <w:gridCol w:w="290"/>
        <w:gridCol w:w="41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14:</w:t>
            </w:r>
          </w:p>
        </w:tc>
        <w:tc>
          <w:tcPr>
            <w:tcW w:w="991"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Equity</w:t>
            </w:r>
          </w:p>
        </w:tc>
      </w:tr>
    </w:tbl>
    <w:p>
      <w:pPr>
        <w:pStyle w:val="TextBody"/>
        <w:bidi w:val="0"/>
        <w:spacing w:lineRule="auto" w:line="288" w:before="12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Share Repurchases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and six months ended June 30, 2025 and 2024. Approximately $2.1 billion remained available under our 2020 Share Repurchase Program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color w:val="0070C0"/>
          <w:sz w:val="22"/>
        </w:rPr>
      </w:pPr>
      <w:r>
        <w:rPr>
          <w:rFonts w:ascii="Franklin Gothic Book;sans-serif" w:hAnsi="Franklin Gothic Book;sans-serif"/>
          <w:b/>
          <w:color w:val="0070C0"/>
          <w:sz w:val="22"/>
        </w:rPr>
        <w:t>Accumulated Other Comprehensive Income (Loss)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tables summarize the changes in AOCI, net of tax by component:</w:t>
      </w:r>
    </w:p>
    <w:tbl>
      <w:tblPr>
        <w:tblW w:w="10205" w:type="dxa"/>
        <w:jc w:val="left"/>
        <w:tblInd w:w="0" w:type="dxa"/>
        <w:tblLayout w:type="fixed"/>
        <w:tblCellMar>
          <w:top w:w="28" w:type="dxa"/>
          <w:left w:w="28" w:type="dxa"/>
          <w:bottom w:w="28" w:type="dxa"/>
          <w:right w:w="28" w:type="dxa"/>
        </w:tblCellMar>
      </w:tblPr>
      <w:tblGrid>
        <w:gridCol w:w="956"/>
        <w:gridCol w:w="608"/>
        <w:gridCol w:w="500"/>
        <w:gridCol w:w="109"/>
        <w:gridCol w:w="109"/>
        <w:gridCol w:w="109"/>
        <w:gridCol w:w="109"/>
        <w:gridCol w:w="109"/>
        <w:gridCol w:w="384"/>
        <w:gridCol w:w="1257"/>
        <w:gridCol w:w="190"/>
        <w:gridCol w:w="110"/>
        <w:gridCol w:w="110"/>
        <w:gridCol w:w="110"/>
        <w:gridCol w:w="110"/>
        <w:gridCol w:w="110"/>
        <w:gridCol w:w="500"/>
        <w:gridCol w:w="1249"/>
        <w:gridCol w:w="260"/>
        <w:gridCol w:w="110"/>
        <w:gridCol w:w="110"/>
        <w:gridCol w:w="110"/>
        <w:gridCol w:w="339"/>
        <w:gridCol w:w="1018"/>
        <w:gridCol w:w="177"/>
        <w:gridCol w:w="109"/>
        <w:gridCol w:w="109"/>
        <w:gridCol w:w="109"/>
        <w:gridCol w:w="211"/>
        <w:gridCol w:w="640"/>
        <w:gridCol w:w="164"/>
      </w:tblGrid>
      <w:tr>
        <w:trPr/>
        <w:tc>
          <w:tcPr>
            <w:tcW w:w="95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17"/>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Three Months Ended June 30, 2025</w:t>
            </w:r>
          </w:p>
        </w:tc>
        <w:tc>
          <w:tcPr>
            <w:tcW w:w="1342" w:type="dxa"/>
            <w:gridSpan w:val="6"/>
            <w:tcBorders/>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w:t>
              <w:br/>
              <w:t>Net of Tax</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w:t>
              <w:br/>
              <w:t>Translation Adjustments,</w:t>
              <w:br/>
              <w:t>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(16.2)</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(152.1)</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(174.5)</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(120.4)</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41.6 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(78.2)</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(105.8)</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0.6 </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41.6 </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(63.6)</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(112.0)</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(15.6)</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(110.5)</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(238.1)</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17"/>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For the Six Months Ended June 30, 2025</w:t>
            </w:r>
          </w:p>
        </w:tc>
        <w:tc>
          <w:tcPr>
            <w:tcW w:w="1342" w:type="dxa"/>
            <w:gridSpan w:val="6"/>
            <w:tcBorders/>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 Net of Tax</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51.6 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(16.6)</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(171.2)</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(136.2)</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(167.9)</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60.7 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(106.2)</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(163.6)</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60.7 </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(101.9)</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(112.0)</w:t>
            </w:r>
          </w:p>
        </w:tc>
        <w:tc>
          <w:tcPr>
            <w:tcW w:w="1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(15.6)</w:t>
            </w:r>
          </w:p>
        </w:tc>
        <w:tc>
          <w:tcPr>
            <w:tcW w:w="2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(110.5)</w:t>
            </w:r>
          </w:p>
        </w:tc>
        <w:tc>
          <w:tcPr>
            <w:tcW w:w="1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(238.1)</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6"/>
        <w:gridCol w:w="597"/>
        <w:gridCol w:w="488"/>
        <w:gridCol w:w="109"/>
        <w:gridCol w:w="109"/>
        <w:gridCol w:w="109"/>
        <w:gridCol w:w="109"/>
        <w:gridCol w:w="109"/>
        <w:gridCol w:w="444"/>
        <w:gridCol w:w="1113"/>
        <w:gridCol w:w="231"/>
        <w:gridCol w:w="111"/>
        <w:gridCol w:w="111"/>
        <w:gridCol w:w="111"/>
        <w:gridCol w:w="111"/>
        <w:gridCol w:w="111"/>
        <w:gridCol w:w="556"/>
        <w:gridCol w:w="1114"/>
        <w:gridCol w:w="290"/>
        <w:gridCol w:w="111"/>
        <w:gridCol w:w="111"/>
        <w:gridCol w:w="111"/>
        <w:gridCol w:w="365"/>
        <w:gridCol w:w="1096"/>
        <w:gridCol w:w="190"/>
        <w:gridCol w:w="109"/>
        <w:gridCol w:w="109"/>
        <w:gridCol w:w="109"/>
        <w:gridCol w:w="211"/>
        <w:gridCol w:w="640"/>
        <w:gridCol w:w="164"/>
      </w:tblGrid>
      <w:tr>
        <w:trPr/>
        <w:tc>
          <w:tcPr>
            <w:tcW w:w="9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7"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 2024</w:t>
            </w:r>
          </w:p>
        </w:tc>
        <w:tc>
          <w:tcPr>
            <w:tcW w:w="1342" w:type="dxa"/>
            <w:gridSpan w:val="6"/>
            <w:tcBorders/>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w:t>
              <w:br/>
              <w:t>Net of Tax</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w:t>
              <w:br/>
              <w:t>Net of Tax</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w:t>
              <w:br/>
              <w:t>Translation Adjustments,</w:t>
              <w:br/>
              <w:t>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(147.5)</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(160.5)</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20.1 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9.8 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(153.1)</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(146.0)</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7"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 2024</w:t>
            </w:r>
          </w:p>
        </w:tc>
        <w:tc>
          <w:tcPr>
            <w:tcW w:w="1342" w:type="dxa"/>
            <w:gridSpan w:val="6"/>
            <w:tcBorders/>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 Net of Tax</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(25.0)</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(126.1)</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(153.7)</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(27.0)</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34.8 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(27.0)</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9.8 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(153.1)</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(146.0)</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amounts reclassified from AOCI:</w:t>
      </w:r>
    </w:p>
    <w:tbl>
      <w:tblPr>
        <w:tblW w:w="10205" w:type="dxa"/>
        <w:jc w:val="left"/>
        <w:tblInd w:w="0" w:type="dxa"/>
        <w:tblLayout w:type="fixed"/>
        <w:tblCellMar>
          <w:top w:w="28" w:type="dxa"/>
          <w:left w:w="28" w:type="dxa"/>
          <w:bottom w:w="28" w:type="dxa"/>
          <w:right w:w="28" w:type="dxa"/>
        </w:tblCellMar>
      </w:tblPr>
      <w:tblGrid>
        <w:gridCol w:w="1019"/>
        <w:gridCol w:w="578"/>
        <w:gridCol w:w="582"/>
        <w:gridCol w:w="109"/>
        <w:gridCol w:w="109"/>
        <w:gridCol w:w="109"/>
        <w:gridCol w:w="288"/>
        <w:gridCol w:w="768"/>
        <w:gridCol w:w="148"/>
        <w:gridCol w:w="148"/>
        <w:gridCol w:w="148"/>
        <w:gridCol w:w="148"/>
        <w:gridCol w:w="288"/>
        <w:gridCol w:w="555"/>
        <w:gridCol w:w="148"/>
        <w:gridCol w:w="109"/>
        <w:gridCol w:w="109"/>
        <w:gridCol w:w="109"/>
        <w:gridCol w:w="268"/>
        <w:gridCol w:w="713"/>
        <w:gridCol w:w="138"/>
        <w:gridCol w:w="138"/>
        <w:gridCol w:w="138"/>
        <w:gridCol w:w="138"/>
        <w:gridCol w:w="268"/>
        <w:gridCol w:w="651"/>
        <w:gridCol w:w="138"/>
        <w:gridCol w:w="109"/>
        <w:gridCol w:w="109"/>
        <w:gridCol w:w="109"/>
        <w:gridCol w:w="527"/>
        <w:gridCol w:w="527"/>
        <w:gridCol w:w="762"/>
      </w:tblGrid>
      <w:tr>
        <w:trPr/>
        <w:tc>
          <w:tcPr>
            <w:tcW w:w="101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1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Income Statement Location</w:t>
            </w:r>
          </w:p>
        </w:tc>
      </w:tr>
      <w:tr>
        <w:trPr/>
        <w:tc>
          <w:tcPr>
            <w:tcW w:w="2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(22.9)</w:t>
            </w:r>
          </w:p>
        </w:tc>
        <w:tc>
          <w:tcPr>
            <w:tcW w:w="1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(12.0)</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7.3 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reclassifications,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w:t>
            </w:r>
          </w:p>
        </w:tc>
        <w:tc>
          <w:tcPr>
            <w:tcW w:w="1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20" w:type="dxa"/>
        <w:jc w:val="left"/>
        <w:tblInd w:w="0" w:type="dxa"/>
        <w:tblLayout w:type="fixed"/>
        <w:tblCellMar>
          <w:top w:w="28" w:type="dxa"/>
          <w:left w:w="28" w:type="dxa"/>
          <w:bottom w:w="28" w:type="dxa"/>
          <w:right w:w="28" w:type="dxa"/>
        </w:tblCellMar>
      </w:tblPr>
      <w:tblGrid>
        <w:gridCol w:w="461"/>
        <w:gridCol w:w="406"/>
        <w:gridCol w:w="408"/>
        <w:gridCol w:w="804"/>
        <w:gridCol w:w="804"/>
        <w:gridCol w:w="1137"/>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15:</w:t>
            </w:r>
          </w:p>
        </w:tc>
        <w:tc>
          <w:tcPr>
            <w:tcW w:w="274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Earnings per Share</w:t>
            </w:r>
          </w:p>
        </w:tc>
      </w:tr>
    </w:tbl>
    <w:p>
      <w:pPr>
        <w:pStyle w:val="TextBody"/>
        <w:bidi w:val="0"/>
        <w:spacing w:lineRule="auto" w:line="288" w:before="12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and diluted shares outstanding used in our earnings per share calculation are calculated as follows:</w:t>
      </w:r>
    </w:p>
    <w:tbl>
      <w:tblPr>
        <w:tblW w:w="10205" w:type="dxa"/>
        <w:jc w:val="left"/>
        <w:tblInd w:w="0" w:type="dxa"/>
        <w:tblLayout w:type="fixed"/>
        <w:tblCellMar>
          <w:top w:w="28" w:type="dxa"/>
          <w:left w:w="28" w:type="dxa"/>
          <w:bottom w:w="28" w:type="dxa"/>
          <w:right w:w="28" w:type="dxa"/>
        </w:tblCellMar>
      </w:tblPr>
      <w:tblGrid>
        <w:gridCol w:w="1334"/>
        <w:gridCol w:w="1117"/>
        <w:gridCol w:w="1090"/>
        <w:gridCol w:w="109"/>
        <w:gridCol w:w="109"/>
        <w:gridCol w:w="109"/>
        <w:gridCol w:w="293"/>
        <w:gridCol w:w="856"/>
        <w:gridCol w:w="151"/>
        <w:gridCol w:w="151"/>
        <w:gridCol w:w="151"/>
        <w:gridCol w:w="151"/>
        <w:gridCol w:w="293"/>
        <w:gridCol w:w="856"/>
        <w:gridCol w:w="151"/>
        <w:gridCol w:w="109"/>
        <w:gridCol w:w="109"/>
        <w:gridCol w:w="109"/>
        <w:gridCol w:w="277"/>
        <w:gridCol w:w="810"/>
        <w:gridCol w:w="143"/>
        <w:gridCol w:w="143"/>
        <w:gridCol w:w="143"/>
        <w:gridCol w:w="143"/>
        <w:gridCol w:w="277"/>
        <w:gridCol w:w="810"/>
        <w:gridCol w:w="211"/>
      </w:tblGrid>
      <w:tr>
        <w:trPr/>
        <w:tc>
          <w:tcPr>
            <w:tcW w:w="133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634.8 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875.3 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Weighted average number of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146.5 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146.3 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Time-vested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0.3 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Dilutive potential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Shares used in calculating 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146.7 </w:t>
            </w:r>
          </w:p>
        </w:tc>
        <w:tc>
          <w:tcPr>
            <w:tcW w:w="1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145.9 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146.7 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145.9 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Amounts excluded from the calculation of net income per diluted share because their effects were anti-dilutive were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90" w:type="dxa"/>
        <w:jc w:val="left"/>
        <w:tblInd w:w="0" w:type="dxa"/>
        <w:tblLayout w:type="fixed"/>
        <w:tblCellMar>
          <w:top w:w="28" w:type="dxa"/>
          <w:left w:w="28" w:type="dxa"/>
          <w:bottom w:w="28" w:type="dxa"/>
          <w:right w:w="28" w:type="dxa"/>
        </w:tblCellMar>
      </w:tblPr>
      <w:tblGrid>
        <w:gridCol w:w="461"/>
        <w:gridCol w:w="406"/>
        <w:gridCol w:w="408"/>
        <w:gridCol w:w="970"/>
        <w:gridCol w:w="970"/>
        <w:gridCol w:w="1375"/>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16:</w:t>
            </w:r>
          </w:p>
        </w:tc>
        <w:tc>
          <w:tcPr>
            <w:tcW w:w="331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Share-Based Payments</w:t>
            </w:r>
          </w:p>
        </w:tc>
      </w:tr>
    </w:tbl>
    <w:p>
      <w:pPr>
        <w:pStyle w:val="TextBody"/>
        <w:bidi w:val="0"/>
        <w:spacing w:lineRule="auto" w:line="288" w:before="12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Share-based Compensation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share-based compensation expense included in our condensed consolidated statements of income:</w:t>
      </w:r>
    </w:p>
    <w:tbl>
      <w:tblPr>
        <w:tblW w:w="10205" w:type="dxa"/>
        <w:jc w:val="left"/>
        <w:tblInd w:w="0" w:type="dxa"/>
        <w:tblLayout w:type="fixed"/>
        <w:tblCellMar>
          <w:top w:w="28" w:type="dxa"/>
          <w:left w:w="28" w:type="dxa"/>
          <w:bottom w:w="28" w:type="dxa"/>
          <w:right w:w="28" w:type="dxa"/>
        </w:tblCellMar>
      </w:tblPr>
      <w:tblGrid>
        <w:gridCol w:w="1509"/>
        <w:gridCol w:w="1277"/>
        <w:gridCol w:w="1267"/>
        <w:gridCol w:w="109"/>
        <w:gridCol w:w="109"/>
        <w:gridCol w:w="109"/>
        <w:gridCol w:w="289"/>
        <w:gridCol w:w="700"/>
        <w:gridCol w:w="149"/>
        <w:gridCol w:w="149"/>
        <w:gridCol w:w="149"/>
        <w:gridCol w:w="149"/>
        <w:gridCol w:w="289"/>
        <w:gridCol w:w="700"/>
        <w:gridCol w:w="149"/>
        <w:gridCol w:w="109"/>
        <w:gridCol w:w="109"/>
        <w:gridCol w:w="109"/>
        <w:gridCol w:w="260"/>
        <w:gridCol w:w="761"/>
        <w:gridCol w:w="134"/>
        <w:gridCol w:w="134"/>
        <w:gridCol w:w="134"/>
        <w:gridCol w:w="134"/>
        <w:gridCol w:w="260"/>
        <w:gridCol w:w="761"/>
        <w:gridCol w:w="197"/>
      </w:tblGrid>
      <w:tr>
        <w:trPr/>
        <w:tc>
          <w:tcPr>
            <w:tcW w:w="15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4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30.1 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27.3 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62.2 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54.7 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48.0 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78.1 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72.9 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162.2 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144.3 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Capitalized share-based compensation 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74.9 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70.6 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155.9 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138.7 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(13.4)</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(30.9)</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(26.3)</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60.0 </w:t>
            </w:r>
          </w:p>
        </w:tc>
        <w:tc>
          <w:tcPr>
            <w:tcW w:w="1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57.2 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125.0 </w:t>
            </w:r>
          </w:p>
        </w:tc>
        <w:tc>
          <w:tcPr>
            <w:tcW w:w="1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112.4 </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share-based compensation expense associated with each of our share-based compensation programs:</w:t>
      </w:r>
    </w:p>
    <w:tbl>
      <w:tblPr>
        <w:tblW w:w="10205" w:type="dxa"/>
        <w:jc w:val="left"/>
        <w:tblInd w:w="0" w:type="dxa"/>
        <w:tblLayout w:type="fixed"/>
        <w:tblCellMar>
          <w:top w:w="28" w:type="dxa"/>
          <w:left w:w="28" w:type="dxa"/>
          <w:bottom w:w="28" w:type="dxa"/>
          <w:right w:w="28" w:type="dxa"/>
        </w:tblCellMar>
      </w:tblPr>
      <w:tblGrid>
        <w:gridCol w:w="1445"/>
        <w:gridCol w:w="1215"/>
        <w:gridCol w:w="1180"/>
        <w:gridCol w:w="109"/>
        <w:gridCol w:w="109"/>
        <w:gridCol w:w="109"/>
        <w:gridCol w:w="302"/>
        <w:gridCol w:w="731"/>
        <w:gridCol w:w="155"/>
        <w:gridCol w:w="155"/>
        <w:gridCol w:w="155"/>
        <w:gridCol w:w="155"/>
        <w:gridCol w:w="302"/>
        <w:gridCol w:w="731"/>
        <w:gridCol w:w="155"/>
        <w:gridCol w:w="109"/>
        <w:gridCol w:w="109"/>
        <w:gridCol w:w="109"/>
        <w:gridCol w:w="269"/>
        <w:gridCol w:w="785"/>
        <w:gridCol w:w="138"/>
        <w:gridCol w:w="138"/>
        <w:gridCol w:w="138"/>
        <w:gridCol w:w="138"/>
        <w:gridCol w:w="269"/>
        <w:gridCol w:w="785"/>
        <w:gridCol w:w="210"/>
      </w:tblGrid>
      <w:tr>
        <w:trPr/>
        <w:tc>
          <w:tcPr>
            <w:tcW w:w="144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Time-vested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126.7 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115.6 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28.6 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78.1 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72.9 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162.2 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144.3 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Capitalized share-based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74.9 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70.6 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155.9 </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138.7 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84" w:type="dxa"/>
        <w:jc w:val="left"/>
        <w:tblInd w:w="0" w:type="dxa"/>
        <w:tblLayout w:type="fixed"/>
        <w:tblCellMar>
          <w:top w:w="28" w:type="dxa"/>
          <w:left w:w="28" w:type="dxa"/>
          <w:bottom w:w="28" w:type="dxa"/>
          <w:right w:w="28" w:type="dxa"/>
        </w:tblCellMar>
      </w:tblPr>
      <w:tblGrid>
        <w:gridCol w:w="461"/>
        <w:gridCol w:w="406"/>
        <w:gridCol w:w="408"/>
        <w:gridCol w:w="587"/>
        <w:gridCol w:w="587"/>
        <w:gridCol w:w="835"/>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17:</w:t>
            </w:r>
          </w:p>
        </w:tc>
        <w:tc>
          <w:tcPr>
            <w:tcW w:w="2009"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Income Taxes</w:t>
            </w:r>
          </w:p>
        </w:tc>
      </w:tr>
    </w:tbl>
    <w:p>
      <w:pPr>
        <w:pStyle w:val="TextBody"/>
        <w:bidi w:val="0"/>
        <w:spacing w:lineRule="auto" w:line="268" w:before="18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2025 OBBBA Tax Provisions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July 4, 2025, the U.S. signed into law the H.R.1 legislation formally titled "An Act to Provide for Reconciliation Pursuant to Title II of H. Con. Res. 14", commonly referred to as the OBBBA.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Tax Rate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reconciliation between the U.S. federal statutory tax rate and our effective tax rate is summarized as follows:</w:t>
      </w:r>
    </w:p>
    <w:tbl>
      <w:tblPr>
        <w:tblW w:w="10205" w:type="dxa"/>
        <w:jc w:val="left"/>
        <w:tblInd w:w="0" w:type="dxa"/>
        <w:tblLayout w:type="fixed"/>
        <w:tblCellMar>
          <w:top w:w="28" w:type="dxa"/>
          <w:left w:w="28" w:type="dxa"/>
          <w:bottom w:w="28" w:type="dxa"/>
          <w:right w:w="28" w:type="dxa"/>
        </w:tblCellMar>
      </w:tblPr>
      <w:tblGrid>
        <w:gridCol w:w="1500"/>
        <w:gridCol w:w="1211"/>
        <w:gridCol w:w="1211"/>
        <w:gridCol w:w="307"/>
        <w:gridCol w:w="273"/>
        <w:gridCol w:w="572"/>
        <w:gridCol w:w="242"/>
        <w:gridCol w:w="242"/>
        <w:gridCol w:w="242"/>
        <w:gridCol w:w="307"/>
        <w:gridCol w:w="273"/>
        <w:gridCol w:w="572"/>
        <w:gridCol w:w="109"/>
        <w:gridCol w:w="109"/>
        <w:gridCol w:w="109"/>
        <w:gridCol w:w="281"/>
        <w:gridCol w:w="264"/>
        <w:gridCol w:w="529"/>
        <w:gridCol w:w="225"/>
        <w:gridCol w:w="225"/>
        <w:gridCol w:w="225"/>
        <w:gridCol w:w="281"/>
        <w:gridCol w:w="264"/>
        <w:gridCol w:w="632"/>
      </w:tblGrid>
      <w:tr>
        <w:trPr/>
        <w:tc>
          <w:tcPr>
            <w:tcW w:w="15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Statutory rate</w:t>
            </w:r>
          </w:p>
        </w:tc>
        <w:tc>
          <w:tcPr>
            <w:tcW w:w="5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21.0 </w:t>
            </w:r>
          </w:p>
        </w:tc>
        <w:tc>
          <w:tcPr>
            <w:tcW w:w="5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21.0 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21.0 </w:t>
            </w:r>
          </w:p>
        </w:tc>
        <w:tc>
          <w:tcPr>
            <w:tcW w:w="5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21.0 </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State taxes</w:t>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1.5 </w:t>
            </w:r>
          </w:p>
        </w:tc>
        <w:tc>
          <w:tcPr>
            <w:tcW w:w="5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1.7 </w:t>
            </w:r>
          </w:p>
        </w:tc>
        <w:tc>
          <w:tcPr>
            <w:tcW w:w="5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1.4 </w:t>
            </w:r>
          </w:p>
        </w:tc>
        <w:tc>
          <w:tcPr>
            <w:tcW w:w="6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Taxes on foreign earnings, including valuation allowances</w:t>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w:t>
            </w:r>
          </w:p>
        </w:tc>
        <w:tc>
          <w:tcPr>
            <w:tcW w:w="5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(8.4)</w:t>
            </w:r>
          </w:p>
        </w:tc>
        <w:tc>
          <w:tcPr>
            <w:tcW w:w="5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w:t>
            </w:r>
          </w:p>
        </w:tc>
        <w:tc>
          <w:tcPr>
            <w:tcW w:w="6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Tax credits</w:t>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w:t>
            </w:r>
          </w:p>
        </w:tc>
        <w:tc>
          <w:tcPr>
            <w:tcW w:w="5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w:t>
            </w:r>
          </w:p>
        </w:tc>
        <w:tc>
          <w:tcPr>
            <w:tcW w:w="5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6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Purchased inventory valuation step-up and intangible assets</w:t>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2.1 </w:t>
            </w:r>
          </w:p>
        </w:tc>
        <w:tc>
          <w:tcPr>
            <w:tcW w:w="5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2.3 </w:t>
            </w:r>
          </w:p>
        </w:tc>
        <w:tc>
          <w:tcPr>
            <w:tcW w:w="5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6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GILTI</w:t>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w:t>
            </w:r>
          </w:p>
        </w:tc>
        <w:tc>
          <w:tcPr>
            <w:tcW w:w="5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w:t>
            </w:r>
          </w:p>
        </w:tc>
        <w:tc>
          <w:tcPr>
            <w:tcW w:w="5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w:t>
            </w:r>
          </w:p>
        </w:tc>
        <w:tc>
          <w:tcPr>
            <w:tcW w:w="6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awards</w:t>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5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1.7 </w:t>
            </w:r>
          </w:p>
        </w:tc>
        <w:tc>
          <w:tcPr>
            <w:tcW w:w="5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6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including permanent items</w:t>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1.4 </w:t>
            </w:r>
          </w:p>
        </w:tc>
        <w:tc>
          <w:tcPr>
            <w:tcW w:w="5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1.5 </w:t>
            </w:r>
          </w:p>
        </w:tc>
        <w:tc>
          <w:tcPr>
            <w:tcW w:w="5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6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Effective tax rate</w:t>
            </w:r>
          </w:p>
        </w:tc>
        <w:tc>
          <w:tcPr>
            <w:tcW w:w="58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14.7 </w:t>
            </w:r>
          </w:p>
        </w:tc>
        <w:tc>
          <w:tcPr>
            <w:tcW w:w="5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16.5 </w:t>
            </w:r>
          </w:p>
        </w:tc>
        <w:tc>
          <w:tcPr>
            <w:tcW w:w="5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17.0 </w:t>
            </w:r>
          </w:p>
        </w:tc>
        <w:tc>
          <w:tcPr>
            <w:tcW w:w="5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16.0 </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p>
      <w:pPr>
        <w:pStyle w:val="TextBody"/>
        <w:bidi w:val="0"/>
        <w:spacing w:lineRule="auto" w:line="288" w:before="18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Changes in Tax Rate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changes in our effective tax rates were partially driven by the favorable deferred tax impacts of decreases in foreign withholding taxes and a foreign valuation allowance in 2025, partially offset by changes in the territorial mix of our profitability.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six months ended June 30, 2025, compared to the same period in 2024, also reflects the impacts of certain share-based compensation awards that vested during the first quarter of 2025 and a decrease in our estimate of Pillar Two minimum tax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Accounting for Uncertainty in Income Taxes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our subsidiaries are routinely examined by various taxing authorities. We file income tax returns in various U.S. states and in U.S. federal and other foreign jurisdictions. With few exceptions, we are no longer subject to U.S. federal tax examination for years before 2021 or state, local or non-U.S. income tax examinations for years before 2013.</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estimate that it is reasonably possible that our gross unrecognized tax benefits, exclusive of interest, could</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decrease by up to approximately $35.0 million in the next 12 months as a result of various audit closures, settlements and expiration of the statute of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5" w:type="dxa"/>
        <w:jc w:val="left"/>
        <w:tblInd w:w="0" w:type="dxa"/>
        <w:tblLayout w:type="fixed"/>
        <w:tblCellMar>
          <w:top w:w="28" w:type="dxa"/>
          <w:left w:w="28" w:type="dxa"/>
          <w:bottom w:w="28" w:type="dxa"/>
          <w:right w:w="28" w:type="dxa"/>
        </w:tblCellMar>
      </w:tblPr>
      <w:tblGrid>
        <w:gridCol w:w="461"/>
        <w:gridCol w:w="406"/>
        <w:gridCol w:w="408"/>
        <w:gridCol w:w="1897"/>
        <w:gridCol w:w="1897"/>
        <w:gridCol w:w="2686"/>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18:</w:t>
            </w:r>
          </w:p>
        </w:tc>
        <w:tc>
          <w:tcPr>
            <w:tcW w:w="6480"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Other Consolidated Financial Statement Detail</w:t>
            </w:r>
          </w:p>
        </w:tc>
      </w:tr>
    </w:tbl>
    <w:p>
      <w:pPr>
        <w:pStyle w:val="TextBody"/>
        <w:bidi w:val="0"/>
        <w:spacing w:lineRule="auto" w:line="288" w:before="12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Other (Income) Expense, Net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Components of other (income) expense, net, are summarized as follows:</w:t>
      </w:r>
    </w:p>
    <w:tbl>
      <w:tblPr>
        <w:tblW w:w="10205" w:type="dxa"/>
        <w:jc w:val="left"/>
        <w:tblInd w:w="0" w:type="dxa"/>
        <w:tblLayout w:type="fixed"/>
        <w:tblCellMar>
          <w:top w:w="28" w:type="dxa"/>
          <w:left w:w="28" w:type="dxa"/>
          <w:bottom w:w="28" w:type="dxa"/>
          <w:right w:w="28" w:type="dxa"/>
        </w:tblCellMar>
      </w:tblPr>
      <w:tblGrid>
        <w:gridCol w:w="1069"/>
        <w:gridCol w:w="923"/>
        <w:gridCol w:w="916"/>
        <w:gridCol w:w="109"/>
        <w:gridCol w:w="109"/>
        <w:gridCol w:w="109"/>
        <w:gridCol w:w="336"/>
        <w:gridCol w:w="926"/>
        <w:gridCol w:w="173"/>
        <w:gridCol w:w="173"/>
        <w:gridCol w:w="173"/>
        <w:gridCol w:w="173"/>
        <w:gridCol w:w="336"/>
        <w:gridCol w:w="926"/>
        <w:gridCol w:w="173"/>
        <w:gridCol w:w="109"/>
        <w:gridCol w:w="109"/>
        <w:gridCol w:w="109"/>
        <w:gridCol w:w="305"/>
        <w:gridCol w:w="892"/>
        <w:gridCol w:w="157"/>
        <w:gridCol w:w="157"/>
        <w:gridCol w:w="157"/>
        <w:gridCol w:w="157"/>
        <w:gridCol w:w="305"/>
        <w:gridCol w:w="892"/>
        <w:gridCol w:w="232"/>
      </w:tblGrid>
      <w:tr>
        <w:trPr/>
        <w:tc>
          <w:tcPr>
            <w:tcW w:w="10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(32.3)</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(20.1)</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(56.2)</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(37.5)</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72.6 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exchange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10.4 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48.7 </w:t>
            </w:r>
          </w:p>
        </w:tc>
        <w:tc>
          <w:tcPr>
            <w:tcW w:w="1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85.2 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117.1 </w:t>
            </w:r>
          </w:p>
        </w:tc>
        <w:tc>
          <w:tcPr>
            <w:tcW w:w="1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178.9 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(gains) losses on investments, net, as reflected in the table above, relate to equity securities of certain biotechnology companies, venture capital funds where the underlying investments are in equity securities of certain biotechnology companies and non-marketable equity securities.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(gains) losses on investments, net that relate to our equity securities held during the following periods:</w:t>
      </w:r>
    </w:p>
    <w:tbl>
      <w:tblPr>
        <w:tblW w:w="10205" w:type="dxa"/>
        <w:jc w:val="left"/>
        <w:tblInd w:w="0" w:type="dxa"/>
        <w:tblLayout w:type="fixed"/>
        <w:tblCellMar>
          <w:top w:w="28" w:type="dxa"/>
          <w:left w:w="28" w:type="dxa"/>
          <w:bottom w:w="28" w:type="dxa"/>
          <w:right w:w="28" w:type="dxa"/>
        </w:tblCellMar>
      </w:tblPr>
      <w:tblGrid>
        <w:gridCol w:w="1355"/>
        <w:gridCol w:w="1161"/>
        <w:gridCol w:w="1153"/>
        <w:gridCol w:w="109"/>
        <w:gridCol w:w="109"/>
        <w:gridCol w:w="109"/>
        <w:gridCol w:w="322"/>
        <w:gridCol w:w="715"/>
        <w:gridCol w:w="166"/>
        <w:gridCol w:w="166"/>
        <w:gridCol w:w="166"/>
        <w:gridCol w:w="166"/>
        <w:gridCol w:w="322"/>
        <w:gridCol w:w="782"/>
        <w:gridCol w:w="166"/>
        <w:gridCol w:w="109"/>
        <w:gridCol w:w="109"/>
        <w:gridCol w:w="109"/>
        <w:gridCol w:w="301"/>
        <w:gridCol w:w="729"/>
        <w:gridCol w:w="155"/>
        <w:gridCol w:w="155"/>
        <w:gridCol w:w="155"/>
        <w:gridCol w:w="155"/>
        <w:gridCol w:w="301"/>
        <w:gridCol w:w="729"/>
        <w:gridCol w:w="231"/>
      </w:tblGrid>
      <w:tr>
        <w:trPr/>
        <w:tc>
          <w:tcPr>
            <w:tcW w:w="13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(gains) losses recognized 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30.3 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61.0 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Net (gains) losses realized 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unrealized (gains) losses recognized 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w:t>
            </w:r>
          </w:p>
        </w:tc>
        <w:tc>
          <w:tcPr>
            <w:tcW w:w="1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29.8 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35.7 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55.5 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gains recognized during the three months ended June 30, 2025, primarily reflect an increase in the aggregate fair value of our investments in Sage and Denali common stock of approximately $10.1 million.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three months ended June 30, 2024, primarily reflect a decrease in the aggregate fair value of our investments in Sage and Sangamo common stock of approximately $51.4 million, partially offset by an increase in the fair value of Denali common stock of approximately $27.0 million.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six months ended June 30, 2025, primarily reflect a decrease in the aggregate fair value of our investments in Denali common stock of approximately $45.7 million, partially offset by an increase in the fair value of Sage common stock of approximately $23.0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six months ended June 30, 2024, primarily reflect a decrease in the aggregate fair value of our investments in Sage and Sangamo common stock of approximately $68.3 million, partially offset by an increase in the fair value of Denali common stock of approximately $17.6 million.</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Accrued Expense and Other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expense and other consists of the following:</w:t>
      </w:r>
    </w:p>
    <w:tbl>
      <w:tblPr>
        <w:tblW w:w="9923" w:type="dxa"/>
        <w:jc w:val="left"/>
        <w:tblInd w:w="0" w:type="dxa"/>
        <w:tblLayout w:type="fixed"/>
        <w:tblCellMar>
          <w:top w:w="28" w:type="dxa"/>
          <w:left w:w="28" w:type="dxa"/>
          <w:bottom w:w="28" w:type="dxa"/>
          <w:right w:w="28" w:type="dxa"/>
        </w:tblCellMar>
      </w:tblPr>
      <w:tblGrid>
        <w:gridCol w:w="1728"/>
        <w:gridCol w:w="1519"/>
        <w:gridCol w:w="1538"/>
        <w:gridCol w:w="109"/>
        <w:gridCol w:w="109"/>
        <w:gridCol w:w="109"/>
        <w:gridCol w:w="381"/>
        <w:gridCol w:w="1386"/>
        <w:gridCol w:w="197"/>
        <w:gridCol w:w="109"/>
        <w:gridCol w:w="109"/>
        <w:gridCol w:w="109"/>
        <w:gridCol w:w="470"/>
        <w:gridCol w:w="1707"/>
        <w:gridCol w:w="343"/>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r>
      <w:tr>
        <w:trPr/>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Revenue-related reserves for discounts and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997.4 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937.5 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Employee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260.9 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375.8 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179.5 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309.0 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Royalties and licensing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200.3 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portion of contingent consideration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297.2 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291.2 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123.7 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601.5 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692.3 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accrued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2,660.5 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2,807.7 </w:t>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Other Long-term Liabilities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 were $799.6 million and $732.3 million as of June 30, 2025 and December 31, 2024, respectively, and included accrued income taxes totaling $165.1 million and $156.7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69" w:type="dxa"/>
        <w:jc w:val="left"/>
        <w:tblInd w:w="0" w:type="dxa"/>
        <w:tblLayout w:type="fixed"/>
        <w:tblCellMar>
          <w:top w:w="28" w:type="dxa"/>
          <w:left w:w="28" w:type="dxa"/>
          <w:bottom w:w="28" w:type="dxa"/>
          <w:right w:w="28" w:type="dxa"/>
        </w:tblCellMar>
      </w:tblPr>
      <w:tblGrid>
        <w:gridCol w:w="461"/>
        <w:gridCol w:w="406"/>
        <w:gridCol w:w="408"/>
        <w:gridCol w:w="1551"/>
        <w:gridCol w:w="1551"/>
        <w:gridCol w:w="2192"/>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19:</w:t>
            </w:r>
          </w:p>
        </w:tc>
        <w:tc>
          <w:tcPr>
            <w:tcW w:w="5294"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Collaborative and Other Relationships</w:t>
            </w:r>
          </w:p>
        </w:tc>
      </w:tr>
    </w:tbl>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Genentech, Inc. (Roche Group)</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 For purposes of this footnote, we refer to RITUXAN and RITUXAN HYCELA collectively as RITUXAN.</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RITUXAN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Genentech and its affiliates are responsible for the worldwide manufacture of RITUXAN as well as all development and commercialization activities as follows: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i/>
          <w:color w:val="0070C0"/>
          <w:sz w:val="20"/>
        </w:rPr>
        <w:t>U.S.:</w:t>
      </w:r>
      <w:r>
        <w:rPr>
          <w:color w:val="000000"/>
        </w:rPr>
        <w:t xml:space="preserve"> </w:t>
      </w:r>
      <w:r>
        <w:rPr>
          <w:rFonts w:ascii="Franklin Gothic Book;sans-serif" w:hAnsi="Franklin Gothic Book;sans-serif"/>
          <w:b w:val="false"/>
          <w:color w:val="000000"/>
          <w:sz w:val="20"/>
        </w:rPr>
        <w:t>We have co-exclusively licensed our rights to develop, commercialize and market RITUXAN in the U.S.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i/>
          <w:color w:val="0070C0"/>
          <w:sz w:val="20"/>
        </w:rPr>
        <w:t>Canada:</w:t>
      </w:r>
      <w:r>
        <w:rPr>
          <w:color w:val="000000"/>
        </w:rPr>
        <w:t xml:space="preserve"> </w:t>
      </w:r>
      <w:r>
        <w:rPr>
          <w:rFonts w:ascii="Franklin Gothic Book;sans-serif" w:hAnsi="Franklin Gothic Book;sans-serif"/>
          <w:b w:val="false"/>
          <w:color w:val="000000"/>
          <w:sz w:val="20"/>
        </w:rPr>
        <w:t>We have co-exclusively licensed our rights to develop, commercialize and market RITUXAN in Canada.</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GAZYVA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Roche Group and its sub-licensees maintain sole responsibility for the development, manufacture and commercialization of GAZYVA in the U.S. The level of gross sales of GAZYVA in the U.S. has impacted our percentage of the co-promotion profits for RITUXAN and LUNSUMIO, as summarized in the table below.</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OCREVUS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terms of our collaboration arrangements with Genentech, we receive a tiered royalty on U.S. net sales from 13.5% and increasing up to 24.0% if annual net sales exceed $900.0 million. There will be a 50.0% reduction to these royalties upon the first entry of an FDA approved biosimilar to OCREVUS.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we receive a gross 3.0% royalty on net sales of OCREVUS outside the U.S., with the royalty period lasting 11 years from the first commercial sale of OCREVUS on a country-by-country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LUNSUMIO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entitled to a tiered share of co-promotion operating profits and losses in the U.S., as summarized in the table below. In addition, we receive low-single digit royalties on sales of LUNSUMIO outside the U.S.</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COLUMVI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Genentech has sole decision-making rights on the commercialization of COLUMVI within the U.S. and we receive tiered royalties in the mid-single digit range on net sales of COLUMVI in the U.S. Under the terms of this agreement, we have no payment obligations. The commercialization of COLUMVI does not impact the percentage of the co-promotion profits we receive for RITUXAN, LUNSUMIO or GAZYVA.</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Profit-sharing Formulas</w:t>
      </w:r>
    </w:p>
    <w:p>
      <w:pPr>
        <w:pStyle w:val="TextBody"/>
        <w:bidi w:val="0"/>
        <w:spacing w:lineRule="auto" w:line="288" w:before="120" w:after="283"/>
        <w:jc w:val="left"/>
        <w:rPr>
          <w:rFonts w:ascii="Franklin Gothic Book;sans-serif" w:hAnsi="Franklin Gothic Book;sans-serif"/>
          <w:b w:val="false"/>
          <w:i/>
          <w:color w:val="538235"/>
          <w:sz w:val="20"/>
        </w:rPr>
      </w:pPr>
      <w:r>
        <w:rPr>
          <w:rFonts w:ascii="Franklin Gothic Book;sans-serif" w:hAnsi="Franklin Gothic Book;sans-serif"/>
          <w:b w:val="false"/>
          <w:i/>
          <w:color w:val="538235"/>
          <w:sz w:val="20"/>
        </w:rPr>
        <w:t>RITUXAN and LUNSUMIO Profit Share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current pretax co-promotion profit-sharing formula for RITUXAN and LUNSUMIO in the U.S. provides for a 30.0% share on the first $50.0 million of combined co-promotion operating profits earned each calendar year. As a result of the FDA approval of LUNSUMIO our share of the combined annual co-promotion profits for RITUXAN and LUNSUMIO in excess of $50.0 million varies upon the following events, as summarized in the table below:</w:t>
      </w:r>
    </w:p>
    <w:tbl>
      <w:tblPr>
        <w:tblW w:w="6722" w:type="dxa"/>
        <w:jc w:val="left"/>
        <w:tblInd w:w="0" w:type="dxa"/>
        <w:tblLayout w:type="fixed"/>
        <w:tblCellMar>
          <w:top w:w="28" w:type="dxa"/>
          <w:left w:w="28" w:type="dxa"/>
          <w:bottom w:w="28" w:type="dxa"/>
          <w:right w:w="28" w:type="dxa"/>
        </w:tblCellMar>
      </w:tblPr>
      <w:tblGrid>
        <w:gridCol w:w="2102"/>
        <w:gridCol w:w="1849"/>
        <w:gridCol w:w="1854"/>
        <w:gridCol w:w="293"/>
        <w:gridCol w:w="293"/>
        <w:gridCol w:w="331"/>
      </w:tblGrid>
      <w:tr>
        <w:trPr/>
        <w:tc>
          <w:tcPr>
            <w:tcW w:w="210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LUNSUMIO Approval until the First Threshold Date</w:t>
            </w:r>
          </w:p>
        </w:tc>
        <w:tc>
          <w:tcPr>
            <w:tcW w:w="58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37.5 </w:t>
            </w:r>
          </w:p>
        </w:tc>
        <w:tc>
          <w:tcPr>
            <w:tcW w:w="33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First Threshold Date until the Second Threshold Date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580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Second Threshold Date</w:t>
            </w:r>
          </w:p>
        </w:tc>
        <w:tc>
          <w:tcPr>
            <w:tcW w:w="58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30.0 </w:t>
            </w:r>
          </w:p>
        </w:tc>
        <w:tc>
          <w:tcPr>
            <w:tcW w:w="33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bl>
    <w:p>
      <w:pPr>
        <w:pStyle w:val="TextBody"/>
        <w:bidi w:val="0"/>
        <w:spacing w:lineRule="auto" w:line="288" w:before="120" w:after="283"/>
        <w:jc w:val="left"/>
        <w:rPr/>
      </w:pPr>
      <w:r>
        <w:rPr>
          <w:rFonts w:ascii="Franklin Gothic Book;sans-serif" w:hAnsi="Franklin Gothic Book;sans-serif"/>
          <w:b w:val="false"/>
          <w:color w:val="000000"/>
          <w:sz w:val="20"/>
          <w:u w:val="single"/>
        </w:rPr>
        <w:t>First Threshold Date</w:t>
      </w:r>
      <w:r>
        <w:rPr>
          <w:color w:val="000000"/>
        </w:rPr>
        <w:t xml:space="preserve"> </w:t>
      </w:r>
      <w:r>
        <w:rPr>
          <w:rFonts w:ascii="Franklin Gothic Book;sans-serif" w:hAnsi="Franklin Gothic Book;sans-serif"/>
          <w:b w:val="false"/>
          <w:color w:val="000000"/>
          <w:sz w:val="20"/>
        </w:rPr>
        <w:t>means the earlier of (i) the first day of the calendar quarter following the date U.S. gross sales of GAZYVA within any consecutive 12-month period have reached $500.0 million or (ii) the first date in any calendar year in which U.S. gross sales of LUNSUMIO have reached $150.0 million.</w:t>
      </w:r>
    </w:p>
    <w:p>
      <w:pPr>
        <w:pStyle w:val="TextBody"/>
        <w:bidi w:val="0"/>
        <w:spacing w:lineRule="auto" w:line="288" w:before="120" w:after="283"/>
        <w:jc w:val="left"/>
        <w:rPr/>
      </w:pPr>
      <w:r>
        <w:rPr>
          <w:rFonts w:ascii="Franklin Gothic Book;sans-serif" w:hAnsi="Franklin Gothic Book;sans-serif"/>
          <w:b w:val="false"/>
          <w:color w:val="000000"/>
          <w:sz w:val="20"/>
          <w:u w:val="single"/>
        </w:rPr>
        <w:t>Second Threshold Date</w:t>
      </w:r>
      <w:r>
        <w:rPr>
          <w:color w:val="000000"/>
        </w:rPr>
        <w:t xml:space="preserve"> </w:t>
      </w:r>
      <w:r>
        <w:rPr>
          <w:rFonts w:ascii="Franklin Gothic Book;sans-serif" w:hAnsi="Franklin Gothic Book;sans-serif"/>
          <w:b w:val="false"/>
          <w:color w:val="000000"/>
          <w:sz w:val="20"/>
        </w:rPr>
        <w:t>means the later of (i) the first date in any calendar year in which U.S. gross sales of LUNSUMIO have reached $350.0 million or (ii) January 1 of the calendar year following the calendar year in which the First Threshold Date occurs.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First Threshold Date was achieved. As a result, beginning in April 2023 the pre-tax profit share for RITUXAN and LUNSUMIO was 35.0%.</w:t>
      </w:r>
    </w:p>
    <w:p>
      <w:pPr>
        <w:pStyle w:val="TextBody"/>
        <w:bidi w:val="0"/>
        <w:spacing w:lineRule="auto" w:line="288" w:before="120" w:after="283"/>
        <w:jc w:val="left"/>
        <w:rPr>
          <w:rFonts w:ascii="Franklin Gothic Book;sans-serif" w:hAnsi="Franklin Gothic Book;sans-serif"/>
          <w:b w:val="false"/>
          <w:i/>
          <w:color w:val="538235"/>
          <w:sz w:val="20"/>
        </w:rPr>
      </w:pPr>
      <w:r>
        <w:rPr>
          <w:rFonts w:ascii="Franklin Gothic Book;sans-serif" w:hAnsi="Franklin Gothic Book;sans-serif"/>
          <w:b w:val="false"/>
          <w:i/>
          <w:color w:val="538235"/>
          <w:sz w:val="20"/>
        </w:rPr>
        <w:t>GAZYVA Profit Share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current pretax profit-sharing formula for GAZYVA provides for a 35.0% share of operating profits earned each calendar year.</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Genentech,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2024 Form 10-K.</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Ionis Pharmaceuticals, Inc.</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2017 SMA Collaboration Agreement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2017 we entered into a collaboration agreement with Ionis to identify new ASO drug candidates for the potential treatment of SMA. Under this agreement, we have options to license therapies arising out of this collaboration and will be responsible for the development and commercialization of such therapies.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2021 we exercised our option with Ionis and obtained a worldwide, exclusive, royalty-bearing license to develop and commercialize salanersen (BIIB115), an investigational ASO in development for SMA.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pay Ionis up to $155.0 million in additional development and regulatory milestone payments related to salanersen, including a $45.0 million milestone payment due upon the initiation of a Phase 3 trial. Upon commercialization, we may also pay Ionis up to $400.0 million in additional performance-based milestone payments and tiered royalties on potential net sales of such therapies ranging from the mid-teens to high-twenties percentages.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Ionis,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2024 Form 10-K.</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Eisai Co., Ltd.</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LEQEMBI (lecanemab) Collaboration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a collaboration agreement with Eisai to jointly develop and commercialize LEQEMBI (lecanemab), an anti-amyloid antibody for the treatment of Alzheimer's disease. The FDA granted traditional approval of LEQEMBI in July 2023. Prior to receiving traditional approval, LEQEMBI had been granted accelerated approval by the FDA in January 2023, at which time it became commercially available in the U.S. Outside of the U.S., LEQEMBI is now approved in the E.U. (April 2025), China (January 2024), Japan (September 2023) and other international markets. Additionally, in January 2025 the FDA approved LEQEMBI monthly IV maintenance dosing for the treatment of early Alzheimer's disease.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All costs, including research, development, sales and marketing expense, are shared equally between us and Eisai. We also share profits and losses equally. We currently have a supply agreement with Eisai to manufacture LEQEMBI drug substance and drug product through the end of 2031.</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Subject to the limitations in the LEQEMBI Collaboration Agreement, Eisai has final decision-making authority on all matters relating to the collaboration and serves as the lead of LEQEMBI development and regulatory submissions globally. We co-commercialize and co-promote LEQEMBI with Eisai. Our Collaboration Agreement provides that each commercialization plan shall allocate the responsibilities for the activities under the plan in an equitable fashion taking into account Biogen's and Eisai's respective capabilities and provides a meaningful role for each party.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Upon commercialization of LEQEMBI in the U.S., we began recognizing our 50.0% share of LEQEMBI product revenue, net and cost of sales, including royalties, within Alzheimer's collaboration revenue in our condensed consolidated statements of income, as we are not the principal.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share of LEQEMBI sales and marketing expense and development expense are recorded within selling, general and administrative expense and research and development expense, respectively, within our condensed consolidated statements of income.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and sales and marketing expense related to the LEQEMBI Collaboration is as follows:</w:t>
      </w:r>
    </w:p>
    <w:tbl>
      <w:tblPr>
        <w:tblW w:w="10205" w:type="dxa"/>
        <w:jc w:val="left"/>
        <w:tblInd w:w="0" w:type="dxa"/>
        <w:tblLayout w:type="fixed"/>
        <w:tblCellMar>
          <w:top w:w="28" w:type="dxa"/>
          <w:left w:w="28" w:type="dxa"/>
          <w:bottom w:w="28" w:type="dxa"/>
          <w:right w:w="28" w:type="dxa"/>
        </w:tblCellMar>
      </w:tblPr>
      <w:tblGrid>
        <w:gridCol w:w="1715"/>
        <w:gridCol w:w="1466"/>
        <w:gridCol w:w="1484"/>
        <w:gridCol w:w="109"/>
        <w:gridCol w:w="109"/>
        <w:gridCol w:w="109"/>
        <w:gridCol w:w="251"/>
        <w:gridCol w:w="608"/>
        <w:gridCol w:w="129"/>
        <w:gridCol w:w="129"/>
        <w:gridCol w:w="129"/>
        <w:gridCol w:w="129"/>
        <w:gridCol w:w="251"/>
        <w:gridCol w:w="608"/>
        <w:gridCol w:w="129"/>
        <w:gridCol w:w="109"/>
        <w:gridCol w:w="109"/>
        <w:gridCol w:w="109"/>
        <w:gridCol w:w="236"/>
        <w:gridCol w:w="690"/>
        <w:gridCol w:w="122"/>
        <w:gridCol w:w="122"/>
        <w:gridCol w:w="122"/>
        <w:gridCol w:w="122"/>
        <w:gridCol w:w="236"/>
        <w:gridCol w:w="690"/>
        <w:gridCol w:w="183"/>
      </w:tblGrid>
      <w:tr>
        <w:trPr/>
        <w:tc>
          <w:tcPr>
            <w:tcW w:w="171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development expense incurred by the collaboration related to the advancement of LEQEMBI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54.9 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107.5 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177.9 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LEQEMBI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53.8 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sales and marketing expense incurred by the LEQEMBI Collaboration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171.2 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348.9 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311.6 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LEQEMBI Collaboration sales and marketing expense reflected in selling, general and administrative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174.5 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155.8 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Amounts receivable from Eisai related to the agreement</w:t>
      </w:r>
      <w:r>
        <w:rPr>
          <w:rFonts w:ascii="Franklin Gothic Book;sans-serif" w:hAnsi="Franklin Gothic Book;sans-serif"/>
          <w:b w:val="false"/>
          <w:color w:val="000000"/>
          <w:sz w:val="20"/>
        </w:rPr>
        <w:t>s discussed above were approximately $143.4 million and $16.7 million as of June 30, 2025 and December 31, 2024, respectively. Amounts payable to Eisai related to the agreements discussed above were approximately $97.5 million and $138.0 million as of June 30, 2025 and December 31, 2024, respectively.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Note 19,</w:t>
      </w:r>
      <w:r>
        <w:rPr>
          <w:color w:val="000000"/>
        </w:rPr>
        <w:t xml:space="preserve"> </w:t>
      </w:r>
      <w:r>
        <w:rPr>
          <w:rFonts w:ascii="Franklin Gothic Book;sans-serif" w:hAnsi="Franklin Gothic Book;sans-serif"/>
          <w:b w:val="false"/>
          <w:i/>
          <w:color w:val="000000"/>
          <w:sz w:val="20"/>
        </w:rPr>
        <w:t>Collaborative and Other Relationships,</w:t>
      </w:r>
      <w:r>
        <w:rPr>
          <w:color w:val="000000"/>
        </w:rPr>
        <w:t xml:space="preserve"> </w:t>
      </w:r>
      <w:r>
        <w:rPr>
          <w:rFonts w:ascii="Franklin Gothic Book;sans-serif" w:hAnsi="Franklin Gothic Book;sans-serif"/>
          <w:b w:val="false"/>
          <w:color w:val="000000"/>
          <w:sz w:val="20"/>
        </w:rPr>
        <w:t>to our consolidated financial statements included in our 2024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UCB</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All costs incurred for agreed indications, including research, development, sales and marketing expense, are shared equally between us and UCB. If marketing approval is obtained, both companies will jointly commercialize dapirolizumab pegol and share profits and losses equally.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related to the UCB collaboration agreement is as follows:</w:t>
      </w:r>
    </w:p>
    <w:tbl>
      <w:tblPr>
        <w:tblW w:w="10205" w:type="dxa"/>
        <w:jc w:val="left"/>
        <w:tblInd w:w="0" w:type="dxa"/>
        <w:tblLayout w:type="fixed"/>
        <w:tblCellMar>
          <w:top w:w="28" w:type="dxa"/>
          <w:left w:w="28" w:type="dxa"/>
          <w:bottom w:w="28" w:type="dxa"/>
          <w:right w:w="28" w:type="dxa"/>
        </w:tblCellMar>
      </w:tblPr>
      <w:tblGrid>
        <w:gridCol w:w="1705"/>
        <w:gridCol w:w="1499"/>
        <w:gridCol w:w="1486"/>
        <w:gridCol w:w="109"/>
        <w:gridCol w:w="109"/>
        <w:gridCol w:w="109"/>
        <w:gridCol w:w="259"/>
        <w:gridCol w:w="627"/>
        <w:gridCol w:w="133"/>
        <w:gridCol w:w="133"/>
        <w:gridCol w:w="133"/>
        <w:gridCol w:w="133"/>
        <w:gridCol w:w="259"/>
        <w:gridCol w:w="627"/>
        <w:gridCol w:w="133"/>
        <w:gridCol w:w="109"/>
        <w:gridCol w:w="109"/>
        <w:gridCol w:w="109"/>
        <w:gridCol w:w="250"/>
        <w:gridCol w:w="607"/>
        <w:gridCol w:w="129"/>
        <w:gridCol w:w="129"/>
        <w:gridCol w:w="129"/>
        <w:gridCol w:w="129"/>
        <w:gridCol w:w="250"/>
        <w:gridCol w:w="607"/>
        <w:gridCol w:w="194"/>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4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UCB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17.8 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16.5 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39.6 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33.1 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UCB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8.9 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16.6 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Sage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November 2020 we entered into a global collaboration and license agreement with Sage to jointly develop and commercialize ZURZUVAE (zuranolone) for the treatment of PPD.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high-teens to low-twenties percentages. During the fourth quarter of 2023 we accrued a milestone payment due to Sage of $75.0 million upon the first commercial sale of ZURZUVAE for PPD in the U.S., which was recorded within intangible assets, net in our condensed consolidated balance sheets, and subsequently paid in January 2024.</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share 50.0% of the net collaboration results in the U.S. with Sage, which are recognized in collaboration profit sharing/(loss reimbursement) in our condensed consolidated statements of income. For the three and six months ended June 30, 2025, we recognized net profit-sharing expense of approximately $17.8 million and $27.9 million, respectively, to reflect Sage's 50.0% share of the net collaboration results in the U.S., compared to net profit-sharing expense of approximately $6.5 million and $11.5 million, respectively, in the prior year comparative periods.</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and sales and marketing expense related to the Sage collaboration is as follows:</w:t>
      </w:r>
    </w:p>
    <w:tbl>
      <w:tblPr>
        <w:tblW w:w="10205" w:type="dxa"/>
        <w:jc w:val="left"/>
        <w:tblInd w:w="0" w:type="dxa"/>
        <w:tblLayout w:type="fixed"/>
        <w:tblCellMar>
          <w:top w:w="28" w:type="dxa"/>
          <w:left w:w="28" w:type="dxa"/>
          <w:bottom w:w="28" w:type="dxa"/>
          <w:right w:w="28" w:type="dxa"/>
        </w:tblCellMar>
      </w:tblPr>
      <w:tblGrid>
        <w:gridCol w:w="2007"/>
        <w:gridCol w:w="1587"/>
        <w:gridCol w:w="1571"/>
        <w:gridCol w:w="109"/>
        <w:gridCol w:w="109"/>
        <w:gridCol w:w="109"/>
        <w:gridCol w:w="255"/>
        <w:gridCol w:w="491"/>
        <w:gridCol w:w="131"/>
        <w:gridCol w:w="131"/>
        <w:gridCol w:w="131"/>
        <w:gridCol w:w="131"/>
        <w:gridCol w:w="255"/>
        <w:gridCol w:w="491"/>
        <w:gridCol w:w="131"/>
        <w:gridCol w:w="109"/>
        <w:gridCol w:w="109"/>
        <w:gridCol w:w="109"/>
        <w:gridCol w:w="244"/>
        <w:gridCol w:w="469"/>
        <w:gridCol w:w="126"/>
        <w:gridCol w:w="126"/>
        <w:gridCol w:w="126"/>
        <w:gridCol w:w="126"/>
        <w:gridCol w:w="244"/>
        <w:gridCol w:w="591"/>
        <w:gridCol w:w="187"/>
      </w:tblGrid>
      <w:tr>
        <w:trPr/>
        <w:tc>
          <w:tcPr>
            <w:tcW w:w="200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5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5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Sage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21.2 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Sage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sales and marketing expense incurred by the Sage collaboration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45.7 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89.2 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Sage collaboration sales and marketing expense reflected in selling, general and administrative expense and collaboration profit sharing/(loss reimbursement)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22.9 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44.6 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Sage announced it entered into a definitive agreement for Supernus Pharmaceuticals, Inc. to acquire Sage, with the transaction expected to close in the third quarter of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set forth in the amended Schedule 13D we filed with the SEC on July 30, 2025, we have disposed of all of our shares of Sage common stock in a block trade.</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Denali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2020 we entered into a collaboration and license agreement with Denali to co-develop and co-commercialize BIIB122, a small molecule inhibitor of LRRK2 for Parkinson's disease (LRRK2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related to the Denali collaboration is as follows:</w:t>
      </w:r>
    </w:p>
    <w:tbl>
      <w:tblPr>
        <w:tblW w:w="10205" w:type="dxa"/>
        <w:jc w:val="left"/>
        <w:tblInd w:w="0" w:type="dxa"/>
        <w:tblLayout w:type="fixed"/>
        <w:tblCellMar>
          <w:top w:w="28" w:type="dxa"/>
          <w:left w:w="28" w:type="dxa"/>
          <w:bottom w:w="28" w:type="dxa"/>
          <w:right w:w="28" w:type="dxa"/>
        </w:tblCellMar>
      </w:tblPr>
      <w:tblGrid>
        <w:gridCol w:w="1708"/>
        <w:gridCol w:w="1502"/>
        <w:gridCol w:w="1489"/>
        <w:gridCol w:w="109"/>
        <w:gridCol w:w="109"/>
        <w:gridCol w:w="109"/>
        <w:gridCol w:w="258"/>
        <w:gridCol w:w="625"/>
        <w:gridCol w:w="133"/>
        <w:gridCol w:w="133"/>
        <w:gridCol w:w="133"/>
        <w:gridCol w:w="133"/>
        <w:gridCol w:w="258"/>
        <w:gridCol w:w="625"/>
        <w:gridCol w:w="133"/>
        <w:gridCol w:w="109"/>
        <w:gridCol w:w="109"/>
        <w:gridCol w:w="109"/>
        <w:gridCol w:w="250"/>
        <w:gridCol w:w="606"/>
        <w:gridCol w:w="129"/>
        <w:gridCol w:w="129"/>
        <w:gridCol w:w="129"/>
        <w:gridCol w:w="129"/>
        <w:gridCol w:w="250"/>
        <w:gridCol w:w="606"/>
        <w:gridCol w:w="193"/>
      </w:tblGrid>
      <w:tr>
        <w:trPr/>
        <w:tc>
          <w:tcPr>
            <w:tcW w:w="170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4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Denali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12.1 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15.4 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24.9 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29.6 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Denali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7.2 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14.9 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Stoke Therapeutics, Inc.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 terms of this agreement, Stoke will continue to lead global development and retain exclusive development and commercialization rights for zorevunersen in the U.S., Canada and Mexico and we will have exclusive rights to commercialize zorevunersen in the rest of the world. Both companies will share responsibility for external clinical development costs, where Stoke is responsible for 70.0% of these development costs and we are responsible for the remaining 30.0% of these development costs.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closing of this transaction we made an upfront payment of $165.0 million to Stoke, which was recognized as acquired in-process research and development, upfront and milestone expense within our condensed consolidated statements of income for the six months ended June 30, 2025. We may also pay Stoke potential development and commercial milestone payments of up to $50.0 million and $335.0 million, respectively, if all the specified milestones set forth in this collaboration are achieved. In addition, we may pay Stoke tiered royalties on potential net sales of any products developed under this collaboration in the low-double digit to high-teen percentages.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have an exclusive option to license certain future follow-on ASO products targeting the SCN1A gene in all territories worldwide other than the U.S., Canada and Mexico, in exchange for separate milestone, cost sharing and royalty considerations.</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A summary of development expense related to the Stoke collaboration agreement is as follows:</w:t>
      </w:r>
    </w:p>
    <w:tbl>
      <w:tblPr>
        <w:tblW w:w="10205" w:type="dxa"/>
        <w:jc w:val="left"/>
        <w:tblInd w:w="0" w:type="dxa"/>
        <w:tblLayout w:type="fixed"/>
        <w:tblCellMar>
          <w:top w:w="28" w:type="dxa"/>
          <w:left w:w="28" w:type="dxa"/>
          <w:bottom w:w="28" w:type="dxa"/>
          <w:right w:w="28" w:type="dxa"/>
        </w:tblCellMar>
      </w:tblPr>
      <w:tblGrid>
        <w:gridCol w:w="1933"/>
        <w:gridCol w:w="1700"/>
        <w:gridCol w:w="1689"/>
        <w:gridCol w:w="109"/>
        <w:gridCol w:w="109"/>
        <w:gridCol w:w="109"/>
        <w:gridCol w:w="552"/>
        <w:gridCol w:w="1065"/>
        <w:gridCol w:w="289"/>
        <w:gridCol w:w="109"/>
        <w:gridCol w:w="109"/>
        <w:gridCol w:w="109"/>
        <w:gridCol w:w="109"/>
        <w:gridCol w:w="109"/>
        <w:gridCol w:w="467"/>
        <w:gridCol w:w="1131"/>
        <w:gridCol w:w="241"/>
        <w:gridCol w:w="109"/>
        <w:gridCol w:w="157"/>
      </w:tblGrid>
      <w:tr>
        <w:trPr/>
        <w:tc>
          <w:tcPr>
            <w:tcW w:w="193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2" w:type="dxa"/>
            <w:gridSpan w:val="8"/>
            <w:tcBorders/>
          </w:tcPr>
          <w:p>
            <w:pPr>
              <w:pStyle w:val="TableContents"/>
              <w:bidi w:val="0"/>
              <w:spacing w:before="0" w:after="283"/>
              <w:jc w:val="left"/>
              <w:rPr>
                <w:sz w:val="4"/>
                <w:szCs w:val="4"/>
              </w:rPr>
            </w:pPr>
            <w:r>
              <w:rPr>
                <w:sz w:val="4"/>
                <w:szCs w:val="4"/>
              </w:rPr>
            </w:r>
          </w:p>
        </w:tc>
      </w:tr>
      <w:tr>
        <w:trPr/>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For the 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For the 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Stoke collaboration development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0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8.9 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1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12.8 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Stoke collaboration development expense reflected in research and development expense in our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2.6 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Franklin Gothic Book;sans-serif" w:hAnsi="Franklin Gothic Book;sans-serif"/>
          <w:b/>
          <w:color w:val="0070C0"/>
          <w:sz w:val="22"/>
          <w:shd w:fill="FFFFFF" w:val="clear"/>
        </w:rPr>
        <w:t>Samsung Bioepis Co., Lt</w:t>
      </w:r>
      <w:r>
        <w:rPr>
          <w:rFonts w:ascii="Franklin Gothic Book;sans-serif" w:hAnsi="Franklin Gothic Book;sans-serif"/>
          <w:b/>
          <w:color w:val="0070C0"/>
          <w:sz w:val="22"/>
        </w:rPr>
        <w:t>d.</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2019 Development and Commercialization Agreement</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In December 2019 we completed a transaction with Samsung Bioepis and secured the exclusive rights to commercialize two potential ophthalmology biosimilar products, BYOOVIZ, a ranibizumab biosimilar referencing LUCENTIS, and OPUVIZ, an aflibercept biosimilar referencing EYLEA, in major markets worldwide, including the U.S., Canada, Europe, Japan and Australia. The agreement established that Samsung Bioepis will be responsible for development and will supply both products to us at a pre-specified gross margin of approximately 45.0%.</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October 2024 we notified Samsung Bioepis of our decision to terminate our 2019 Development and Commercialization Agreement (the DCA Agreement) solely within the U.S. and Canada. As a result of this termination we recognized impairment charges of approximately $20.2 million, </w:t>
      </w:r>
      <w:r>
        <w:rPr>
          <w:rFonts w:ascii="Franklin Gothic Book;sans-serif" w:hAnsi="Franklin Gothic Book;sans-serif"/>
          <w:b w:val="false"/>
          <w:color w:val="000000"/>
          <w:sz w:val="20"/>
          <w:shd w:fill="FFFFFF" w:val="clear"/>
        </w:rPr>
        <w:t>which were recorded within amortization and impairment of acquired intangible assets within our consolidated statements of income for the</w:t>
      </w:r>
      <w:r>
        <w:rPr>
          <w:color w:val="000000"/>
        </w:rPr>
        <w:t xml:space="preserve"> </w:t>
      </w:r>
      <w:r>
        <w:rPr>
          <w:rFonts w:ascii="Franklin Gothic Book;sans-serif" w:hAnsi="Franklin Gothic Book;sans-serif"/>
          <w:b w:val="false"/>
          <w:color w:val="000000"/>
          <w:sz w:val="20"/>
        </w:rPr>
        <w:t>year ended December 31, 2024, included in our 2024 Form 10-K. Biogen will transfer commercialization rights for BYOOVIZ and OPUVIZ in the U.S. and Canada back to Samsung Bioepis over a period of up to 18 months. During this transition period, we will continue to commercialize BYOOVIZ. The termination does not impact the other markets in the DCA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We may pay Samsung Bioepis up to approximately $150.0 million for achieving additional sales-based milestones associated with the remaining major markets covered by the agreement.</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2013 Commercial Agreement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2013 we entered into an agreement with Samsung Bioepis to commercialize, over a 10-year term, three anti-TNF biosimilar product candidates which include IMRALDI, an adalimumab biosimilar referencing HUMIRA, FLIXABI, an infliximab biosimilar referencing REMICADE, and BENEPALI, an etanercept biosimilar referencing ENBREL, in Europe.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July 2024 we exercised an option to extend this agreement by an additional five years and paid Samsung Bioepis an option exercise fee of $60.0 million, which was recognized in intangible assets, net within our condensed consolidated balance sheets as of December 31, 2024.</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 Royalty payments to AbbVie on sales of IMRALDI are recognized in cost of sales within our condensed consolidated statements of income.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We share 50.0% of the profit or loss related to our 2013 commercial agreement with Samsung Bioepis, which is recognized in collaboration profit sharing/(loss reimbursement) in our condensed consolidated statements of income. For 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six months ended June 30, 2025, we recognized net profit-sharing expense of approximately $57.2 million and $105.2 million, respectively, to reflect Samsung Bioepis' 50.0% sharing of the net collaboration profits, compared to net profit-sharing expense of approximately $55.9 million and $116.5 million, respectively, in the prior year comparative periods.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Other Services</w:t>
      </w:r>
    </w:p>
    <w:p>
      <w:pPr>
        <w:pStyle w:val="TextBody"/>
        <w:bidi w:val="0"/>
        <w:spacing w:lineRule="auto" w:line="288" w:before="120" w:after="283"/>
        <w:jc w:val="left"/>
        <w:rPr/>
      </w:pPr>
      <w:r>
        <w:rPr>
          <w:rFonts w:ascii="Franklin Gothic Book;sans-serif" w:hAnsi="Franklin Gothic Book;sans-serif"/>
          <w:b w:val="false"/>
          <w:color w:val="000000"/>
          <w:sz w:val="20"/>
        </w:rPr>
        <w:t>Simultaneous with the formation of Samsung Bioepis, we also entered into a license agreement with Samsung Bioepis. Under this license agreement, we granted Samsung Bioepis an exclusive license to use, develop, manufacture and commercialize biosimilar products created by Samsung Bioepis using Biogen product-specific technology. In exchange, we receive single-digit royalties on biosimilar products developed and commercialized by Samsung Bioepis. Royalty revenue under the license agreement is recognized as a component of contract manufa</w:t>
      </w:r>
      <w:r>
        <w:rPr>
          <w:rFonts w:ascii="Franklin Gothic Book;sans-serif" w:hAnsi="Franklin Gothic Book;sans-serif"/>
          <w:b w:val="false"/>
          <w:color w:val="000000"/>
          <w:sz w:val="20"/>
          <w:shd w:fill="FFFFFF" w:val="clear"/>
        </w:rPr>
        <w:t>cturing, royalty and other revenue in our condensed consolidated statements of income.</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Amounts receivable from Samsung Bioepis related to the agreements discussed above were approximately $5.0 million and $7.6 million as of June 30, 2025 and December 31, 2024, respectively. Amounts payable to Samsung Bioepis related to the agreements discussed above were zero and </w:t>
      </w:r>
      <w:r>
        <w:rPr>
          <w:rFonts w:ascii="Franklin Gothic Book;sans-serif" w:hAnsi="Franklin Gothic Book;sans-serif"/>
          <w:b w:val="false"/>
          <w:color w:val="000000"/>
          <w:sz w:val="20"/>
        </w:rPr>
        <w:t xml:space="preserve">$60.8 million as of </w:t>
      </w:r>
      <w:r>
        <w:rPr>
          <w:rFonts w:ascii="Franklin Gothic Book;sans-serif" w:hAnsi="Franklin Gothic Book;sans-serif"/>
          <w:b w:val="false"/>
          <w:color w:val="000000"/>
          <w:sz w:val="20"/>
          <w:shd w:fill="FFFFFF" w:val="clear"/>
        </w:rPr>
        <w:t xml:space="preserve">June 30, 2025 and </w:t>
      </w:r>
      <w:r>
        <w:rPr>
          <w:rFonts w:ascii="Franklin Gothic Book;sans-serif" w:hAnsi="Franklin Gothic Book;sans-serif"/>
          <w:b w:val="false"/>
          <w:color w:val="000000"/>
          <w:sz w:val="20"/>
        </w:rPr>
        <w:t>December 31, 2024, respectively.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Samsung Bioepis and our other significant collaboration arrangements, please read </w:t>
      </w:r>
      <w:r>
        <w:rPr>
          <w:rFonts w:ascii="Franklin Gothic Book;sans-serif" w:hAnsi="Franklin Gothic Book;sans-serif"/>
          <w:b w:val="false"/>
          <w:i/>
          <w:color w:val="000000"/>
          <w:sz w:val="20"/>
        </w:rPr>
        <w:t>Note 19,</w:t>
      </w:r>
      <w:r>
        <w:rPr>
          <w:color w:val="000000"/>
        </w:rPr>
        <w:t xml:space="preserve"> </w:t>
      </w:r>
      <w:r>
        <w:rPr>
          <w:rFonts w:ascii="Franklin Gothic Book;sans-serif" w:hAnsi="Franklin Gothic Book;sans-serif"/>
          <w:b w:val="false"/>
          <w:i/>
          <w:color w:val="000000"/>
          <w:sz w:val="20"/>
        </w:rPr>
        <w:t>Collaborative and Other Relationships,</w:t>
      </w:r>
      <w:r>
        <w:rPr>
          <w:color w:val="000000"/>
        </w:rPr>
        <w:t xml:space="preserve"> </w:t>
      </w:r>
      <w:r>
        <w:rPr>
          <w:rFonts w:ascii="Franklin Gothic Book;sans-serif" w:hAnsi="Franklin Gothic Book;sans-serif"/>
          <w:b w:val="false"/>
          <w:color w:val="000000"/>
          <w:sz w:val="20"/>
        </w:rPr>
        <w:t xml:space="preserve">to our consolidated financial statements included in our 2024 Form 10-K. </w:t>
      </w:r>
    </w:p>
    <w:p>
      <w:pPr>
        <w:pStyle w:val="TextBody"/>
        <w:bidi w:val="0"/>
        <w:spacing w:lineRule="auto" w:line="288" w:before="120" w:after="283"/>
        <w:jc w:val="left"/>
        <w:rPr>
          <w:rFonts w:ascii="Franklin Gothic Book;sans-serif" w:hAnsi="Franklin Gothic Book;sans-serif"/>
          <w:b/>
          <w:color w:val="0070C0"/>
          <w:sz w:val="22"/>
        </w:rPr>
      </w:pPr>
      <w:r>
        <w:rPr>
          <w:rFonts w:ascii="Franklin Gothic Book;sans-serif" w:hAnsi="Franklin Gothic Book;sans-serif"/>
          <w:b/>
          <w:color w:val="0070C0"/>
          <w:sz w:val="22"/>
        </w:rPr>
        <w:t>Other Research and Discovery Arrangements and Funding Arrangements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These arrangements may include the potential for future milestone payments based on the achievement of certain clinical and commercial development payable over a period of several years.</w:t>
      </w:r>
    </w:p>
    <w:p>
      <w:pPr>
        <w:pStyle w:val="TextBody"/>
        <w:bidi w:val="0"/>
        <w:spacing w:lineRule="auto" w:line="288" w:before="120" w:after="283"/>
        <w:jc w:val="left"/>
        <w:rPr>
          <w:rFonts w:ascii="Franklin Gothic Book;sans-serif" w:hAnsi="Franklin Gothic Book;sans-serif"/>
          <w:b/>
          <w:i/>
          <w:color w:val="0070C0"/>
          <w:sz w:val="20"/>
        </w:rPr>
      </w:pPr>
      <w:r>
        <w:rPr>
          <w:rFonts w:ascii="Franklin Gothic Book;sans-serif" w:hAnsi="Franklin Gothic Book;sans-serif"/>
          <w:b/>
          <w:i/>
          <w:color w:val="0070C0"/>
          <w:sz w:val="20"/>
        </w:rPr>
        <w:t>Royalty Pharma Funding Arrangement</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In February 2025 we entered into a funding agreement with Royalty Pharma under which we will receive up to $200.0 million in 2025 and up to $50.0 million in 2026 to co-fund our development costs for the litifilimab program. As there is a substantive transfer of risk to the financial partner for the amount invested, the development funding will be recognized by us as an obligation to perform contractual services. We plan to recognize this funding as a reduction to research and development expense within our condensed consolidated statements of income, proportionate to the related expense. For the </w:t>
      </w:r>
      <w:r>
        <w:rPr>
          <w:rFonts w:ascii="Franklin Gothic Book;sans-serif" w:hAnsi="Franklin Gothic Book;sans-serif"/>
          <w:b w:val="false"/>
          <w:color w:val="000000"/>
          <w:sz w:val="20"/>
        </w:rPr>
        <w:t>three and six months ended June 30, 2025</w:t>
      </w:r>
      <w:r>
        <w:rPr>
          <w:rFonts w:ascii="Franklin Gothic Book;sans-serif" w:hAnsi="Franklin Gothic Book;sans-serif"/>
          <w:b w:val="false"/>
          <w:color w:val="000000"/>
          <w:sz w:val="20"/>
          <w:shd w:fill="FFFFFF" w:val="clear"/>
        </w:rPr>
        <w:t>, we recorded reductions to research and development expen</w:t>
      </w:r>
      <w:r>
        <w:rPr>
          <w:rFonts w:ascii="Franklin Gothic Book;sans-serif" w:hAnsi="Franklin Gothic Book;sans-serif"/>
          <w:b w:val="false"/>
          <w:color w:val="000000"/>
          <w:sz w:val="20"/>
        </w:rPr>
        <w:t>se of $50.0 million and $100.0 million,</w:t>
      </w:r>
      <w:r>
        <w:rPr>
          <w:color w:val="000000"/>
          <w:shd w:fill="FFFFFF" w:val="clear"/>
        </w:rPr>
        <w:t xml:space="preserve"> </w:t>
      </w:r>
      <w:r>
        <w:rPr>
          <w:rFonts w:ascii="Franklin Gothic Book;sans-serif" w:hAnsi="Franklin Gothic Book;sans-serif"/>
          <w:b w:val="false"/>
          <w:color w:val="000000"/>
          <w:sz w:val="20"/>
          <w:shd w:fill="FFFFFF" w:val="clear"/>
        </w:rPr>
        <w:t>respectively, within our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 a total of $250.0 million. The milestone payments due upon approval will be recorded as a component of other (income) expense, net within our condensed consolidated statements of income, when incurred.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If litifilimab receives regulatory approval, Royalty Pharma will be eligible to receive royalties of a mid-single digit percentage of the applicable net sales. Royalties on net sales will be recorded as cost of sales within our condensed consolidated statements of income.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MorphoSys AG</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As part of our acquisition of HI-Bio in July 2024, we </w:t>
      </w:r>
      <w:r>
        <w:rPr>
          <w:rFonts w:ascii="Franklin Gothic Book;sans-serif" w:hAnsi="Franklin Gothic Book;sans-serif"/>
          <w:b w:val="false"/>
          <w:color w:val="000000"/>
          <w:sz w:val="20"/>
        </w:rPr>
        <w:t xml:space="preserve">acquired HI-Bio's pre-existing in-license commitments under third-party agreements with MorphoSys, which included tiered royalties on potential future sales ranging from high-single digit to mid-teen percentages, as well as potential development, regulatory and commercial milestone payments of up to $130.0 million, $230.0 million and $640.0 million, respectively. These amounts included milestone payments due upon the first patient dosed in a Phase 3 clinical trial of felzartamab in a first and second indication of $35.0 million and $30.0 million, respectively.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first quarter of 2025 we accrued a milestone payment due to MorphoSys of $35.0 million upon the first patient dosed in a Phase 3 clinical trial of felzartamab for the treatment of AMR, which was recorded within acquired in-process research and development, upfront and milestone expense in our condensed consolidated statements of income for the six months ended June 30, 2025, and subsequently paid in April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2025 we accrued a milestone payment due to MorphoSys of $30.0 million upon the first patient dosed in a Phase 3 clinical trial of felzartamab for the treatment of IgAN, which was recorded within acquired in-process research and development, upfront and milestone expense in our condensed consolidated statements of income for the three and six months ended June 30, 2025, and subsequently paid in July 2025.</w:t>
      </w:r>
    </w:p>
    <w:p>
      <w:pPr>
        <w:pStyle w:val="TextBody"/>
        <w:bidi w:val="0"/>
        <w:spacing w:lineRule="auto" w:line="288" w:before="120" w:after="283"/>
        <w:jc w:val="left"/>
        <w:rPr>
          <w:rFonts w:ascii="Franklin Gothic Book;sans-serif" w:hAnsi="Franklin Gothic Book;sans-serif"/>
          <w:b/>
          <w:i/>
          <w:color w:val="2573BA"/>
          <w:sz w:val="20"/>
          <w:shd w:fill="FFFFFF" w:val="clear"/>
        </w:rPr>
      </w:pPr>
      <w:r>
        <w:rPr>
          <w:rFonts w:ascii="Franklin Gothic Book;sans-serif" w:hAnsi="Franklin Gothic Book;sans-serif"/>
          <w:b/>
          <w:i/>
          <w:color w:val="2573BA"/>
          <w:sz w:val="20"/>
          <w:shd w:fill="FFFFFF" w:val="clear"/>
        </w:rPr>
        <w:t>City Therapeutics, Inc.</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In May 2025 we entered into a strategic research arrangement with City Therapeutics to develop select novel RNAi therapies. Through this arrangement, City Therapeutics will leverage its next-generation RNAi engineering technologies to develop an RNAi trigger molecule combined with our proprietary drug delivery technology. The collaboration will initially focus on a single target that mediates key central nervous system diseases, utilizing tissue enhanced delivery technologies with the aim of allowing for systemic administration of medicines. We will be responsible for IND-enabling studies and global clinical development along with any regulatory submissions and all activities related to commercialization.</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In connection with the closing of this transaction we made an upfront payment of $16.0 million to City Therapeutics, which was recognized as acquired in-process research and development, upfront and milestone expense within our condensed consolidated statements of income for the </w:t>
      </w:r>
      <w:r>
        <w:rPr>
          <w:rFonts w:ascii="Franklin Gothic Book;sans-serif" w:hAnsi="Franklin Gothic Book;sans-serif"/>
          <w:b w:val="false"/>
          <w:color w:val="000000"/>
          <w:sz w:val="20"/>
        </w:rPr>
        <w:t>three and six months ended June 30, 2025</w:t>
      </w:r>
      <w:r>
        <w:rPr>
          <w:rFonts w:ascii="Franklin Gothic Book;sans-serif" w:hAnsi="Franklin Gothic Book;sans-serif"/>
          <w:b w:val="false"/>
          <w:color w:val="000000"/>
          <w:sz w:val="20"/>
          <w:shd w:fill="FFFFFF" w:val="clear"/>
        </w:rPr>
        <w:t>, and invested $30.0 million in exchange for a City Therapeutics convertible note, representing a minority equity interest in City Therapeutics, if converted. This convertible note was recorded as a component of investments and other assets within our condensed consolidated balance sheets as of</w:t>
      </w:r>
      <w:r>
        <w:rPr>
          <w:color w:val="000000"/>
        </w:rPr>
        <w:t xml:space="preserve"> </w:t>
      </w:r>
      <w:r>
        <w:rPr>
          <w:rFonts w:ascii="Franklin Gothic Book;sans-serif" w:hAnsi="Franklin Gothic Book;sans-serif"/>
          <w:b w:val="false"/>
          <w:color w:val="000000"/>
          <w:sz w:val="20"/>
        </w:rPr>
        <w:t>June 30, 2025.</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We may also pay City Therapeutics potential research, development and sales-based milestone payments of up to $21.5 million, $360.0 million and $625.0 million, respectively, plus tiered royalties on potential future net sales, ranging from high-single digit to low-double digit percentages.</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We also have the option to select one additional target in the collaboration, subject to an additional payment and availability of the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60" w:type="dxa"/>
        <w:jc w:val="left"/>
        <w:tblInd w:w="0" w:type="dxa"/>
        <w:tblLayout w:type="fixed"/>
        <w:tblCellMar>
          <w:top w:w="28" w:type="dxa"/>
          <w:left w:w="28" w:type="dxa"/>
          <w:bottom w:w="28" w:type="dxa"/>
          <w:right w:w="28" w:type="dxa"/>
        </w:tblCellMar>
      </w:tblPr>
      <w:tblGrid>
        <w:gridCol w:w="461"/>
        <w:gridCol w:w="406"/>
        <w:gridCol w:w="408"/>
        <w:gridCol w:w="1663"/>
        <w:gridCol w:w="1663"/>
        <w:gridCol w:w="2359"/>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20:</w:t>
            </w:r>
          </w:p>
        </w:tc>
        <w:tc>
          <w:tcPr>
            <w:tcW w:w="568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Investments in Variable Interest Entities</w:t>
            </w:r>
          </w:p>
        </w:tc>
      </w:tr>
    </w:tbl>
    <w:p>
      <w:pPr>
        <w:pStyle w:val="TextBody"/>
        <w:bidi w:val="0"/>
        <w:spacing w:lineRule="auto" w:line="288" w:before="120" w:after="283"/>
        <w:ind w:left="0" w:right="0" w:hanging="540"/>
        <w:jc w:val="left"/>
        <w:rPr>
          <w:rFonts w:ascii="Franklin Gothic Book;sans-serif" w:hAnsi="Franklin Gothic Book;sans-serif"/>
          <w:b/>
          <w:color w:val="2573BA"/>
          <w:sz w:val="22"/>
        </w:rPr>
      </w:pPr>
      <w:r>
        <w:rPr>
          <w:rFonts w:ascii="Franklin Gothic Book;sans-serif" w:hAnsi="Franklin Gothic Book;sans-serif"/>
          <w:b/>
          <w:color w:val="2573BA"/>
          <w:sz w:val="22"/>
        </w:rPr>
        <w:t>Unconsolidated Variable Interest Entities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2025 and December 31, 2024, the carrying value of our investments in certain biotechnology companies representing potential unconsolidated variable interest entities totaled $49.3 million and $23.6 million, respectively. Our maximum exposure to loss related to these variable interest entities is limited to the carrying value of our investments.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 contractually required amounts. </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investments in variable interest entities, please read </w:t>
      </w:r>
      <w:r>
        <w:rPr>
          <w:rFonts w:ascii="Franklin Gothic Book;sans-serif" w:hAnsi="Franklin Gothic Book;sans-serif"/>
          <w:b w:val="false"/>
          <w:i/>
          <w:color w:val="000000"/>
          <w:sz w:val="20"/>
        </w:rPr>
        <w:t>Note 20, Investments in Variable Interest Entities,</w:t>
      </w:r>
      <w:r>
        <w:rPr>
          <w:color w:val="000000"/>
        </w:rPr>
        <w:t xml:space="preserve"> </w:t>
      </w:r>
      <w:r>
        <w:rPr>
          <w:rFonts w:ascii="Franklin Gothic Book;sans-serif" w:hAnsi="Franklin Gothic Book;sans-serif"/>
          <w:b w:val="false"/>
          <w:color w:val="000000"/>
          <w:sz w:val="20"/>
        </w:rPr>
        <w:t>to our consolidated financial statements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01" w:type="dxa"/>
        <w:jc w:val="left"/>
        <w:tblInd w:w="0" w:type="dxa"/>
        <w:tblLayout w:type="fixed"/>
        <w:tblCellMar>
          <w:top w:w="28" w:type="dxa"/>
          <w:left w:w="28" w:type="dxa"/>
          <w:bottom w:w="28" w:type="dxa"/>
          <w:right w:w="28" w:type="dxa"/>
        </w:tblCellMar>
      </w:tblPr>
      <w:tblGrid>
        <w:gridCol w:w="461"/>
        <w:gridCol w:w="406"/>
        <w:gridCol w:w="408"/>
        <w:gridCol w:w="417"/>
        <w:gridCol w:w="417"/>
        <w:gridCol w:w="592"/>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21:</w:t>
            </w:r>
          </w:p>
        </w:tc>
        <w:tc>
          <w:tcPr>
            <w:tcW w:w="1426"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Litigation</w:t>
            </w:r>
          </w:p>
        </w:tc>
      </w:tr>
    </w:tbl>
    <w:p>
      <w:pPr>
        <w:pStyle w:val="TextBody"/>
        <w:bidi w:val="0"/>
        <w:spacing w:lineRule="auto" w:line="288" w:before="120" w:after="283"/>
        <w:ind w:left="0" w:right="0" w:hanging="540"/>
        <w:jc w:val="left"/>
        <w:rPr/>
      </w:pPr>
      <w:r>
        <w:rPr>
          <w:rFonts w:ascii="Franklin Gothic Book;sans-serif" w:hAnsi="Franklin Gothic Book;sans-serif"/>
          <w:b w:val="false"/>
          <w:color w:val="000000"/>
          <w:sz w:val="20"/>
        </w:rPr>
        <w:t xml:space="preserve">We are currently involved in various claims, investigations and legal proceedings, including the matters described below. For information as to our accounting policies relating to claims and legal proceedings, including use of estimates and contingencies, please read </w:t>
      </w:r>
      <w:r>
        <w:rPr>
          <w:rFonts w:ascii="Franklin Gothic Book;sans-serif" w:hAnsi="Franklin Gothic Book;sans-serif"/>
          <w:b w:val="false"/>
          <w:i/>
          <w:color w:val="000000"/>
          <w:sz w:val="20"/>
        </w:rPr>
        <w:t>Note 1, Summary of Significant Accounting Policies,</w:t>
      </w:r>
      <w:r>
        <w:rPr>
          <w:color w:val="000000"/>
        </w:rPr>
        <w:t xml:space="preserve"> </w:t>
      </w:r>
      <w:r>
        <w:rPr>
          <w:rFonts w:ascii="Franklin Gothic Book;sans-serif" w:hAnsi="Franklin Gothic Book;sans-serif"/>
          <w:b w:val="false"/>
          <w:color w:val="000000"/>
          <w:sz w:val="20"/>
        </w:rPr>
        <w:t>to our consolidated financial statements included in our 2024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pStyle w:val="TextBody"/>
        <w:bidi w:val="0"/>
        <w:spacing w:lineRule="auto" w:line="288" w:before="120" w:after="283"/>
        <w:jc w:val="left"/>
        <w:rPr>
          <w:rFonts w:ascii="Franklin Gothic Book;sans-serif" w:hAnsi="Franklin Gothic Book;sans-serif"/>
          <w:b/>
          <w:color w:val="2573BA"/>
          <w:sz w:val="22"/>
        </w:rPr>
      </w:pPr>
      <w:r>
        <w:rPr>
          <w:rFonts w:ascii="Franklin Gothic Book;sans-serif" w:hAnsi="Franklin Gothic Book;sans-serif"/>
          <w:b/>
          <w:color w:val="2573BA"/>
          <w:sz w:val="22"/>
        </w:rPr>
        <w:t>Loss Contingencies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Securities Litigation asserted against Biogen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certain current and former officers are defendants in three securities actions pending in the District Court, one filed by Nadia Shash and Amjad Khan in November 2020, which relates to statements about ADUHELM, one filed by the Oklahoma Firefighters Pension and Retirement System in February 2022, which relates to statements about ADUHELM, and one filed by Thomas Allen Gray in June 2024, which relates to statements about LEQEMBI, TECFIDERA and VUMERITY. All allege violations of federal securities laws under 15 U.S.C. §78j(b) and §78t(a) and 17 C.F.R. §240.10b-5 and seek declarations of the actions as class actions and monetary relief.</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Derivative Actions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members of the Board of Directors are named as defendants in five derivative actions pending in the District Court, one filed by The Booth Family Trust in February 2022, one filed by Elaine Wang in July 2022, one filed by Jonathan Blaufarb (Blaufarb I) in July 2024, one filed by Lawrence Hollin in October 2024 and one filed by Jonathan Blaufarb (Blaufarb II) in October 2024. The Booth, Wang and Blaufarb II actions relate to ADUHELM and other matters, and the Blaufarb I and Hollin actions relate to statements about LEQEMBI, our compliance controls, 2023 earnings guidance and other matters. The actions allege breach of fiduciary duty, waste of corporate assets and other common law claims, and violations of the Securities Exchange Act of 1934, 15 U.S.C. §78a et seq. The actions seek declaratory and injunctive relief, monetary relief payable to Biogen, and attorneys’ fees and costs payable to the plaintiffs. All derivative actions are stayed.</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IMRALDI Patent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IMRALDI is an adalimumab biosimilar manufactured by Samsung Bioepis that Biogen commercializes in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2022 Fresenius Kabi filed a claim for damages and injunctive relief against Biogen France SAS in the Tribunal de Grande Instance de Paris alleging infringement of the French counterpart of EP ‘3 145 488 Patent (the EP '488 Patent) by a formulation of IMRALDI no longer commercialized in France. Fresenius Kabi alleges damages of €13,450,000 plus interest and costs. Biogen disputes infringement and the validity of the patent.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May 2025 the Higher Regional Court of Düsseldorf held that a formulation of IMRALDI no longer commercialized in Germany infringes the German counterpart of the EP '488 Patent and ordered an injunction against infringement and a declaration of Fresenius Kabi's right to seek damages. Biogen has requested review of the decision by Germany's Federal Court of Justice and has the right to challenge the validity of the patent in a separate proceeding.</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Litigation with Former Convergence Shareholders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2015 Biogen acquired Convergence, a U.K. company. In 2019 Shareholder Representative Services LLC, on behalf of the former shareholders of Convergence, asserted claims of $200.0 million for alleged breaches of the contract pursuant to which we acquired Convergence. In June 2023 Shareholder Representative Services LLC and 24 former shareholders filed a suit against us in the High Court of Justice of England and Wales asserting one of the 2019 claims and seeking payment of $49.9 million, plus interest and costs. Trial concluded in May 2025 and a final decision is pending.</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Humana Patient Assistance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2025 Humana filed suit against Biogen Inc., Biogen U.S. Corp. and Advanced Care Scripts, Inc. in Jefferson Circuit Court in Kentucky alleging damages related to our providing MS patients with free medications and making charitable contributions to non-profit organizations that assist MS patients. Humana alleges breach of contract, fraud and other claims under various state laws and seeks damages, attorneys' fees and costs.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Genentech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2023 Genentech, Inc. filed suit against us in the U.S. District Court for the Northern District of California and claims that it is owed royalties of approximately $88.3 million on sales of TYSABRI that occurred after the expiration of a patent licensed by Genentech to Biogen, plus interest and costs. The parties have agreed to submit the case to the court for decision.</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Lender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2025, by agreement of the parties, the court discontinued with prejudice the previously disclosed suit filed in 2024 by BioPharma Credit PLC, BPCR Limited Partnership, and BioPharma Credit Investments V (Master) LP against us and Reata Pharmaceuticals, Inc. in the Supreme Court of the State of New York alleging breach of a loan agreement with Reata.</w:t>
      </w:r>
    </w:p>
    <w:p>
      <w:pPr>
        <w:pStyle w:val="TextBody"/>
        <w:bidi w:val="0"/>
        <w:spacing w:lineRule="auto" w:line="26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Antitrust Litigation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2024 we were sued by Local No. 1 Health Fund and in September 2024 we were sued by the Mayor and City Council of Baltimore, New York State Teamsters Council Health and Hospital Fund, Teamsters Local 237 Welfare Fund and Teamsters Local 237 Retirees' Benefit Fund, in cases filed in the U.S. District Court for the Northern District of Illinois. After the cases were consolidated for pre-trial purposes, these plaintiffs and UFCW Local 1500 Welfare Fund sued us in a consolidated amended complaint filed in November 2024. The plaintiffs allege violations of federal antitrust laws including 15 U.S.C. §§ 1, 2 and 13(c) and of various state laws, based on contracts with pharmacy benefit managers related to TECFIDERA and VUMERITY. Plaintiffs seek declarations of the actions as class actions, monetary, declaratory and equitable relief, and attorneys' fees and costs. In June 2025 the court dismissed the case without prejudice and granted the plaintiffs leave to amend the complaint.</w:t>
      </w:r>
    </w:p>
    <w:p>
      <w:pPr>
        <w:pStyle w:val="TextBody"/>
        <w:bidi w:val="0"/>
        <w:spacing w:lineRule="auto" w:line="288" w:before="180" w:after="283"/>
        <w:jc w:val="left"/>
        <w:rPr>
          <w:rFonts w:ascii="Franklin Gothic Book;sans-serif" w:hAnsi="Franklin Gothic Book;sans-serif"/>
          <w:b/>
          <w:color w:val="2573BA"/>
          <w:sz w:val="22"/>
        </w:rPr>
      </w:pPr>
      <w:r>
        <w:rPr>
          <w:rFonts w:ascii="Franklin Gothic Book;sans-serif" w:hAnsi="Franklin Gothic Book;sans-serif"/>
          <w:b/>
          <w:color w:val="2573BA"/>
          <w:sz w:val="22"/>
        </w:rPr>
        <w:t>Other Matters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Government Investigations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2025 the SEC Division of Enforcement informed us that it has closed the matter in which we had received subpoenas seeking information relating to ADUHELM and its launch and our equity plans, and in April and May 2025 the DOJ and SEC informed us that they closed the matters in which we had received subpoenas seeking information relating to our business operations in several foreign countries.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Italian Competition Authority is investigating Biogen and other companies in relation to our biosimilar product BYOOVIZ.</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TYSABRI Biosimilar Patent Matter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 No trial date is set.</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Hatch-Waxman Act Litigation relating to VUMERITY Orange-Book Listed Patents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July 2023 Biogen and Alkermes Pharma Ireland Limited filed patent infringement proceedings relating to VUMERITY Orange-Book listed patents (U.S. Patent Nos. 8,669,281, 9,090,558 and 10,080,733) pursuant to the Drug Price Competition and Patent Term Restoration Act of 1984 (the Hatch-Waxman Act) in the U.S. District Court for the District of Delaware against Zydus Worldwide DMCC, Zydus Pharmaceuticals (USA) Inc. and Zydus Lifesciences Limited. In July 2025 the parties reached a settlement and the court dismissed the case pursuant to the parties' stipulation of dismissal.</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Product Liability and Other Legal Proceedings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also involved in product liability claims and other legal proceedings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Eisai Matter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20" w:type="dxa"/>
        <w:jc w:val="left"/>
        <w:tblInd w:w="0" w:type="dxa"/>
        <w:tblLayout w:type="fixed"/>
        <w:tblCellMar>
          <w:top w:w="28" w:type="dxa"/>
          <w:left w:w="28" w:type="dxa"/>
          <w:bottom w:w="28" w:type="dxa"/>
          <w:right w:w="28" w:type="dxa"/>
        </w:tblCellMar>
      </w:tblPr>
      <w:tblGrid>
        <w:gridCol w:w="461"/>
        <w:gridCol w:w="406"/>
        <w:gridCol w:w="408"/>
        <w:gridCol w:w="892"/>
        <w:gridCol w:w="892"/>
        <w:gridCol w:w="126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22:</w:t>
            </w:r>
          </w:p>
        </w:tc>
        <w:tc>
          <w:tcPr>
            <w:tcW w:w="3045" w:type="dxa"/>
            <w:gridSpan w:val="3"/>
            <w:tcBorders>
              <w:bottom w:val="single" w:sz="8" w:space="0" w:color="0070C0"/>
            </w:tcBorders>
            <w:tcMar>
              <w:top w:w="0" w:type="dxa"/>
              <w:left w:w="0" w:type="dxa"/>
              <w:bottom w:w="30" w:type="dxa"/>
              <w:right w:w="0" w:type="dxa"/>
            </w:tcMar>
            <w:vAlign w:val="center"/>
          </w:tcPr>
          <w:p>
            <w:pPr>
              <w:pStyle w:val="TableContents"/>
              <w:bidi w:val="0"/>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Segment Information</w:t>
            </w:r>
          </w:p>
        </w:tc>
      </w:tr>
    </w:tbl>
    <w:p>
      <w:pPr>
        <w:pStyle w:val="TextBody"/>
        <w:bidi w:val="0"/>
        <w:spacing w:lineRule="auto" w:line="288" w:before="180" w:after="283"/>
        <w:ind w:left="0" w:right="0" w:hanging="54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and are managed as one operating segment, and derive revenue from activities related to the discovery, development and delivery of innovative therapies for people living with serious and complex diseases.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We are also supported by corporate staff functions.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CEO, as the CODM, manages and allocates resources to the operations of our company on a total company basis by assessing the overall level of resources available and deciding how to best deploy these resources across functions, therapeutic areas and research and development projects that are in line with our long-term company-wide strategic goals. In making these decisions, our CEO is provided with and uses consolidated financial information for purposes of evaluating performance, forecasting future period financial results, allocating resources and setting incentive targets. The CODM performs this assessment based on the segment’s net income. Through this analysis, which includes a comparison to budgeted results, the CODM assesses performance and how to allocate resources across the functions discussed above. The measure of segment assets used in determining how to manage and allocate resources is reported within our condensed consolidated balance sheets as total assets.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 table presented below, which was prepared in accordance with the accounting policies discussed in </w:t>
      </w:r>
      <w:r>
        <w:rPr>
          <w:rFonts w:ascii="Franklin Gothic Book;sans-serif" w:hAnsi="Franklin Gothic Book;sans-serif"/>
          <w:b w:val="false"/>
          <w:i/>
          <w:color w:val="000000"/>
          <w:sz w:val="20"/>
        </w:rPr>
        <w:t>Note 1, Summary of Significant Accounting Policies</w:t>
      </w:r>
      <w:r>
        <w:rPr>
          <w:rFonts w:ascii="Franklin Gothic Book;sans-serif" w:hAnsi="Franklin Gothic Book;sans-serif"/>
          <w:b w:val="false"/>
          <w:color w:val="000000"/>
          <w:sz w:val="20"/>
        </w:rPr>
        <w:t>, to our consolidated financial statements included in our 2024 Form 10-K, contains additional information on enterprise-wide disclosures about product revenue, other revenue and long-lived assets, as well as our segment’s revenue and profits, including significant segment expense and other segment items. Revenue is primarily attributed to individual countries based on location of the customer or licensee.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bidi w:val="0"/>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bidi w:val="0"/>
        <w:spacing w:lineRule="auto" w:line="288" w:before="180" w:after="283"/>
        <w:ind w:left="0" w:right="0" w:hanging="540"/>
        <w:jc w:val="left"/>
        <w:rPr>
          <w:rFonts w:ascii="Franklin Gothic Book;sans-serif" w:hAnsi="Franklin Gothic Book;sans-serif"/>
          <w:b/>
          <w:color w:val="0070C0"/>
          <w:sz w:val="22"/>
        </w:rPr>
      </w:pPr>
      <w:r>
        <w:rPr>
          <w:rFonts w:ascii="Franklin Gothic Book;sans-serif" w:hAnsi="Franklin Gothic Book;sans-serif"/>
          <w:b/>
          <w:color w:val="0070C0"/>
          <w:sz w:val="22"/>
        </w:rPr>
        <w:t>Additional Segment Information</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includes additional information about reported segment revenue, significant segment expense and segment measure of profitability:</w:t>
      </w:r>
    </w:p>
    <w:tbl>
      <w:tblPr>
        <w:tblW w:w="10205" w:type="dxa"/>
        <w:jc w:val="left"/>
        <w:tblInd w:w="0" w:type="dxa"/>
        <w:tblLayout w:type="fixed"/>
        <w:tblCellMar>
          <w:top w:w="28" w:type="dxa"/>
          <w:left w:w="28" w:type="dxa"/>
          <w:bottom w:w="28" w:type="dxa"/>
          <w:right w:w="28" w:type="dxa"/>
        </w:tblCellMar>
      </w:tblPr>
      <w:tblGrid>
        <w:gridCol w:w="1515"/>
        <w:gridCol w:w="1090"/>
        <w:gridCol w:w="1095"/>
        <w:gridCol w:w="109"/>
        <w:gridCol w:w="109"/>
        <w:gridCol w:w="109"/>
        <w:gridCol w:w="249"/>
        <w:gridCol w:w="904"/>
        <w:gridCol w:w="128"/>
        <w:gridCol w:w="128"/>
        <w:gridCol w:w="128"/>
        <w:gridCol w:w="128"/>
        <w:gridCol w:w="249"/>
        <w:gridCol w:w="904"/>
        <w:gridCol w:w="128"/>
        <w:gridCol w:w="109"/>
        <w:gridCol w:w="109"/>
        <w:gridCol w:w="109"/>
        <w:gridCol w:w="240"/>
        <w:gridCol w:w="872"/>
        <w:gridCol w:w="123"/>
        <w:gridCol w:w="123"/>
        <w:gridCol w:w="123"/>
        <w:gridCol w:w="123"/>
        <w:gridCol w:w="240"/>
        <w:gridCol w:w="872"/>
        <w:gridCol w:w="189"/>
      </w:tblGrid>
      <w:tr>
        <w:trPr/>
        <w:tc>
          <w:tcPr>
            <w:tcW w:w="15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6"/>
              </w:rPr>
            </w:pPr>
            <w:r>
              <w:rPr>
                <w:rFonts w:ascii="Franklin Gothic Book;sans-serif" w:hAnsi="Franklin Gothic Book;sans-serif"/>
                <w:b/>
                <w:color w:val="2573BA"/>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2,645.5 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2,464.9 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5,076.5 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4,755.4 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415.0 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358.4 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877.2 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736.1 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190.0 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357.1 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352.1 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discovery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46.6 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90.9 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Early stage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51.9 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124.3 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150.7 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Late stage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44.6 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94.0 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87.7 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177.2 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288.1 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 research and development costs</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168.2 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346.7 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339.4 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Acquired in-process research and development,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46.6 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247.3 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583.8 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553.8 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1,156.3 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1,135.3 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 segment expense</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376.3 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267.6 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730.2 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588.1 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634.8 </w:t>
            </w:r>
          </w:p>
        </w:tc>
        <w:tc>
          <w:tcPr>
            <w:tcW w:w="1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583.6 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875.3 </w:t>
            </w:r>
          </w:p>
        </w:tc>
        <w:tc>
          <w:tcPr>
            <w:tcW w:w="1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977.0 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Other research and development costs primarily consist of indirect costs incurred in support of overall research and development activities and non-specific programs, including activities that benefit multiple programs, such as management costs, as well as depreciation, information technology and facility-based expenses and are not allocated to a specific program or stage.</w:t>
      </w:r>
    </w:p>
    <w:p>
      <w:pPr>
        <w:pStyle w:val="TextBody"/>
        <w:bidi w:val="0"/>
        <w:spacing w:lineRule="auto" w:line="288" w:before="40" w:after="283"/>
        <w:ind w:left="0" w:right="0" w:hanging="180"/>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Other segment expense includes: amortization and impairment of acquired intangible assets; collaboration profit sharing/(loss reimbursement); (gain) loss on fair value remeasurement of contingent consideration; restructuring charges; gain on sale of priority review voucher, net; other (income) expense, net; and income tax (benefit)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50"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left"/>
        <w:rPr>
          <w:rFonts w:ascii="Franklin Gothic Demi;sans-serif" w:hAnsi="Franklin Gothic Demi;sans-serif"/>
          <w:b/>
          <w:color w:val="000000"/>
          <w:sz w:val="28"/>
        </w:rPr>
      </w:pPr>
      <w:r>
        <w:rPr>
          <w:rFonts w:ascii="Franklin Gothic Demi;sans-serif" w:hAnsi="Franklin Gothic Demi;sans-serif"/>
          <w:b/>
          <w:color w:val="000000"/>
          <w:sz w:val="28"/>
        </w:rPr>
        <w:t>ITEM 2.    MANAGEMENT'S DISCUSSION AND ANALYSIS OF FINANCIAL CONDITION AND RESULTS OF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discussion should be read in conjunction with our unaudited condensed consolidated financial statements (condensed consolidated financial statements) and the accompanying notes beginning on page 8 of this quarterly report on Form 10-Q and our audited consolidated financial statements and the accompanying notes included in our 2024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results of operations of HI-Bio, along with the estimated fair values of the assets acquired and liabilities assumed in the acquisition, have been included in our condensed consolidated financial statements since the closing of the HI-Bio acquisition on July 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EXECUTIVE SUMMARY</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INTRODUCTION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the E.U. and certain international markets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marketed products include TECFIDERA, VUMERITY, AVONEX, PLEGRIDY and TYSABRI for the treatment of MS; SPINRAZA for the treatment of SMA; SKYCLARYS for the treatment of FA; and QALSODY for the treatment of ALS.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have collaborations with Eisai on the commercialization of LEQEMBI for the treatment of Alzheimer's disease and Sage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in certain international markets. We also have commercialization rights related to OPUVIZ, an aflibercept biosimilar referencing EYLEA, in certain international markets.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Note 19,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seek to ensure an uninterrupted supply of medicines to patients around the world. To that end, we regularly review our manufacturing capacity, capabilities, processes and facilities. In order to support our future growth and drug development pipeline, we expanded our large molecule production capacity and built a large-scale biologics manufacturing facility in Solothurn, Switzerland. Solothurn is operational and has been approved for the manufacture of LEQEMBI. We believe that the Solothurn facility will support our anticipated near to mid-term needs for the manufacturing of biologic assets. The plant represents a significant increase in our overall manufacturing capacity. Additionally, we continue to invest to modernize, automate and support the capacity requirements for our pipeline and existing products at our existing manufacturing facilities in RTP, North Carolina. If we are unable to fully utilize our manufacturing facilities, we will incur additional excess capacity charges which would have a negative effect on our financial condition and results of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51"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BUSINESS ENVIRONMENT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biopharmaceutical industry and the markets in which we operate are intensely competitive. Many of our competitors are working to develop or have commercialized products similar to those we market. In addition, the commercialization of certain of our own approved products, products of our collaborators and pipeline product candidates may negatively impact future sales of our existing products.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products and revenue streams continue to face increasing competition in many markets from the introduction of new originator therapies, generics, biosimilars of existing products and products approved under abbreviated regulatory pathways. Some of these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 or biosimilar version of one of our products is commercialized, it may be automatically substituted for our product and significantly reduce our revenue in a short period of time.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 care costs will continue to be subject to political and societal pressures on a global basis. Additionally, our ability to set the price for our products varies significantly from country to country and, as a result, so can the price or reimbursement of our products. Governments may use a variety of cost-containment measures to control the cost of products, including price cuts, mandatory rebates, value-based pricing and reference pricing (i.e., referencing prices in other countries and using those reference prices to set a price).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and/or could cause a decline or volatility in our stock price.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 of public health epidemics on employees, the global economy and the delivery of healthcare treatments, geopolitical events, tariffs, supply chain disruptions, foreign currency exchange fluctuations, changes in intellectual property legal protections and changes in trade regulations and procedures.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detailed discussion on our business environment, please read </w:t>
      </w:r>
      <w:r>
        <w:rPr>
          <w:rFonts w:ascii="Franklin Gothic Book;sans-serif" w:hAnsi="Franklin Gothic Book;sans-serif"/>
          <w:b w:val="false"/>
          <w:i/>
          <w:color w:val="000000"/>
          <w:sz w:val="20"/>
        </w:rPr>
        <w:t>Item 1. Business</w:t>
      </w:r>
      <w:r>
        <w:rPr>
          <w:rFonts w:ascii="Franklin Gothic Book;sans-serif" w:hAnsi="Franklin Gothic Book;sans-serif"/>
          <w:b w:val="false"/>
          <w:color w:val="000000"/>
          <w:sz w:val="20"/>
        </w:rPr>
        <w:t xml:space="preserve">, in our 2024 Form 10-K. For additional information on our competition and pricing risks that could negatively impact our product sales, please read </w:t>
      </w:r>
      <w:r>
        <w:rPr>
          <w:rFonts w:ascii="Franklin Gothic Book;sans-serif" w:hAnsi="Franklin Gothic Book;sans-serif"/>
          <w:b w:val="false"/>
          <w:i/>
          <w:color w:val="000000"/>
          <w:sz w:val="20"/>
        </w:rPr>
        <w:t>Item 1A. Risk Factors</w:t>
      </w:r>
      <w:r>
        <w:rPr>
          <w:color w:val="000000"/>
        </w:rPr>
        <w:t xml:space="preserve"> </w:t>
      </w:r>
      <w:r>
        <w:rPr>
          <w:rFonts w:ascii="Franklin Gothic Book;sans-serif" w:hAnsi="Franklin Gothic Book;sans-serif"/>
          <w:b w:val="false"/>
          <w:color w:val="000000"/>
          <w:sz w:val="20"/>
        </w:rPr>
        <w:t>included in this report.</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TECFIDERA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Multiple TECFIDERA generic entrants are now in North America, Brazil and certain European countries and have deeply discounted prices compared to TECFIDERA. The generic competition for TECFIDERA has significantly reduced our TECFIDERA revenue and we expect that TECFIDERA revenue will continue to decline. We are defending the validity of our EP 2 653 873 patent related to TECFIDERA which expires in 2028 in opposition proceedings in the European Patent Office. We are also engaged in litigation in Europe to defend and enforce national counterparts of our EP 2 653 873 patent, with mixed results as we have been unsuccessful in enjoining generic entry in several significant European markets.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TYSABRI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biosimilar entrant of TYSABRI was approved in the U.S. and the E.U. in 2023. We expect that future sales of TYSABRI will continue to be adversely affected by the entrance of this biosimilar in certain international markets.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GOODWILL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review our goodwill for impairment annually, as of October 31, and whenever events or changes in circumstances indicate that the carrying value of the goodwill may not be recoverable. As part of this analysis, we compare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52"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value of our one reporting unit to its carrying value through the assessment of qualitative, and, if necessary, quantitative factors. If the carrying value of the net assets assigned to the reporting unit exceeds the fair value of our reporting unit, we will record an impairment loss equal to the difference. As of our most recent annual impairment analysis, we had no accumulated impairment losses related to goodwill.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An interim goodwill impairment test based on quantitative factors may be required if adverse events indicate an impairment might be present. We monitor changes to our share price between annual impairment tests, and we believe that general deterioration in macroeconomic and industry-specific conditions may not be indicators of a goodwill impairment, as such conditions may not represent a significant adverse change to our underlying operating performance, cash flows, financial condition or liquidity. Should our market capitalization decline below the carrying value of our net assets for a sustained period, we would consider the length and severity of the decline and the reason for the decline when assessing whether potential goodwill impairment exists.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goodwill, please read </w:t>
      </w:r>
      <w:r>
        <w:rPr>
          <w:rFonts w:ascii="Franklin Gothic Book;sans-serif" w:hAnsi="Franklin Gothic Book;sans-serif"/>
          <w:b w:val="false"/>
          <w:i/>
          <w:color w:val="000000"/>
          <w:sz w:val="20"/>
        </w:rPr>
        <w:t>Note 7, Intangible Assets and Goodwill</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BUSINESS UPDATE REGARDING MACROECONOMIC CONDITIONS AND OTHER DISRUPTIONS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Significant portions of our business are conducted in Europe, Asia and other international geographies. Factors such as global health outbreaks, adverse weather events, geopolitical events, tariffs, inflation, labor or raw material shortages and other supply chain disruptions could result in product shortages or other difficulties and delays or increased costs in manufacturing our products.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Economic conditions remain uncertain as markets continue to be impacted in part by elevated inflation, higher interest rates, extreme weather events, global supply chain uncertainties and risks associated with geopolitical conflicts. Global supply chain disruptions, such as strikes, work stoppages, port congestion, port closures, trade restrictions, capacity constraints and other logistical problems, may affect our ability to do business.</w:t>
      </w:r>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INTERNATIONAL TRADE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Global disputes and interruptions in international relationships, including tariffs, trade protection measures, embargoes, import or export licensing requirements and the imposition of trade sanctions or similar restrictions, may affect our ability to do business and the costs that we incur in providing products to our patients.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U.S. has imposed a baseline tariff on imports from all countries, subject to certain exceptions. Trade-related tensions between the U.S. and China have led to a series of tariffs and sanctions being imposed by the U.S. on imports from China and retaliatory tariffs imposed by China on U.S. imports.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U.S. Secretary of Commerce has further initiated an investigation to determine the effects on the national security of imports of pharmaceuticals and pharmaceutical ingredients, including finished drug products, medical countermeasures, critical inputs such as active pharmaceutical ingredients, key starting materials and derivative products of those items, under Section 232 of the Trade Expansion Act of 1962.</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is a high degree of uncertainty concerning what future steps countries and economic blocs will take in response to changes in global trade rules and economics.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significant manufacturing presence in the U.S. While our portfolio is evolving, approximately three quarters of our 2024 U.S. product revenue comes from products that are primarily manufactured domestically. However, we, and the pharmaceutical industry, do utilize partners and production facilities located outside the U.S. for certain raw materials, ingredients, processes and components for our pharmaceutical products and their delivery devices. Engaging alternative suppliers may involve seeking additional regulatory approvals and incurring additional costs and risks associated with new suppliers. This may be costly in terms of time and resources needed or result in delays.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Key products that are currently manufactured mainly outside the U.S. are TECFIDERA, VUMERITY and LEQEMBI. In 2024 we initiated a technology transfer process to enable us to manufacture LEQEMBI in the 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Although certain starting materials for SKYCLARYS rely on a single supplier based in China, the manufacturing process, including active pharmaceutical ingredients and drug substance, is primarily conducted in the 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are working to mitigate potential exposure from tariffs across our network.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currently do not expect a material impact in 2025 from potential tariffs as previously announced by the U.S. Administration on April 2, 2025, even if the exemption for pharmaceuticals were to be removed. This is based on the expected timing of any potential tariffs, our manufacturing footprint, and our inventory levels and positioning,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53"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although the actual impact of tariffs on our business and financial condition may differ materially from our current expectations. We will continue to monitor the current and future global tariff landscape as it evolves.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GEOPOLITICAL TENSIONS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ongoing geopolitical tensions related to Russia's invasion of Ukraine and the military conflict in the Middle East have resulted in global business disruptions and economic volatility. For example, sanctions and other restrictions have been levied on the government and businesses in Russia. Although we do not have affiliates or employees, in either Russia or Ukraine, we do provide various therapies to patients in Russia through a distributor. Government sanctions on the export of certain 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will continue to monitor the ongoing conflict between Russia and Ukraine as well as the military conflict in the Middle East and assess any potential impacts on our business, supply chain, partners or customers, as well as any factors that could have an adverse effect on our results of operations. Revenue generated from sales in Russia and Ukraine represent less than 1.0% of total revenue for the three and six months ended June 30, 2025 and 2024. Additionally, revenue generated from sales in the Middle East region represents less than 2.0% of total revenue for the three and six months ended June 30, 2025 and 2024.</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INFLATION REDUCTION ACT OF 2022</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for the three and six months ended June 30, 2025 and 2024. Preliminary guidance has been issued by the IRS and we expect additional guidance and regulations to be issued in future periods. We continue to assess its potential impact on our business and results of operations as further information becomes available.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IRA also contains substantial drug pricing reforms that may have a significant impact on the pharmaceutical industry in the U.S. This includes the following:</w:t>
      </w:r>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allowing CMS to negotiate prices for select high-cost Medicare Part D drugs (beginning in 2026) and Part B drugs (beginning in 2028) to reduce out-of-pocket prescription drug costs for beneficiaries, potentially resulting in higher contributions from plans and manufacturers;</w:t>
      </w:r>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(ii)    drug inflationary rebate requirements to penalize manufacturers from raising the prices of Medicare covered single-source drugs and biologics beyond the inflation-adjusted rate, beginning in 2022 for Part D drugs and 2023 for Part B drugs;</w:t>
      </w:r>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(iii)    to incentivize biosimilar development, the IRA provides an 8.0% Medicare Part B add-on payment for qualifying biosimilar products for a five-year period; and</w:t>
      </w:r>
    </w:p>
    <w:p>
      <w:pPr>
        <w:pStyle w:val="TextBody"/>
        <w:bidi w:val="0"/>
        <w:spacing w:lineRule="auto" w:line="288" w:before="60" w:after="283"/>
        <w:ind w:left="0" w:right="0" w:hanging="45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(iv)    Medicare Part D redesign which replaces the current coverage gap provisions and establishes a $2,000 cap for out-of-pocket costs for Medicare beneficiaries beginning in 2025, with manufacturers being responsible for up to 10.0% of costs up to the $2,000 cap and up to 20.0% after that cap is reached. Manufacturers that qualify as either specified or specified small manufacturers will phase-in the new manufacturer liability for prescription drug costs over a 7-year period from 2025 to 2031 for certain Medicare Part D drugs dispensed to certain beneficiaries. In April 2024 CMS informed us that we qualified for the specified manufacturer exception pertaining to the Medicare Part D redesign.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the IRA's drug pricing controls and Medicare Part D redesign may have an adverse impact on our full-year sales, particularly for our products that are more substantially reliant on Medicare reimbursement. We anticipate the IRA Medicare Part D redesign will have a modest net unfavorable impact to our 2025 revenue, ranging from approximately $50.0 million to $100.0 million, concentrated in our SKYCLARYS and MS portfolio product revenue, approximately a third of which could be associated with SKYCLARYS.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degree of impact from this legislation on our business depends on a number of forthcoming implementation actions by regulatory authorities, which may be further impacted by other legislative acts that may modify or replace the IRA, such as the OBBBA, as discussed below. The full extent of the IRA's impacts on our sales and, in turn, our business, remains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54"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2025 LEGISLATION AND TAX REFORM</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July 4, 2025, the U.S. signed into law the H.R.1 legislation formally titled "An Act to Provide for Reconciliation Pursuant to Title II of H. Con. Res. 14", commonly referred to as the OBBBA.</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Based on our initial assessment of the OBBBA, we do not expect the introduced tax changes to have a material impact on our consolidated financial statements in 2025. However, given the complexity of tax laws, related regulations and interpretations, our current estimates may require revision as additional information becomes available regarding the application of the OBBBA provisions.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OBBBA also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55"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FINANCIAL HIGHLIGHTS</w:t>
      </w:r>
    </w:p>
    <w:p>
      <w:pPr>
        <w:pStyle w:val="TextBody"/>
        <w:bidi w:val="0"/>
        <w:spacing w:lineRule="auto" w:line="288" w:before="60" w:after="283"/>
        <w:jc w:val="left"/>
        <w:rPr/>
      </w:pPr>
      <w:r>
        <w:rPr>
          <w:rFonts w:ascii="Franklin Gothic Book;sans-serif" w:hAnsi="Franklin Gothic Book;sans-serif"/>
          <w:b w:val="false"/>
          <w:color w:val="000000"/>
          <w:sz w:val="20"/>
        </w:rPr>
        <w:t xml:space="preserve">As described below under </w:t>
      </w:r>
      <w:r>
        <w:rPr>
          <w:rFonts w:ascii="Franklin Gothic Book;sans-serif" w:hAnsi="Franklin Gothic Book;sans-serif"/>
          <w:b w:val="false"/>
          <w:i/>
          <w:color w:val="000000"/>
          <w:sz w:val="20"/>
        </w:rPr>
        <w:t>Results of Operations</w:t>
      </w:r>
      <w:r>
        <w:rPr>
          <w:rFonts w:ascii="Franklin Gothic Book;sans-serif" w:hAnsi="Franklin Gothic Book;sans-serif"/>
          <w:b w:val="false"/>
          <w:color w:val="000000"/>
          <w:sz w:val="20"/>
        </w:rPr>
        <w:t>, our net income and diluted earnings per share attributable to Biogen Inc. for the three months ended June 30, 2025, compared to the three months ended June 30, 2024, reflects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84" w:type="dxa"/>
        <w:jc w:val="center"/>
        <w:tblInd w:w="0" w:type="dxa"/>
        <w:tblLayout w:type="fixed"/>
        <w:tblCellMar>
          <w:top w:w="28" w:type="dxa"/>
          <w:left w:w="28" w:type="dxa"/>
          <w:bottom w:w="28" w:type="dxa"/>
          <w:right w:w="28" w:type="dxa"/>
        </w:tblCellMar>
      </w:tblPr>
      <w:tblGrid>
        <w:gridCol w:w="309"/>
        <w:gridCol w:w="272"/>
        <w:gridCol w:w="272"/>
        <w:gridCol w:w="272"/>
        <w:gridCol w:w="272"/>
        <w:gridCol w:w="387"/>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784"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TOTAL REVENUE</w:t>
            </w:r>
          </w:p>
        </w:tc>
      </w:tr>
    </w:tbl>
    <w:p>
      <w:pPr>
        <w:pStyle w:val="TextBody"/>
        <w:bidi w:val="0"/>
        <w:spacing w:before="0" w:after="0"/>
        <w:jc w:val="left"/>
        <w:rPr/>
      </w:pPr>
      <w:r>
        <w:rPr/>
        <w:drawing>
          <wp:inline distT="0" distB="0" distL="0" distR="0">
            <wp:extent cx="2857500" cy="866775"/>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3"/>
                    <a:stretch>
                      <a:fillRect/>
                    </a:stretch>
                  </pic:blipFill>
                  <pic:spPr bwMode="auto">
                    <a:xfrm>
                      <a:off x="0" y="0"/>
                      <a:ext cx="2857500" cy="866775"/>
                    </a:xfrm>
                    <a:prstGeom prst="rect">
                      <a:avLst/>
                    </a:prstGeom>
                  </pic:spPr>
                </pic:pic>
              </a:graphicData>
            </a:graphic>
          </wp:inline>
        </w:drawing>
      </w:r>
      <w:bookmarkStart w:id="1" w:name="i-2"/>
      <w:bookmarkEnd w:id="1"/>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Increased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$180.6 million or 7.3%</w:t>
      </w:r>
    </w:p>
    <w:tbl>
      <w:tblPr>
        <w:tblW w:w="3251" w:type="dxa"/>
        <w:jc w:val="center"/>
        <w:tblInd w:w="0" w:type="dxa"/>
        <w:tblLayout w:type="fixed"/>
        <w:tblCellMar>
          <w:top w:w="28" w:type="dxa"/>
          <w:left w:w="28" w:type="dxa"/>
          <w:bottom w:w="28" w:type="dxa"/>
          <w:right w:w="28" w:type="dxa"/>
        </w:tblCellMar>
      </w:tblPr>
      <w:tblGrid>
        <w:gridCol w:w="562"/>
        <w:gridCol w:w="496"/>
        <w:gridCol w:w="496"/>
        <w:gridCol w:w="496"/>
        <w:gridCol w:w="496"/>
        <w:gridCol w:w="705"/>
      </w:tblGrid>
      <w:tr>
        <w:trPr/>
        <w:tc>
          <w:tcPr>
            <w:tcW w:w="56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3251"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DILUTED EARNINGS PER SHARE</w:t>
            </w:r>
          </w:p>
        </w:tc>
      </w:tr>
    </w:tbl>
    <w:p>
      <w:pPr>
        <w:pStyle w:val="TextBody"/>
        <w:bidi w:val="0"/>
        <w:spacing w:before="0" w:after="0"/>
        <w:jc w:val="left"/>
        <w:rPr/>
      </w:pPr>
      <w:r>
        <w:rPr/>
        <w:drawing>
          <wp:inline distT="0" distB="0" distL="0" distR="0">
            <wp:extent cx="2857500" cy="866775"/>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2857500" cy="866775"/>
                    </a:xfrm>
                    <a:prstGeom prst="rect">
                      <a:avLst/>
                    </a:prstGeom>
                  </pic:spPr>
                </pic:pic>
              </a:graphicData>
            </a:graphic>
          </wp:inline>
        </w:drawing>
      </w:r>
      <w:bookmarkStart w:id="2" w:name="i-3"/>
      <w:bookmarkEnd w:id="2"/>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Increased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$0.33 or 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2" w:type="dxa"/>
        <w:jc w:val="left"/>
        <w:tblInd w:w="0" w:type="dxa"/>
        <w:tblLayout w:type="fixed"/>
        <w:tblCellMar>
          <w:top w:w="28" w:type="dxa"/>
          <w:left w:w="28" w:type="dxa"/>
          <w:bottom w:w="28" w:type="dxa"/>
          <w:right w:w="28" w:type="dxa"/>
        </w:tblCellMar>
      </w:tblPr>
      <w:tblGrid>
        <w:gridCol w:w="454"/>
        <w:gridCol w:w="399"/>
        <w:gridCol w:w="399"/>
        <w:gridCol w:w="399"/>
        <w:gridCol w:w="399"/>
        <w:gridCol w:w="572"/>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622"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0"/>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PRODUCT REVENUE, NET</w:t>
            </w:r>
          </w:p>
        </w:tc>
      </w:tr>
    </w:tbl>
    <w:p>
      <w:pPr>
        <w:pStyle w:val="TextBody"/>
        <w:bidi w:val="0"/>
        <w:spacing w:before="0" w:after="0"/>
        <w:jc w:val="left"/>
        <w:rPr/>
      </w:pPr>
      <w:r>
        <w:rPr/>
        <w:drawing>
          <wp:inline distT="0" distB="0" distL="0" distR="0">
            <wp:extent cx="2857500" cy="1095375"/>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5"/>
                    <a:stretch>
                      <a:fillRect/>
                    </a:stretch>
                  </pic:blipFill>
                  <pic:spPr bwMode="auto">
                    <a:xfrm>
                      <a:off x="0" y="0"/>
                      <a:ext cx="2857500" cy="1095375"/>
                    </a:xfrm>
                    <a:prstGeom prst="rect">
                      <a:avLst/>
                    </a:prstGeom>
                  </pic:spPr>
                </pic:pic>
              </a:graphicData>
            </a:graphic>
          </wp:inline>
        </w:drawing>
      </w:r>
      <w:bookmarkStart w:id="3" w:name="i-4"/>
      <w:bookmarkEnd w:id="3"/>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Decreased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$20.9 million or 1.1%</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single" w:sz="8"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MS revenue decreased $42.6 million, or 3.7%</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Rare disease revenue increased $8.9 million, or 1.7%</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The decrease in MS product revenue was primarily due to a decrease in global TECFIDERA and TYSABRI demand due to increased competition outside the U.S. from generic and biosimilar competition, respectively. These factors were offset in part by an increase in demand for U.S. VUMERITY and favorable U.S. TYSABRI inventory dynamics. MS product revenue in the U.S. also benefited from favorable commercial mix and approximately $45.0 million of favorable changes in estimates resulting in lower discounts and allowances.</w:t>
      </w:r>
    </w:p>
    <w:p>
      <w:pPr>
        <w:pStyle w:val="TextBody"/>
        <w:bidi w:val="0"/>
        <w:spacing w:lineRule="auto" w:line="288" w:before="10" w:after="283"/>
        <w:ind w:left="0" w:right="0" w:hanging="180"/>
        <w:jc w:val="left"/>
        <w:rPr/>
      </w:pPr>
      <w:r>
        <w:rPr>
          <w:color w:val="000000"/>
        </w:rPr>
        <w:t>•</w:t>
      </w:r>
      <w:r>
        <w:rPr>
          <w:rFonts w:ascii="Franklin Gothic Book;sans-serif" w:hAnsi="Franklin Gothic Book;sans-serif"/>
          <w:b w:val="false"/>
          <w:color w:val="000000"/>
          <w:sz w:val="17"/>
        </w:rPr>
        <w:t>The increase in rare disease product revenue was primarily due to our new product launches, including global SKYCLARYS revenue of $130.3 million and global QALSODY revenue of $20.0 million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18" w:type="dxa"/>
        <w:jc w:val="left"/>
        <w:tblInd w:w="0" w:type="dxa"/>
        <w:tblLayout w:type="fixed"/>
        <w:tblCellMar>
          <w:top w:w="28" w:type="dxa"/>
          <w:left w:w="28" w:type="dxa"/>
          <w:bottom w:w="28" w:type="dxa"/>
          <w:right w:w="28" w:type="dxa"/>
        </w:tblCellMar>
      </w:tblPr>
      <w:tblGrid>
        <w:gridCol w:w="488"/>
        <w:gridCol w:w="429"/>
        <w:gridCol w:w="429"/>
        <w:gridCol w:w="429"/>
        <w:gridCol w:w="429"/>
        <w:gridCol w:w="61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18"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TOTAL COST AND EXPENSE</w:t>
            </w:r>
          </w:p>
        </w:tc>
      </w:tr>
    </w:tbl>
    <w:p>
      <w:pPr>
        <w:pStyle w:val="TextBody"/>
        <w:bidi w:val="0"/>
        <w:spacing w:before="0" w:after="0"/>
        <w:jc w:val="left"/>
        <w:rPr/>
      </w:pPr>
      <w:r>
        <w:rPr/>
        <w:drawing>
          <wp:inline distT="0" distB="0" distL="0" distR="0">
            <wp:extent cx="2857500" cy="1181100"/>
            <wp:effectExtent l="0" t="0" r="0" b="0"/>
            <wp:docPr id="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 descr=""/>
                    <pic:cNvPicPr>
                      <a:picLocks noChangeAspect="1" noChangeArrowheads="1"/>
                    </pic:cNvPicPr>
                  </pic:nvPicPr>
                  <pic:blipFill>
                    <a:blip r:embed="rId6"/>
                    <a:stretch>
                      <a:fillRect/>
                    </a:stretch>
                  </pic:blipFill>
                  <pic:spPr bwMode="auto">
                    <a:xfrm>
                      <a:off x="0" y="0"/>
                      <a:ext cx="2857500" cy="1181100"/>
                    </a:xfrm>
                    <a:prstGeom prst="rect">
                      <a:avLst/>
                    </a:prstGeom>
                  </pic:spPr>
                </pic:pic>
              </a:graphicData>
            </a:graphic>
          </wp:inline>
        </w:drawing>
      </w:r>
      <w:bookmarkStart w:id="4" w:name="i-5"/>
      <w:bookmarkEnd w:id="4"/>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Increased</w:t>
      </w:r>
    </w:p>
    <w:p>
      <w:pPr>
        <w:pStyle w:val="TextBody"/>
        <w:bidi w:val="0"/>
        <w:spacing w:lineRule="auto" w:line="288" w:before="0" w:after="0"/>
        <w:jc w:val="center"/>
        <w:rPr>
          <w:rFonts w:ascii="Franklin Gothic Book;sans-serif" w:hAnsi="Franklin Gothic Book;sans-serif"/>
          <w:b w:val="false"/>
          <w:color w:val="0070C0"/>
          <w:sz w:val="18"/>
        </w:rPr>
      </w:pPr>
      <w:r>
        <w:rPr>
          <w:rFonts w:ascii="Franklin Gothic Book;sans-serif" w:hAnsi="Franklin Gothic Book;sans-serif"/>
          <w:b w:val="false"/>
          <w:color w:val="0070C0"/>
          <w:sz w:val="18"/>
        </w:rPr>
        <w:t>$135.3 million or 7.7%</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single" w:sz="8"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Cost of sales increased $59.0 million, or 10.8%</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R&amp;D expense decreased $106.4 million, or 21.1%</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Acquired IPR&amp;D, upfront and milestone expense increased $38.1 million</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70C0"/>
          <w:sz w:val="18"/>
        </w:rPr>
        <w:t>SG&amp;A expense increased $30.0 million, or 5.4%</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The increase in cost of sales was primarily due to higher contract manufacturing revenue and higher SKYCLARYS amortization costs, partially offset by lower inventory write-offs in the second quarter of 2025.</w:t>
      </w:r>
    </w:p>
    <w:p>
      <w:pPr>
        <w:pStyle w:val="TextBody"/>
        <w:bidi w:val="0"/>
        <w:spacing w:lineRule="auto" w:line="288" w:before="10" w:after="283"/>
        <w:ind w:left="0" w:right="0" w:hanging="180"/>
        <w:jc w:val="left"/>
        <w:rPr/>
      </w:pPr>
      <w:r>
        <w:rPr>
          <w:color w:val="0070C0"/>
          <w:shd w:fill="FFFFFF" w:val="clear"/>
        </w:rPr>
        <w:t>•</w:t>
      </w:r>
      <w:r>
        <w:rPr>
          <w:rFonts w:ascii="Franklin Gothic Book;sans-serif" w:hAnsi="Franklin Gothic Book;sans-serif"/>
          <w:b w:val="false"/>
          <w:color w:val="000000"/>
          <w:sz w:val="17"/>
        </w:rPr>
        <w:t>The decrease in R&amp;D expense was primarily driven by continued cost reduction measures realized in connection with our portfolio prioritization initiatives and our Fit for Growth program, offset in part by higher spend on clinical trials, including litifilimab and felzartamab. Higher clinical trial spend related to litifilimab was offset by $50.0 million in R&amp;D funding received from Royalty Pharma.</w:t>
      </w:r>
    </w:p>
    <w:p>
      <w:pPr>
        <w:pStyle w:val="TextBody"/>
        <w:bidi w:val="0"/>
        <w:spacing w:lineRule="auto" w:line="288" w:before="10" w:after="283"/>
        <w:ind w:left="0" w:right="0" w:hanging="180"/>
        <w:jc w:val="left"/>
        <w:rPr/>
      </w:pPr>
      <w:r>
        <w:rPr>
          <w:color w:val="0070C0"/>
          <w:shd w:fill="FFFFFF" w:val="clear"/>
        </w:rPr>
        <w:t>•</w:t>
      </w:r>
      <w:r>
        <w:rPr>
          <w:rFonts w:ascii="Franklin Gothic Book;sans-serif" w:hAnsi="Franklin Gothic Book;sans-serif"/>
          <w:b w:val="false"/>
          <w:color w:val="000000"/>
          <w:sz w:val="17"/>
        </w:rPr>
        <w:t>The increase in acquired IPR&amp;D, upfront and milestone expense was primarily due to an upfront payment of $16.0 million to City Therapeutics in connection with the closing of our strategic research arrangement, as well as a $30.0 million milestone accrued during the second quarter of 2025 in connection with the first patient dosed in a Phase 3 clinical trial of felzartamab for the treatment of IgAN.</w:t>
      </w:r>
    </w:p>
    <w:p>
      <w:pPr>
        <w:pStyle w:val="TextBody"/>
        <w:bidi w:val="0"/>
        <w:spacing w:lineRule="auto" w:line="288" w:before="10" w:after="283"/>
        <w:ind w:left="0" w:right="0" w:hanging="180"/>
        <w:jc w:val="left"/>
        <w:rPr/>
      </w:pPr>
      <w:r>
        <w:rPr>
          <w:color w:val="0070C0"/>
        </w:rPr>
        <w:t>•</w:t>
      </w:r>
      <w:r>
        <w:rPr>
          <w:rFonts w:ascii="Franklin Gothic Book;sans-serif" w:hAnsi="Franklin Gothic Book;sans-serif"/>
          <w:b w:val="false"/>
          <w:color w:val="000000"/>
          <w:sz w:val="17"/>
        </w:rPr>
        <w:t>The increase in SG&amp;A expense was primarily due to an increase in operational spending on sales and marketing activities in support of LEQEMBI and SKYCLARYS as we continue to expand our U.S. and international product launches.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86" w:type="dxa"/>
        <w:jc w:val="left"/>
        <w:tblInd w:w="0" w:type="dxa"/>
        <w:tblLayout w:type="fixed"/>
        <w:tblCellMar>
          <w:top w:w="28" w:type="dxa"/>
          <w:left w:w="28" w:type="dxa"/>
          <w:bottom w:w="28" w:type="dxa"/>
          <w:right w:w="28" w:type="dxa"/>
        </w:tblCellMar>
      </w:tblPr>
      <w:tblGrid>
        <w:gridCol w:w="1054"/>
        <w:gridCol w:w="928"/>
        <w:gridCol w:w="928"/>
        <w:gridCol w:w="928"/>
        <w:gridCol w:w="928"/>
        <w:gridCol w:w="1320"/>
      </w:tblGrid>
      <w:tr>
        <w:trPr/>
        <w:tc>
          <w:tcPr>
            <w:tcW w:w="105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6086" w:type="dxa"/>
            <w:gridSpan w:val="6"/>
            <w:tcBorders>
              <w:top w:val="single" w:sz="8" w:space="0" w:color="0070C0"/>
              <w:bottom w:val="single" w:sz="8" w:space="0" w:color="0070C0"/>
            </w:tcBorders>
            <w:tcMar>
              <w:top w:w="30" w:type="dxa"/>
              <w:left w:w="0" w:type="dxa"/>
              <w:bottom w:w="30" w:type="dxa"/>
              <w:right w:w="0" w:type="dxa"/>
            </w:tcMar>
            <w:vAlign w:val="center"/>
          </w:tcPr>
          <w:p>
            <w:pPr>
              <w:pStyle w:val="TableContents"/>
              <w:bidi w:val="0"/>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FINANCIAL CONDITION, LIQUIDITY AND CAPITAL RESOURCES</w:t>
            </w:r>
          </w:p>
        </w:tc>
      </w:tr>
    </w:tbl>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7"/>
        </w:rPr>
        <w:t>Cash and cash equivalents totaled approximately $2.8 billion as of June 30, 2025, compared to approximately $2.4 billion as of December 31, 2024.</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7"/>
        </w:rPr>
        <w:t>We generated approximately $420.2 million of net cash flow from operations for the six months ended June 30, 2025, compared to approximately $1,179.0 million in the prior year comparative period.</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7"/>
        </w:rPr>
        <w:t>This year-over-year reduction was due in part to higher worldwide tax payments in 2025, compared to 2024, of approximately $774.7 million due to the timing of estimated payments.</w:t>
      </w:r>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7"/>
        </w:rPr>
        <w:t>In May 2025 we issued our 2025 Senior Notes for an aggregate principal amount of $1.75 billion. In June 2025 we used the net proceeds to redeem our 4.050% Senior Notes due September 15, 2025, prior to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0"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RECENT DEVELOPMENTS</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CORPORATE MATTERS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2025 SENIOR NOTES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May 12, 2025, we issued our 2025 Senior Notes for an aggregate principal amount of $1.75 billion. In June 2025 we used the net proceeds from the sale of our 2025 Senior Notes to redeem our 4.050% Senior Notes due September 15, 2025, prior to maturity.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relating to our 2025 Senior Notes, please read </w:t>
      </w:r>
      <w:r>
        <w:rPr>
          <w:rFonts w:ascii="Franklin Gothic Book;sans-serif" w:hAnsi="Franklin Gothic Book;sans-serif"/>
          <w:b w:val="false"/>
          <w:i/>
          <w:color w:val="000000"/>
          <w:sz w:val="20"/>
        </w:rPr>
        <w:t>Note 13, Indebtedness</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NEW CORPORATE HEADQUARTERS LEASE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in our real estate footprint in Massachusetts, this new lease is intended to replace two existing leases, both in Cambridge, Massachusetts, including our current corporate headquarters. We expect the initial lease term of approximately 15.5 years to commence on May 31, 2028.</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lease agreement, please read </w:t>
      </w:r>
      <w:r>
        <w:rPr>
          <w:rFonts w:ascii="Franklin Gothic Book;sans-serif" w:hAnsi="Franklin Gothic Book;sans-serif"/>
          <w:b w:val="false"/>
          <w:i/>
          <w:color w:val="000000"/>
          <w:sz w:val="20"/>
        </w:rPr>
        <w:t xml:space="preserve">Note 12, Leases,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COLLABORATIVE AND OTHER RELATIONSHIPS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CITY THERAPEUTICS, INC. COLLABORATION</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In May 2025 we entered into a strategic research arrangement with City Therapeutics to develop select novel RNAi therapies. Through this arrangement, City Therapeutics will leverage its next-generation RNAi engineering technologies to develop an RNAi trigger molecule combined with our proprietary drug delivery technology. The collaboration will initially focus on a single target that mediates key central nervous system diseases, utilizing tissue enhanced delivery technologies with the aim of allowing for systemic administration of medicines. We will be responsible for IND-enabling studies and global clinical development along with any regulatory submissions and all activities related to commercialization.</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In connection with the closing of this transaction we made an upfront payment of $16.0 million to City Therapeutics, which was recognized as acquired in-process research and development, upfront and milestone expense within our condensed consolidated statements of income for the </w:t>
      </w:r>
      <w:r>
        <w:rPr>
          <w:rFonts w:ascii="Franklin Gothic Book;sans-serif" w:hAnsi="Franklin Gothic Book;sans-serif"/>
          <w:b w:val="false"/>
          <w:color w:val="000000"/>
          <w:sz w:val="20"/>
        </w:rPr>
        <w:t>three and six months ended June 30, 2025</w:t>
      </w:r>
      <w:r>
        <w:rPr>
          <w:rFonts w:ascii="Franklin Gothic Book;sans-serif" w:hAnsi="Franklin Gothic Book;sans-serif"/>
          <w:b w:val="false"/>
          <w:color w:val="000000"/>
          <w:sz w:val="20"/>
          <w:shd w:fill="FFFFFF" w:val="clear"/>
        </w:rPr>
        <w:t>, and invested $30.0 million in exchange for a City Therapeutics convertible note, representing a minority equity interest in City Therapeutics, if converted. This convertible note was recorded as a component of investments and other assets within our condensed consolidated balance sheets as of</w:t>
      </w:r>
      <w:r>
        <w:rPr>
          <w:color w:val="000000"/>
        </w:rPr>
        <w:t xml:space="preserve"> </w:t>
      </w:r>
      <w:r>
        <w:rPr>
          <w:rFonts w:ascii="Franklin Gothic Book;sans-serif" w:hAnsi="Franklin Gothic Book;sans-serif"/>
          <w:b w:val="false"/>
          <w:color w:val="000000"/>
          <w:sz w:val="20"/>
        </w:rPr>
        <w:t>June 30, 2025.</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strategic research arrangement with City Therapeutics,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STOKE THERAPEUTICS, INC. COLLABORATION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Zorevunersen is a Phase 3-ready disease modifying asset on track to start dosing in a global Phase 3 registrational study in the third quarter of 2025. Under the terms of this agreement, Stoke will continue to lead global development and retain exclusive development and commercialization rights for zorevunersen in the U.S., Canada and Mexico and we will have exclusive rights to commercialize zorevunersen in the rest of the world.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closing of this transaction we made an upfront payment of $165.0 million to Stoke, which was recognized as acquired in-process research and development, upfront and milestone expense within our condensed consolidated statements of income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1"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have an exclusive option to license certain future follow-on ASO products targeting the SCN1A gene in all territories worldwide other than the U.S., Canada and Mexico, in exchange for separate milestone, cost sharing and royalty considerations.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 with Stoke,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ROYALTY PHARMA FUNDING ARRANGEMENT</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In February 2025 we entered into a funding agreement with Royalty Pharma under which we will receive up to $200.0 million in 2025 and up to $50.0 million in 2026 to co-fund our development costs for the litifilimab program. As there is a substantive transfer of risk to the financial partner for the amount invested, the development funding will be recognized by us as an obligation to perform contractual services. We plan to recognize this funding as a reduction to research and development expense within our condensed consolidated statements of income, proportionate to the related expense. For the </w:t>
      </w:r>
      <w:r>
        <w:rPr>
          <w:rFonts w:ascii="Franklin Gothic Book;sans-serif" w:hAnsi="Franklin Gothic Book;sans-serif"/>
          <w:b w:val="false"/>
          <w:color w:val="000000"/>
          <w:sz w:val="20"/>
        </w:rPr>
        <w:t>three and six months ended June 30, 2025</w:t>
      </w:r>
      <w:r>
        <w:rPr>
          <w:rFonts w:ascii="Franklin Gothic Book;sans-serif" w:hAnsi="Franklin Gothic Book;sans-serif"/>
          <w:b w:val="false"/>
          <w:color w:val="000000"/>
          <w:sz w:val="20"/>
          <w:shd w:fill="FFFFFF" w:val="clear"/>
        </w:rPr>
        <w:t>, we recorded reductions to research and development expen</w:t>
      </w:r>
      <w:r>
        <w:rPr>
          <w:rFonts w:ascii="Franklin Gothic Book;sans-serif" w:hAnsi="Franklin Gothic Book;sans-serif"/>
          <w:b w:val="false"/>
          <w:color w:val="000000"/>
          <w:sz w:val="20"/>
        </w:rPr>
        <w:t xml:space="preserve">se of $50.0 million and $100.0 million, </w:t>
      </w:r>
      <w:r>
        <w:rPr>
          <w:rFonts w:ascii="Franklin Gothic Book;sans-serif" w:hAnsi="Franklin Gothic Book;sans-serif"/>
          <w:b w:val="false"/>
          <w:color w:val="000000"/>
          <w:sz w:val="20"/>
          <w:shd w:fill="FFFFFF" w:val="clear"/>
        </w:rPr>
        <w:t>respectively, within our condensed consolidated statements of income.</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 a total of $250.0 million. The milestone payments due upon approval will be recorded as a component of other (income) expense, net within our condensed consolidated statements of income, when incurred.</w:t>
      </w:r>
    </w:p>
    <w:p>
      <w:pPr>
        <w:pStyle w:val="TextBody"/>
        <w:bidi w:val="0"/>
        <w:spacing w:lineRule="auto" w:line="288" w:before="120" w:after="283"/>
        <w:jc w:val="left"/>
        <w:rPr>
          <w:rFonts w:ascii="Franklin Gothic Book;sans-serif" w:hAnsi="Franklin Gothic Book;sans-serif"/>
          <w:b w:val="false"/>
          <w:color w:val="000000"/>
          <w:sz w:val="20"/>
          <w:shd w:fill="FFFFFF" w:val="clear"/>
        </w:rPr>
      </w:pPr>
      <w:r>
        <w:rPr>
          <w:rFonts w:ascii="Franklin Gothic Book;sans-serif" w:hAnsi="Franklin Gothic Book;sans-serif"/>
          <w:b w:val="false"/>
          <w:color w:val="000000"/>
          <w:sz w:val="20"/>
          <w:shd w:fill="FFFFFF" w:val="clear"/>
        </w:rPr>
        <w:t>If litifilimab receives regulatory approval, Royalty Pharma will be eligible to receive royalties of a mid-single digit percentage of the applicable net sales. Royalties on net sales will be recorded as cost of sales within our condensed consolidated statements of income.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funding arrangement with Royalty Pharma,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DEVELOPMENTS IN KEY COLLABORATIVE RELATIONSHIPS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LEQEMBI (lecanemab)</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United States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Key developments related to LEQEMBI in the U.S. consisted of the following:</w:t>
      </w:r>
    </w:p>
    <w:p>
      <w:pPr>
        <w:pStyle w:val="TextBody"/>
        <w:bidi w:val="0"/>
        <w:spacing w:lineRule="auto" w:line="288" w:before="100" w:after="283"/>
        <w:ind w:left="0" w:right="0" w:hanging="360"/>
        <w:jc w:val="left"/>
        <w:rPr/>
      </w:pPr>
      <w:r>
        <w:rPr>
          <w:color w:val="0070C0"/>
        </w:rPr>
        <w:t>•</w:t>
      </w:r>
      <w:r>
        <w:rPr>
          <w:rFonts w:ascii="Franklin Gothic Book;sans-serif" w:hAnsi="Franklin Gothic Book;sans-serif"/>
          <w:b w:val="false"/>
          <w:color w:val="000000"/>
          <w:sz w:val="20"/>
        </w:rPr>
        <w:t>In January 2025 the FDA approved LEQEMBI monthly IV maintenance dosing for the treatment of early Alzheimer's disease.</w:t>
      </w:r>
    </w:p>
    <w:p>
      <w:pPr>
        <w:pStyle w:val="TextBody"/>
        <w:bidi w:val="0"/>
        <w:spacing w:lineRule="auto" w:line="288" w:before="100" w:after="283"/>
        <w:ind w:left="0" w:right="0" w:hanging="360"/>
        <w:jc w:val="left"/>
        <w:rPr/>
      </w:pPr>
      <w:r>
        <w:rPr>
          <w:color w:val="0070C0"/>
        </w:rPr>
        <w:t>•</w:t>
      </w:r>
      <w:r>
        <w:rPr>
          <w:rFonts w:ascii="Franklin Gothic Book;sans-serif" w:hAnsi="Franklin Gothic Book;sans-serif"/>
          <w:b w:val="false"/>
          <w:color w:val="000000"/>
          <w:sz w:val="20"/>
        </w:rPr>
        <w:t>In January 2025 the FDA accepted for review the BLA for LEQEMBI subcutaneous autoinjector for weekly maintenance dosing, with a PDUFA action date set for August 31, 2025.</w:t>
      </w:r>
    </w:p>
    <w:p>
      <w:pPr>
        <w:pStyle w:val="TextBody"/>
        <w:bidi w:val="0"/>
        <w:spacing w:lineRule="auto" w:line="288" w:before="12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Rest of World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Key developments related to LEQEMBI (lecanemab) in rest of world markets consisted of the following:</w:t>
      </w:r>
    </w:p>
    <w:p>
      <w:pPr>
        <w:pStyle w:val="TextBody"/>
        <w:bidi w:val="0"/>
        <w:spacing w:lineRule="auto" w:line="288" w:before="100" w:after="283"/>
        <w:ind w:left="0" w:right="0" w:hanging="360"/>
        <w:jc w:val="left"/>
        <w:rPr/>
      </w:pPr>
      <w:r>
        <w:rPr>
          <w:color w:val="0070C0"/>
        </w:rPr>
        <w:t>•</w:t>
      </w:r>
      <w:r>
        <w:rPr>
          <w:rFonts w:ascii="Franklin Gothic Book;sans-serif" w:hAnsi="Franklin Gothic Book;sans-serif"/>
          <w:b w:val="false"/>
          <w:color w:val="000000"/>
          <w:sz w:val="20"/>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w:t>
      </w:r>
    </w:p>
    <w:p>
      <w:pPr>
        <w:pStyle w:val="TextBody"/>
        <w:bidi w:val="0"/>
        <w:spacing w:lineRule="auto" w:line="288" w:before="100" w:after="283"/>
        <w:ind w:left="0" w:right="0" w:hanging="360"/>
        <w:jc w:val="left"/>
        <w:rPr/>
      </w:pPr>
      <w:r>
        <w:rPr>
          <w:color w:val="0070C0"/>
        </w:rPr>
        <w:t>•</w:t>
      </w:r>
      <w:r>
        <w:rPr>
          <w:rFonts w:ascii="Franklin Gothic Book;sans-serif" w:hAnsi="Franklin Gothic Book;sans-serif"/>
          <w:b w:val="false"/>
          <w:color w:val="000000"/>
          <w:sz w:val="20"/>
        </w:rPr>
        <w:t>In April 2025 the EC approved LEQEMBI in the E.U. for the treatment of adult patients with a clinical diagnosis of mild cognitive impairment and mild dementia due to Alzheimer's disease who are apolipoprotein E ε4 non-carriers or heterozygotes with confirmed amyloid pathology.</w:t>
      </w:r>
    </w:p>
    <w:p>
      <w:pPr>
        <w:pStyle w:val="TextBody"/>
        <w:bidi w:val="0"/>
        <w:spacing w:lineRule="auto" w:line="288" w:before="100" w:after="283"/>
        <w:ind w:left="0" w:right="0" w:hanging="360"/>
        <w:jc w:val="left"/>
        <w:rPr/>
      </w:pPr>
      <w:r>
        <w:rPr>
          <w:color w:val="0070C0"/>
        </w:rPr>
        <w:t>•</w:t>
      </w:r>
      <w:r>
        <w:rPr>
          <w:rFonts w:ascii="Franklin Gothic Book;sans-serif" w:hAnsi="Franklin Gothic Book;sans-serif"/>
          <w:b w:val="false"/>
          <w:color w:val="000000"/>
          <w:sz w:val="20"/>
        </w:rPr>
        <w:t>In March 2025 we and Eisai announced that the Therapeutic Goods Administration of Australia confirmed the initial decision made in October 2024 to decline the approval of lecanemab as a treatment for early Alzheimer's disease.</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ZURZUVAE (zuranolone)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July 2025 the CHMP of the EMA adopted a positive opinion recommending the marketing authorization for zuranolone for the treatment of PPD.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62"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OTHER KEY DEVELOPMENTS</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FELZARTAMAB</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we announced the initiation of dosing in the global Phase 3 PREVAIL study. This study will evaluate the efficacy and safety of the investigational drug felzartamab compared to placebo on proteinuria and preservation of kidney function in adults diagnosed with IgAN. In connection with the initiation of this dosing we accrued a $30.0 million milestone payment to MorphoSys, which was subsequently paid in July 2025. Additionally, in June 2025 we announced the initiation of dosing in the global Phase 3 PROMINENT study. This study will evaluate the efficacy and safety of the investigational drug felzartamab compared to tacrolimus in adults diagnosed with PMN.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2025 we announced the initiation of dosing in the global Phase 3 TRANSCEND study. This study will evaluate the efficacy and safety of the investigational drug felzartamab compared to placebo in adult kidney transplant recipients diagnosed with late AMR. In connection with the initiation of this dosing we paid a $35.0 million milestone payment to MorphoSys in April 2025.</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SPINRAZA (nusinersen)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January 2025 the FDA accepted the supplemental NDA and the EMA validated the application for a higher dose regimen of nusinersen for SMA. The higher dose regimen of nusinersen comprises a more rapid loading regimen, two 50 mg-doses 14 days apart, and higher maintenance regimen, 28 mg, every four months, compared to the currently approved dose of SPINRAZA.</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SALANERSEN (BIIB115)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we announced positive topline results from the Phase 1b study of salanersen, an ASO being developed for the treatment of SMA. Interim Phase 1b data shows children with SMA previously treated with gene therapy experienced a substantial slowing of neurodegeneration and clinically meaningful improvements in motor function following initiation of salanersen. We are currently engaging with regulators to advance salanersen to a Phase 3 registrational study.</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SKYCLARYS (omaveloxolone)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we announced the initiation of dosing in the global Phase 3 BRAVE study. This study will evaluate the efficacy and safety of omaveloxolone in children with FA between the ages of two and sixteen years old.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2025 SKYCLARYS was approved by the Medicines and Healthcare products Regulatory Agency in the U.K. and in Brazil. In March 2025 SKYCLARYS was approved by Health Canada.</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QALSODY (tofersen)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2025 Health Canada issued marketing authorization with conditions for QALSODY for the treatment of ALS in adults who have a mutation in the SOD1 gene. The authorization is conditional, pending the results of trials to verify its clinical benefit.</w:t>
      </w:r>
    </w:p>
    <w:p>
      <w:pPr>
        <w:pStyle w:val="TextBody"/>
        <w:bidi w:val="0"/>
        <w:spacing w:lineRule="auto" w:line="28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BIIB080</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2025 the FDA granted Fast Track designation to BIIB080, an investigational ASO therapy targeting tau for the potential treatment of Alzheimer's disease.</w:t>
      </w:r>
    </w:p>
    <w:p>
      <w:pPr>
        <w:pStyle w:val="TextBody"/>
        <w:bidi w:val="0"/>
        <w:spacing w:lineRule="auto" w:line="26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DISCONTINUED PROGRAMS AND STUDIES</w:t>
      </w:r>
    </w:p>
    <w:p>
      <w:pPr>
        <w:pStyle w:val="TextBody"/>
        <w:bidi w:val="0"/>
        <w:spacing w:lineRule="auto" w:line="268" w:before="12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SALE OF TOFIDENCE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March 2025 we completed the sale of our regulatory and commercial rights in the U.S. for TOFIDENCE, a tocilizumab biosimilar referencing ACTEMRA, to Organon. Under the terms of this transaction, we received a payment of approximately $51.0 million </w:t>
      </w:r>
      <w:r>
        <w:rPr>
          <w:rFonts w:ascii="Franklin Gothic Book;sans-serif" w:hAnsi="Franklin Gothic Book;sans-serif"/>
          <w:b w:val="false"/>
          <w:color w:val="000000"/>
          <w:sz w:val="20"/>
          <w:shd w:fill="FFFFFF" w:val="clear"/>
        </w:rPr>
        <w:t>in July 2025 a</w:t>
      </w:r>
      <w:r>
        <w:rPr>
          <w:rFonts w:ascii="Franklin Gothic Book;sans-serif" w:hAnsi="Franklin Gothic Book;sans-serif"/>
          <w:b w:val="false"/>
          <w:color w:val="000000"/>
          <w:sz w:val="20"/>
        </w:rPr>
        <w:t>nd recognized a de minimis loss within our condensed consolidated statements of income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63"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60" w:after="283"/>
        <w:jc w:val="left"/>
        <w:rPr>
          <w:rFonts w:ascii="Franklin Gothic Demi;sans-serif" w:hAnsi="Franklin Gothic Demi;sans-serif"/>
          <w:b w:val="false"/>
          <w:color w:val="00587F"/>
          <w:sz w:val="28"/>
        </w:rPr>
      </w:pPr>
      <w:r>
        <w:rPr>
          <w:rFonts w:ascii="Franklin Gothic Demi;sans-serif" w:hAnsi="Franklin Gothic Demi;sans-serif"/>
          <w:b w:val="false"/>
          <w:color w:val="00587F"/>
          <w:sz w:val="28"/>
        </w:rPr>
        <w:t>RESULTS OF OPERATIONS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REVENUE</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 following revenue discussion should be read in conjunction with </w:t>
      </w:r>
      <w:r>
        <w:rPr>
          <w:rFonts w:ascii="Franklin Gothic Book;sans-serif" w:hAnsi="Franklin Gothic Book;sans-serif"/>
          <w:b w:val="false"/>
          <w:i/>
          <w:color w:val="000000"/>
          <w:sz w:val="20"/>
        </w:rPr>
        <w:t>Note 5, Revenue</w:t>
      </w:r>
      <w:r>
        <w:rPr>
          <w:rFonts w:ascii="Franklin Gothic Book;sans-serif" w:hAnsi="Franklin Gothic Book;sans-serif"/>
          <w:b w:val="false"/>
          <w:color w:val="000000"/>
          <w:sz w:val="20"/>
        </w:rPr>
        <w:t>, to our condensed consolidated financial statements included in this report. Revenue is summarized as follows:</w:t>
      </w:r>
    </w:p>
    <w:tbl>
      <w:tblPr>
        <w:tblW w:w="10205" w:type="dxa"/>
        <w:jc w:val="left"/>
        <w:tblInd w:w="0" w:type="dxa"/>
        <w:tblLayout w:type="fixed"/>
        <w:tblCellMar>
          <w:top w:w="28" w:type="dxa"/>
          <w:left w:w="28" w:type="dxa"/>
          <w:bottom w:w="28" w:type="dxa"/>
          <w:right w:w="28" w:type="dxa"/>
        </w:tblCellMar>
      </w:tblPr>
      <w:tblGrid>
        <w:gridCol w:w="832"/>
        <w:gridCol w:w="639"/>
        <w:gridCol w:w="643"/>
        <w:gridCol w:w="109"/>
        <w:gridCol w:w="109"/>
        <w:gridCol w:w="109"/>
        <w:gridCol w:w="211"/>
        <w:gridCol w:w="766"/>
        <w:gridCol w:w="109"/>
        <w:gridCol w:w="109"/>
        <w:gridCol w:w="109"/>
        <w:gridCol w:w="109"/>
        <w:gridCol w:w="307"/>
        <w:gridCol w:w="309"/>
        <w:gridCol w:w="256"/>
        <w:gridCol w:w="109"/>
        <w:gridCol w:w="109"/>
        <w:gridCol w:w="109"/>
        <w:gridCol w:w="211"/>
        <w:gridCol w:w="766"/>
        <w:gridCol w:w="109"/>
        <w:gridCol w:w="109"/>
        <w:gridCol w:w="109"/>
        <w:gridCol w:w="109"/>
        <w:gridCol w:w="307"/>
        <w:gridCol w:w="309"/>
        <w:gridCol w:w="256"/>
        <w:gridCol w:w="109"/>
        <w:gridCol w:w="109"/>
        <w:gridCol w:w="109"/>
        <w:gridCol w:w="220"/>
        <w:gridCol w:w="642"/>
        <w:gridCol w:w="114"/>
        <w:gridCol w:w="109"/>
        <w:gridCol w:w="109"/>
        <w:gridCol w:w="109"/>
        <w:gridCol w:w="306"/>
        <w:gridCol w:w="310"/>
        <w:gridCol w:w="621"/>
      </w:tblGrid>
      <w:tr>
        <w:trPr/>
        <w:tc>
          <w:tcPr>
            <w:tcW w:w="8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35.6 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94.4 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11.1 </w:t>
            </w:r>
          </w:p>
        </w:tc>
        <w:tc>
          <w:tcPr>
            <w:tcW w:w="6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 of world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937.6 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35.4 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(115.3)</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(11.0)</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1,878.7 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71.0 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1,899.6 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(20.9)</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5.1 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Alzheimer's collaboration revenue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43.1 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365.3 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9.2 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135.6 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124.4 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2,645.5 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180.6 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7.3 </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1,694.9 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33.4 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102.1 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6.4 </w:t>
            </w:r>
          </w:p>
        </w:tc>
        <w:tc>
          <w:tcPr>
            <w:tcW w:w="6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 of world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37.6 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(108.4)</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(5.4)</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3,605.2 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71.0 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3,611.5 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(6.3)</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(0.2)</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845.5 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0.8 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Alzheimer's collaboration revenue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73.3 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502.1 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247.1 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85.0 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5,076.5 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2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4,755.4 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321.1 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6.8 </w:t>
            </w:r>
          </w:p>
        </w:tc>
        <w:tc>
          <w:tcPr>
            <w:tcW w:w="6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Alzheimer's collaboration revenue consists of our 50.0% share of LEQEMBI product revenue, net and cost of sales, including royalties.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PRODUCT REVENUE</w:t>
      </w:r>
    </w:p>
    <w:p>
      <w:pPr>
        <w:pStyle w:val="TextBody"/>
        <w:bidi w:val="0"/>
        <w:spacing w:lineRule="auto" w:line="288" w:before="6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Product revenue is summarized as follows:</w:t>
      </w:r>
    </w:p>
    <w:tbl>
      <w:tblPr>
        <w:tblW w:w="15102" w:type="dxa"/>
        <w:jc w:val="left"/>
        <w:tblInd w:w="0" w:type="dxa"/>
        <w:tblLayout w:type="fixed"/>
        <w:tblCellMar>
          <w:top w:w="28" w:type="dxa"/>
          <w:left w:w="28" w:type="dxa"/>
          <w:bottom w:w="28" w:type="dxa"/>
          <w:right w:w="28" w:type="dxa"/>
        </w:tblCellMar>
      </w:tblPr>
      <w:tblGrid>
        <w:gridCol w:w="457"/>
        <w:gridCol w:w="401"/>
        <w:gridCol w:w="403"/>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307"/>
        <w:gridCol w:w="309"/>
        <w:gridCol w:w="318"/>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307"/>
        <w:gridCol w:w="309"/>
        <w:gridCol w:w="318"/>
        <w:gridCol w:w="109"/>
        <w:gridCol w:w="109"/>
        <w:gridCol w:w="109"/>
        <w:gridCol w:w="211"/>
        <w:gridCol w:w="631"/>
        <w:gridCol w:w="109"/>
        <w:gridCol w:w="109"/>
        <w:gridCol w:w="109"/>
        <w:gridCol w:w="109"/>
        <w:gridCol w:w="308"/>
        <w:gridCol w:w="308"/>
        <w:gridCol w:w="620"/>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4"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657.4 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58.9 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60.5 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(42.6)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28.9 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9.7 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(8.3)</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165.9 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937.6 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1,878.7 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1,899.6 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4"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1,147.8 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912.4 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2,060.2 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57.1 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2,225.7 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61.6 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(165.5)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(7.4)</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30.7 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15.5 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10.1 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(8.2)</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2.1 </w:t>
            </w:r>
          </w:p>
        </w:tc>
        <w:tc>
          <w:tcPr>
            <w:tcW w:w="3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132.3 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1,694.9 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1,910.3 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3,605.2 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100.0 </w:t>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2,018.7 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3,611.5 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(6.3)</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(0.2)</w:t>
            </w:r>
          </w:p>
        </w:tc>
        <w:tc>
          <w:tcPr>
            <w:tcW w:w="6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Other includes ZURZUVAE, FUMADERM and ADUHELM.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64"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tbl>
      <w:tblPr>
        <w:tblW w:w="2759" w:type="dxa"/>
        <w:jc w:val="left"/>
        <w:tblInd w:w="0" w:type="dxa"/>
        <w:tblLayout w:type="fixed"/>
        <w:tblCellMar>
          <w:top w:w="28" w:type="dxa"/>
          <w:left w:w="28" w:type="dxa"/>
          <w:bottom w:w="28" w:type="dxa"/>
          <w:right w:w="28" w:type="dxa"/>
        </w:tblCellMar>
      </w:tblPr>
      <w:tblGrid>
        <w:gridCol w:w="478"/>
        <w:gridCol w:w="421"/>
        <w:gridCol w:w="421"/>
        <w:gridCol w:w="421"/>
        <w:gridCol w:w="421"/>
        <w:gridCol w:w="597"/>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759"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MULTIPLE SCLEROSIS</w:t>
            </w:r>
          </w:p>
        </w:tc>
      </w:tr>
    </w:tbl>
    <w:p>
      <w:pPr>
        <w:pStyle w:val="TextBody"/>
        <w:bidi w:val="0"/>
        <w:spacing w:before="0" w:after="300"/>
        <w:jc w:val="left"/>
        <w:rPr/>
      </w:pPr>
      <w:r>
        <w:rPr/>
        <w:drawing>
          <wp:inline distT="0" distB="0" distL="0" distR="0">
            <wp:extent cx="2857500" cy="2381250"/>
            <wp:effectExtent l="0" t="0" r="0" b="0"/>
            <wp:docPr id="6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 descr=""/>
                    <pic:cNvPicPr>
                      <a:picLocks noChangeAspect="1" noChangeArrowheads="1"/>
                    </pic:cNvPicPr>
                  </pic:nvPicPr>
                  <pic:blipFill>
                    <a:blip r:embed="rId7"/>
                    <a:stretch>
                      <a:fillRect/>
                    </a:stretch>
                  </pic:blipFill>
                  <pic:spPr bwMode="auto">
                    <a:xfrm>
                      <a:off x="0" y="0"/>
                      <a:ext cx="2857500" cy="2381250"/>
                    </a:xfrm>
                    <a:prstGeom prst="rect">
                      <a:avLst/>
                    </a:prstGeom>
                  </pic:spPr>
                </pic:pic>
              </a:graphicData>
            </a:graphic>
          </wp:inline>
        </w:drawing>
      </w:r>
      <w:bookmarkStart w:id="5" w:name="i-6"/>
      <w:bookmarkEnd w:id="5"/>
    </w:p>
    <w:p>
      <w:pPr>
        <w:pStyle w:val="TextBody"/>
        <w:bidi w:val="0"/>
        <w:spacing w:lineRule="auto" w:line="288" w:before="0" w:after="0"/>
        <w:ind w:left="0" w:right="0" w:hanging="180"/>
        <w:jc w:val="left"/>
        <w:rPr/>
      </w:pPr>
      <w:r>
        <w:rPr>
          <w:color w:val="0070C0"/>
          <w:shd w:fill="FFFFFF" w:val="clear"/>
        </w:rPr>
        <w:t>•</w:t>
      </w:r>
      <w:r>
        <w:rPr>
          <w:rFonts w:ascii="Franklin Gothic Book;sans-serif" w:hAnsi="Franklin Gothic Book;sans-serif"/>
          <w:b w:val="false"/>
          <w:color w:val="000000"/>
          <w:sz w:val="19"/>
        </w:rPr>
        <w:t>Global TYSABRI revenue decreased $7.6 million, from $462.2 million in 2024 to $454.6 million in 2025, or 1.6%, primarily due to increased competition, including the impacts from a biosimilar entrant of TYSABRI in Europe. The decrease was partially offset by an increase in U.S. TYSABRI driven by a favorable change in estimate of approximately $12.0 million related to rebates and discounts and favorable inventory dynamics.</w:t>
      </w:r>
    </w:p>
    <w:p>
      <w:pPr>
        <w:pStyle w:val="TextBody"/>
        <w:bidi w:val="0"/>
        <w:spacing w:lineRule="auto" w:line="288" w:before="60" w:after="283"/>
        <w:ind w:left="0" w:right="0" w:hanging="180"/>
        <w:jc w:val="left"/>
        <w:rPr/>
      </w:pPr>
      <w:r>
        <w:rPr>
          <w:color w:val="000000"/>
        </w:rPr>
        <w:t>•</w:t>
      </w:r>
      <w:r>
        <w:rPr>
          <w:rFonts w:ascii="Franklin Gothic Book;sans-serif" w:hAnsi="Franklin Gothic Book;sans-serif"/>
          <w:b w:val="false"/>
          <w:color w:val="000000"/>
          <w:sz w:val="19"/>
        </w:rPr>
        <w:t>Global TECFIDERA revenue decreased $58.6 million, from $252.2 million in 2024 to $193.6 million in 2025, or 23.2%, driven by a decrease in demand resulting from multiple TECFIDERA generic entrants.</w:t>
      </w:r>
    </w:p>
    <w:p>
      <w:pPr>
        <w:pStyle w:val="TextBody"/>
        <w:bidi w:val="0"/>
        <w:spacing w:lineRule="auto" w:line="288" w:before="60" w:after="283"/>
        <w:ind w:left="0" w:right="0" w:hanging="180"/>
        <w:jc w:val="left"/>
        <w:rPr/>
      </w:pPr>
      <w:r>
        <w:rPr>
          <w:color w:val="0070C0"/>
        </w:rPr>
        <w:t>•</w:t>
      </w:r>
      <w:r>
        <w:rPr>
          <w:rFonts w:ascii="Franklin Gothic Book;sans-serif" w:hAnsi="Franklin Gothic Book;sans-serif"/>
          <w:b w:val="false"/>
          <w:color w:val="000000"/>
          <w:sz w:val="19"/>
        </w:rPr>
        <w:t>Global Interferon revenue decreased $4.2 million, from $250.9 million in 2024 to $246.7 million in 2025, or 1.7%, as patients continue to transition to higher efficacy therapies. This decline is partially offset by favorable inventory dynamics in the U.S.</w:t>
      </w:r>
    </w:p>
    <w:p>
      <w:pPr>
        <w:pStyle w:val="TextBody"/>
        <w:bidi w:val="0"/>
        <w:spacing w:lineRule="auto" w:line="288" w:before="60" w:after="283"/>
        <w:ind w:left="0" w:right="0" w:hanging="180"/>
        <w:jc w:val="left"/>
        <w:rPr/>
      </w:pPr>
      <w:r>
        <w:rPr>
          <w:color w:val="0070C0"/>
          <w:shd w:fill="FFFFFF" w:val="clear"/>
        </w:rPr>
        <w:t>•</w:t>
      </w:r>
      <w:r>
        <w:rPr>
          <w:rFonts w:ascii="Franklin Gothic Book;sans-serif" w:hAnsi="Franklin Gothic Book;sans-serif"/>
          <w:b w:val="false"/>
          <w:color w:val="000000"/>
          <w:sz w:val="19"/>
        </w:rPr>
        <w:t>Global VUMERITY revenue increased $46.5 million, from $165.8 million in 2024 to $212.3 million in 2025, or 28.0%, primarily due to favorable commercial mix and a favorable change in estimate of approximately $22.0 million related to rebates and discounts, partially offset by charges related to the IRA.</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single" w:sz="4" w:space="0" w:color="679AC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300"/>
        <w:jc w:val="left"/>
        <w:rPr/>
      </w:pPr>
      <w:r>
        <w:rPr/>
        <w:drawing>
          <wp:inline distT="0" distB="0" distL="0" distR="0">
            <wp:extent cx="2857500" cy="2381250"/>
            <wp:effectExtent l="0" t="0" r="0" b="0"/>
            <wp:docPr id="6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 descr=""/>
                    <pic:cNvPicPr>
                      <a:picLocks noChangeAspect="1" noChangeArrowheads="1"/>
                    </pic:cNvPicPr>
                  </pic:nvPicPr>
                  <pic:blipFill>
                    <a:blip r:embed="rId8"/>
                    <a:stretch>
                      <a:fillRect/>
                    </a:stretch>
                  </pic:blipFill>
                  <pic:spPr bwMode="auto">
                    <a:xfrm>
                      <a:off x="0" y="0"/>
                      <a:ext cx="2857500" cy="2381250"/>
                    </a:xfrm>
                    <a:prstGeom prst="rect">
                      <a:avLst/>
                    </a:prstGeom>
                  </pic:spPr>
                </pic:pic>
              </a:graphicData>
            </a:graphic>
          </wp:inline>
        </w:drawing>
      </w:r>
      <w:bookmarkStart w:id="6" w:name="i-7"/>
      <w:bookmarkEnd w:id="6"/>
    </w:p>
    <w:p>
      <w:pPr>
        <w:pStyle w:val="TextBody"/>
        <w:bidi w:val="0"/>
        <w:spacing w:lineRule="auto" w:line="288" w:before="0" w:after="0"/>
        <w:ind w:left="0" w:right="0" w:hanging="180"/>
        <w:jc w:val="left"/>
        <w:rPr/>
      </w:pPr>
      <w:r>
        <w:rPr>
          <w:color w:val="0070C0"/>
        </w:rPr>
        <w:t>•</w:t>
      </w:r>
      <w:r>
        <w:rPr>
          <w:rFonts w:ascii="Franklin Gothic Book;sans-serif" w:hAnsi="Franklin Gothic Book;sans-serif"/>
          <w:b w:val="false"/>
          <w:color w:val="000000"/>
          <w:sz w:val="19"/>
        </w:rPr>
        <w:t>Global TYSABRI revenue decreased $57.4 million, from $893.5 million in 2024 to $836.1 million in 2025, or 6.4%, primarily due to a decrease in demand and pricing in rest of world TYSABRI, offset in part by favorable net pricing in the U.S.</w:t>
      </w:r>
    </w:p>
    <w:p>
      <w:pPr>
        <w:pStyle w:val="TextBody"/>
        <w:bidi w:val="0"/>
        <w:spacing w:lineRule="auto" w:line="288" w:before="60" w:after="283"/>
        <w:ind w:left="0" w:right="0" w:hanging="180"/>
        <w:jc w:val="left"/>
        <w:rPr/>
      </w:pPr>
      <w:r>
        <w:rPr>
          <w:color w:val="0070C0"/>
        </w:rPr>
        <w:t>•</w:t>
      </w:r>
      <w:r>
        <w:rPr>
          <w:rFonts w:ascii="Franklin Gothic Book;sans-serif" w:hAnsi="Franklin Gothic Book;sans-serif"/>
          <w:b w:val="false"/>
          <w:color w:val="000000"/>
          <w:sz w:val="19"/>
        </w:rPr>
        <w:t>Global TECFIDERA revenue decreased $106.8 million, from $506.5 million in 2024 to $399.7 million in 2025, or 21.1%, driven by a decrease in demand as a result of multiple TECFIDERA generic entrants.</w:t>
      </w:r>
    </w:p>
    <w:p>
      <w:pPr>
        <w:pStyle w:val="TextBody"/>
        <w:bidi w:val="0"/>
        <w:spacing w:lineRule="auto" w:line="288" w:before="60" w:after="283"/>
        <w:ind w:left="0" w:right="0" w:hanging="180"/>
        <w:jc w:val="left"/>
        <w:rPr/>
      </w:pPr>
      <w:r>
        <w:rPr>
          <w:color w:val="0070C0"/>
        </w:rPr>
        <w:t>•</w:t>
      </w:r>
      <w:r>
        <w:rPr>
          <w:rFonts w:ascii="Franklin Gothic Book;sans-serif" w:hAnsi="Franklin Gothic Book;sans-serif"/>
          <w:b w:val="false"/>
          <w:color w:val="000000"/>
          <w:sz w:val="19"/>
        </w:rPr>
        <w:t>Global Interferon revenue decreased $21.5 million, from $494.5 million in 2024 to $473.0 million in 2025, or 4.3%, driven by a decrease in demand as patients transition to higher efficacy therapies.</w:t>
      </w:r>
    </w:p>
    <w:p>
      <w:pPr>
        <w:pStyle w:val="TextBody"/>
        <w:bidi w:val="0"/>
        <w:spacing w:lineRule="auto" w:line="288" w:before="60" w:after="283"/>
        <w:ind w:left="0" w:right="0" w:hanging="180"/>
        <w:jc w:val="left"/>
        <w:rPr/>
      </w:pPr>
      <w:r>
        <w:rPr>
          <w:color w:val="0070C0"/>
          <w:shd w:fill="FFFFFF" w:val="clear"/>
        </w:rPr>
        <w:t>•</w:t>
      </w:r>
      <w:r>
        <w:rPr>
          <w:rFonts w:ascii="Franklin Gothic Book;sans-serif" w:hAnsi="Franklin Gothic Book;sans-serif"/>
          <w:b w:val="false"/>
          <w:color w:val="000000"/>
          <w:sz w:val="19"/>
        </w:rPr>
        <w:t>Global VUMERITY revenue increased $57.8 million, from $293.3 million in 2024 to $351.1 million in 2025, or 19.7%, primarily due to favorable commercial mix and a favorable change in estimate during the second quarter of 2025 of approximately $22.0 million related to rebates and discounts, partially offset by charges related to the IRA.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MS revenue includes sales from TECFIDERA, VUMERITY, AVONEX, PLEGRIDY, TYSABRI and FAMPYRA. Effective January 1, 2025, our collaboration and license agreement for FAMPYRA global commercialization rights was terminated. We expect to recognize minimal revenue in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2025 we expect total MS revenue will continue to decline as a result of increasing competition for many of our MS products in both the U.S. and rest of world markets.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TECFIDERA revenue will be adversely impacted by accelerating generic competition in certain markets in the E.U. for at least the remainder of the year.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a biosimilar entrant of TYSABRI was approved in the U.S. and the E.U. in 2023. We expect that future sales of TYSABRI will continue to be adversely affected by the entrance of this biosimilar in certain international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67"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tbl>
      <w:tblPr>
        <w:tblW w:w="1902" w:type="dxa"/>
        <w:jc w:val="left"/>
        <w:tblInd w:w="0" w:type="dxa"/>
        <w:tblLayout w:type="fixed"/>
        <w:tblCellMar>
          <w:top w:w="28" w:type="dxa"/>
          <w:left w:w="28" w:type="dxa"/>
          <w:bottom w:w="28" w:type="dxa"/>
          <w:right w:w="28" w:type="dxa"/>
        </w:tblCellMar>
      </w:tblPr>
      <w:tblGrid>
        <w:gridCol w:w="329"/>
        <w:gridCol w:w="290"/>
        <w:gridCol w:w="290"/>
        <w:gridCol w:w="290"/>
        <w:gridCol w:w="290"/>
        <w:gridCol w:w="413"/>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02"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RARE DISEASE</w:t>
            </w:r>
          </w:p>
        </w:tc>
      </w:tr>
    </w:tbl>
    <w:p>
      <w:pPr>
        <w:pStyle w:val="TextBody"/>
        <w:bidi w:val="0"/>
        <w:spacing w:before="60" w:after="283"/>
        <w:ind w:left="0" w:right="0" w:hanging="360"/>
        <w:jc w:val="left"/>
        <w:rPr/>
      </w:pPr>
      <w:r>
        <w:rPr/>
        <w:drawing>
          <wp:inline distT="0" distB="0" distL="0" distR="0">
            <wp:extent cx="2857500" cy="4114800"/>
            <wp:effectExtent l="0" t="0" r="0" b="0"/>
            <wp:docPr id="6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8" descr=""/>
                    <pic:cNvPicPr>
                      <a:picLocks noChangeAspect="1" noChangeArrowheads="1"/>
                    </pic:cNvPicPr>
                  </pic:nvPicPr>
                  <pic:blipFill>
                    <a:blip r:embed="rId9"/>
                    <a:stretch>
                      <a:fillRect/>
                    </a:stretch>
                  </pic:blipFill>
                  <pic:spPr bwMode="auto">
                    <a:xfrm>
                      <a:off x="0" y="0"/>
                      <a:ext cx="2857500" cy="4114800"/>
                    </a:xfrm>
                    <a:prstGeom prst="rect">
                      <a:avLst/>
                    </a:prstGeom>
                  </pic:spPr>
                </pic:pic>
              </a:graphicData>
            </a:graphic>
          </wp:inline>
        </w:drawing>
      </w:r>
      <w:bookmarkStart w:id="7" w:name="i-8"/>
      <w:bookmarkEnd w:id="7"/>
    </w:p>
    <w:p>
      <w:pPr>
        <w:pStyle w:val="TextBody"/>
        <w:bidi w:val="0"/>
        <w:spacing w:lineRule="auto" w:line="288" w:before="0" w:after="0"/>
        <w:ind w:left="0" w:right="0" w:hanging="360"/>
        <w:jc w:val="left"/>
        <w:rPr/>
      </w:pPr>
      <w:r>
        <w:rPr>
          <w:color w:val="0070C0"/>
          <w:shd w:fill="FFFFFF" w:val="clear"/>
        </w:rPr>
        <w:t>•</w:t>
      </w:r>
      <w:r>
        <w:rPr>
          <w:rFonts w:ascii="Franklin Gothic Book;sans-serif" w:hAnsi="Franklin Gothic Book;sans-serif"/>
          <w:b w:val="false"/>
          <w:color w:val="000000"/>
          <w:sz w:val="20"/>
        </w:rPr>
        <w:t>U.S. SPINRAZA revenue decreased $8.0 million, from $157.3 million in 2024 to $149.3 million in 2025, or 5.1%, primarily due to lower demand.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Rest of world SPINRAZA revenue decreased $28.4 million, from $271.8 million in 2024 to $243.4 million in 2025, or 10.4%, partially due to lower demand, timing of shipments and the unfavorable impact of foreign currency exchange.</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Global SKYCLARYS revenue increased $30.3 million, from $100.0 million in 2024 to $130.3 million in 2025, or 30.3%, primarily related to an increase in rest of world sales volumes driven by the continued launch in Europe and certain markets in the Middle East.</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Global QALSODY revenue increased $15.0 million, from $5.0 million in 2024 to $20.0 million in 2025, or 300.0%, primarily related to an increase in rest of world sales volumes driven by the continued launch in international markets.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dotted" w:sz="2"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857500" cy="3286125"/>
            <wp:effectExtent l="0" t="0" r="0" b="0"/>
            <wp:docPr id="6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9" descr=""/>
                    <pic:cNvPicPr>
                      <a:picLocks noChangeAspect="1" noChangeArrowheads="1"/>
                    </pic:cNvPicPr>
                  </pic:nvPicPr>
                  <pic:blipFill>
                    <a:blip r:embed="rId10"/>
                    <a:stretch>
                      <a:fillRect/>
                    </a:stretch>
                  </pic:blipFill>
                  <pic:spPr bwMode="auto">
                    <a:xfrm>
                      <a:off x="0" y="0"/>
                      <a:ext cx="2857500" cy="3286125"/>
                    </a:xfrm>
                    <a:prstGeom prst="rect">
                      <a:avLst/>
                    </a:prstGeom>
                  </pic:spPr>
                </pic:pic>
              </a:graphicData>
            </a:graphic>
          </wp:inline>
        </w:drawing>
      </w:r>
      <w:bookmarkStart w:id="8" w:name="i-9"/>
      <w:bookmarkEnd w:id="8"/>
    </w:p>
    <w:p>
      <w:pPr>
        <w:pStyle w:val="TextBody"/>
        <w:bidi w:val="0"/>
        <w:spacing w:lineRule="auto" w:line="288" w:before="0" w:after="0"/>
        <w:ind w:left="0" w:right="0" w:hanging="360"/>
        <w:jc w:val="left"/>
        <w:rPr/>
      </w:pPr>
      <w:r>
        <w:rPr>
          <w:color w:val="0070C0"/>
          <w:shd w:fill="FFFFFF" w:val="clear"/>
        </w:rPr>
        <w:t>•</w:t>
      </w:r>
      <w:r>
        <w:rPr>
          <w:rFonts w:ascii="Franklin Gothic Book;sans-serif" w:hAnsi="Franklin Gothic Book;sans-serif"/>
          <w:b w:val="false"/>
          <w:color w:val="000000"/>
          <w:sz w:val="20"/>
        </w:rPr>
        <w:t>U.S. SPINRAZA revenue decreased $2.1 million, from $305.8 million in 2024 to $303.7 million in 2025, or 0.7%.</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Rest of world SPINRAZA revenue increased $48.3 million, from $464.6 million in 2024 to $512.9 million in 2025, or 10.4%, partially due to a one-time VAT refund received in 2025 of approximately $18.1 million and the timing of shipments in rest of world markets, partially offset by lower demand and the unfavorable impact of foreign currency exchange.</w:t>
      </w:r>
    </w:p>
    <w:p>
      <w:pPr>
        <w:pStyle w:val="TextBody"/>
        <w:bidi w:val="0"/>
        <w:spacing w:lineRule="auto" w:line="288" w:before="60" w:after="283"/>
        <w:ind w:left="0" w:right="0" w:hanging="360"/>
        <w:jc w:val="left"/>
        <w:rPr/>
      </w:pPr>
      <w:r>
        <w:rPr>
          <w:color w:val="0070C0"/>
          <w:shd w:fill="FFFFFF" w:val="clear"/>
        </w:rPr>
        <w:t>•</w:t>
      </w:r>
      <w:r>
        <w:rPr>
          <w:rFonts w:ascii="Franklin Gothic Book;sans-serif" w:hAnsi="Franklin Gothic Book;sans-serif"/>
          <w:b w:val="false"/>
          <w:color w:val="000000"/>
          <w:sz w:val="20"/>
        </w:rPr>
        <w:t>Global SKYCLARYS revenue increased $76.2 million, from $178.0 million in 2024 to $254.2 million in 2025, or 42.8%, primarily related to primarily related to an increase in rest of world sales volumes driven by the continued launch in Europe and certain markets in the Middle East.</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Global QALSODY revenue</w:t>
      </w:r>
      <w:r>
        <w:rPr>
          <w:color w:val="000000"/>
        </w:rPr>
        <w:t xml:space="preserve"> </w:t>
      </w:r>
      <w:r>
        <w:rPr>
          <w:rFonts w:ascii="Franklin Gothic Book;sans-serif" w:hAnsi="Franklin Gothic Book;sans-serif"/>
          <w:b w:val="false"/>
          <w:color w:val="000000"/>
          <w:sz w:val="20"/>
        </w:rPr>
        <w:t>increased $25.9 million, from $9.6 million in 2024 to $35.5 million in 2025, or 269.8%, primarily related to an increase in rest of world sales volumes driven by the continued launch in international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Rare disease revenue includes sales from SPINRAZA, QALSODY and SKYCLARYS, which became commercially available in the E.U. during the first quarter of 2024.</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2025 we expect growth in rare disease revenue as we continue to launch SKYCLARYS in the U.S., Europe and in certain rest of world markets. We anticipate global SPINRAZA revenue to be relatively flat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0"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tbl>
      <w:tblPr>
        <w:tblW w:w="1591" w:type="dxa"/>
        <w:jc w:val="left"/>
        <w:tblInd w:w="0" w:type="dxa"/>
        <w:tblLayout w:type="fixed"/>
        <w:tblCellMar>
          <w:top w:w="28" w:type="dxa"/>
          <w:left w:w="28" w:type="dxa"/>
          <w:bottom w:w="28" w:type="dxa"/>
          <w:right w:w="28" w:type="dxa"/>
        </w:tblCellMar>
      </w:tblPr>
      <w:tblGrid>
        <w:gridCol w:w="276"/>
        <w:gridCol w:w="242"/>
        <w:gridCol w:w="242"/>
        <w:gridCol w:w="242"/>
        <w:gridCol w:w="242"/>
        <w:gridCol w:w="347"/>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591" w:type="dxa"/>
            <w:gridSpan w:val="6"/>
            <w:tcBorders>
              <w:bottom w:val="single" w:sz="8" w:space="0" w:color="0070C0"/>
            </w:tcBorders>
            <w:tcMar>
              <w:top w:w="0" w:type="dxa"/>
              <w:left w:w="0" w:type="dxa"/>
              <w:bottom w:w="30" w:type="dxa"/>
              <w:right w:w="0" w:type="dxa"/>
            </w:tcMar>
            <w:vAlign w:val="center"/>
          </w:tcPr>
          <w:p>
            <w:pPr>
              <w:pStyle w:val="TableContents"/>
              <w:bidi w:val="0"/>
              <w:spacing w:lineRule="auto" w:line="240" w:before="0" w:after="283"/>
              <w:jc w:val="left"/>
              <w:rPr>
                <w:rFonts w:ascii="Franklin Gothic Demi;sans-serif" w:hAnsi="Franklin Gothic Demi;sans-serif"/>
                <w:b w:val="false"/>
                <w:color w:val="0070C0"/>
                <w:sz w:val="22"/>
              </w:rPr>
            </w:pPr>
            <w:r>
              <w:rPr>
                <w:rFonts w:ascii="Franklin Gothic Demi;sans-serif" w:hAnsi="Franklin Gothic Demi;sans-serif"/>
                <w:b w:val="false"/>
                <w:color w:val="0070C0"/>
                <w:sz w:val="22"/>
              </w:rPr>
              <w:t>BIOSIMILARS</w:t>
            </w:r>
          </w:p>
        </w:tc>
      </w:tr>
    </w:tbl>
    <w:p>
      <w:pPr>
        <w:pStyle w:val="TextBody"/>
        <w:bidi w:val="0"/>
        <w:spacing w:before="0" w:after="300"/>
        <w:jc w:val="left"/>
        <w:rPr/>
      </w:pPr>
      <w:r>
        <w:rPr/>
        <w:drawing>
          <wp:inline distT="0" distB="0" distL="0" distR="0">
            <wp:extent cx="2924175" cy="4572000"/>
            <wp:effectExtent l="0" t="0" r="0" b="0"/>
            <wp:docPr id="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0" descr=""/>
                    <pic:cNvPicPr>
                      <a:picLocks noChangeAspect="1" noChangeArrowheads="1"/>
                    </pic:cNvPicPr>
                  </pic:nvPicPr>
                  <pic:blipFill>
                    <a:blip r:embed="rId11"/>
                    <a:stretch>
                      <a:fillRect/>
                    </a:stretch>
                  </pic:blipFill>
                  <pic:spPr bwMode="auto">
                    <a:xfrm>
                      <a:off x="0" y="0"/>
                      <a:ext cx="2924175" cy="4572000"/>
                    </a:xfrm>
                    <a:prstGeom prst="rect">
                      <a:avLst/>
                    </a:prstGeom>
                  </pic:spPr>
                </pic:pic>
              </a:graphicData>
            </a:graphic>
          </wp:inline>
        </w:drawing>
      </w:r>
      <w:bookmarkStart w:id="9" w:name="i-10"/>
      <w:bookmarkEnd w:id="9"/>
    </w:p>
    <w:p>
      <w:pPr>
        <w:pStyle w:val="TextBody"/>
        <w:bidi w:val="0"/>
        <w:spacing w:lineRule="auto" w:line="288" w:before="0" w:after="0"/>
        <w:ind w:left="0" w:right="0" w:hanging="360"/>
        <w:jc w:val="left"/>
        <w:rPr/>
      </w:pPr>
      <w:r>
        <w:rPr>
          <w:color w:val="0070C0"/>
          <w:shd w:fill="FFFFFF" w:val="clear"/>
        </w:rPr>
        <w:t>•</w:t>
      </w:r>
      <w:r>
        <w:rPr>
          <w:rFonts w:ascii="Franklin Gothic Book;sans-serif" w:hAnsi="Franklin Gothic Book;sans-serif"/>
          <w:b w:val="false"/>
          <w:color w:val="000000"/>
          <w:sz w:val="20"/>
        </w:rPr>
        <w:t>For the three months ended June 30, 2025, compared to the same period of 2024, the decrease in biosimilar revenue was primarily due to a decrease in sales volumes related to IMRALDI and a decrease in pricing due to competitive pressures in Europe.</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For the six months ended June 30, 2025, compared to the same period in 2024, the decrease in biosimilar revenue was primarily due to a decrease in sales volumes related to IMRALDI, the unfavorable impact of foreign currency exchange and a decrease in pricing due to competitive pressures in Europe</w:t>
      </w:r>
      <w:r>
        <w:rPr>
          <w:rFonts w:ascii="Franklin Gothic Book;sans-serif" w:hAnsi="Franklin Gothic Book;sans-serif"/>
          <w:b w:val="false"/>
          <w:color w:val="EE2724"/>
          <w:sz w:val="20"/>
        </w:rPr>
        <w: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bottom w:val="dotted" w:sz="2" w:space="0" w:color="0070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Biosimilars revenue includes sales from BENEPALI, IMRALDI, FLIXABI, BYOOVIZ and TOFIDENCE.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continue to work with our third-party contract manufacturers for IMRALDI and BENEPALI to address supply constraints. If not resolved these supply constraints could have an adverse impact on 2025 sales. In addition, one of our contract manufacturers for IMRALDI and BENEPALI was acquired by a third party in December 2024. We have evaluated the impact this will have on our biosimilars business and have mitigation activities in progress designed to ensure supply continuity.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2"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REVENUE FROM ANTI-CD20 THERAPEUTIC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share of RITUXAN, including RITUXAN HYCELA, GAZYVA and LUNSUMIO collaboration operating profits in the U.S., royalty revenue on sales of OCREVUS and other revenue from anti-CD20 therapeutic programs are summarized in the table below. For purposes of this discussion, we refer to RITUXAN and RITUXAN HYCELA collectively as RITUXAN.</w:t>
      </w:r>
    </w:p>
    <w:tbl>
      <w:tblPr>
        <w:tblW w:w="10205" w:type="dxa"/>
        <w:jc w:val="left"/>
        <w:tblInd w:w="0" w:type="dxa"/>
        <w:tblLayout w:type="fixed"/>
        <w:tblCellMar>
          <w:top w:w="28" w:type="dxa"/>
          <w:left w:w="28" w:type="dxa"/>
          <w:bottom w:w="28" w:type="dxa"/>
          <w:right w:w="28" w:type="dxa"/>
        </w:tblCellMar>
      </w:tblPr>
      <w:tblGrid>
        <w:gridCol w:w="1470"/>
        <w:gridCol w:w="1198"/>
        <w:gridCol w:w="1204"/>
        <w:gridCol w:w="109"/>
        <w:gridCol w:w="109"/>
        <w:gridCol w:w="109"/>
        <w:gridCol w:w="275"/>
        <w:gridCol w:w="805"/>
        <w:gridCol w:w="142"/>
        <w:gridCol w:w="142"/>
        <w:gridCol w:w="142"/>
        <w:gridCol w:w="142"/>
        <w:gridCol w:w="275"/>
        <w:gridCol w:w="805"/>
        <w:gridCol w:w="142"/>
        <w:gridCol w:w="109"/>
        <w:gridCol w:w="109"/>
        <w:gridCol w:w="109"/>
        <w:gridCol w:w="263"/>
        <w:gridCol w:w="769"/>
        <w:gridCol w:w="136"/>
        <w:gridCol w:w="136"/>
        <w:gridCol w:w="136"/>
        <w:gridCol w:w="136"/>
        <w:gridCol w:w="263"/>
        <w:gridCol w:w="769"/>
        <w:gridCol w:w="201"/>
      </w:tblGrid>
      <w:tr>
        <w:trPr/>
        <w:tc>
          <w:tcPr>
            <w:tcW w:w="147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revenue on sales of OCREVUS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353.8 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336.3 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642.6 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639.0 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pre-tax profits in the U.S. for RITUXAN, GAZYVA and LUNSUMIO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107.7 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191.4 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11.5 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467.3 </w:t>
            </w:r>
          </w:p>
        </w:tc>
        <w:tc>
          <w:tcPr>
            <w:tcW w:w="1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444.5 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845.5 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838.5 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Demi;sans-serif" w:hAnsi="Franklin Gothic Demi;sans-serif"/>
          <w:b w:val="false"/>
          <w:color w:val="000000"/>
          <w:sz w:val="24"/>
          <w:shd w:fill="FFFFFF" w:val="clear"/>
        </w:rPr>
      </w:pPr>
      <w:r>
        <w:rPr>
          <w:rFonts w:ascii="Franklin Gothic Demi;sans-serif" w:hAnsi="Franklin Gothic Demi;sans-serif"/>
          <w:b w:val="false"/>
          <w:color w:val="000000"/>
          <w:sz w:val="24"/>
          <w:shd w:fill="FFFFFF" w:val="clear"/>
        </w:rPr>
        <w:t>ROYALTY REVENUE ON SALES OF OCREVUS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increases in royalty revenue on sales of OCREVUS were primarily due to sales growth of OCREVUS in the 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pStyle w:val="TextBody"/>
        <w:bidi w:val="0"/>
        <w:spacing w:lineRule="auto" w:line="288" w:before="120" w:after="283"/>
        <w:jc w:val="left"/>
        <w:rPr>
          <w:rFonts w:ascii="Franklin Gothic Demi;sans-serif" w:hAnsi="Franklin Gothic Demi;sans-serif"/>
          <w:b w:val="false"/>
          <w:color w:val="000000"/>
          <w:sz w:val="24"/>
          <w:shd w:fill="FFFFFF" w:val="clear"/>
        </w:rPr>
      </w:pPr>
      <w:r>
        <w:rPr>
          <w:rFonts w:ascii="Franklin Gothic Demi;sans-serif" w:hAnsi="Franklin Gothic Demi;sans-serif"/>
          <w:b w:val="false"/>
          <w:color w:val="000000"/>
          <w:sz w:val="24"/>
          <w:shd w:fill="FFFFFF" w:val="clear"/>
        </w:rPr>
        <w:t>BIOGEN'S SHARE OF PRE-TAX PROFITS IN THE U.S. FOR RITUXAN, GAZYVA AND LUNSUMIO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increases in our share of pre-tax profits in the U.S. for RITUXAN, GAZYVA and LUNSUMIO were primarily due to increases in sales volumes of GAZYVA of 13.3% and 15.2%, respectively, partially offset by decreases in sales volumes of RITUXAN of 7.2% and 8.1%, respectively, as a result of competition from multiple biosimilar products.</w:t>
      </w:r>
    </w:p>
    <w:p>
      <w:pPr>
        <w:pStyle w:val="TextBody"/>
        <w:bidi w:val="0"/>
        <w:spacing w:lineRule="auto" w:line="288" w:before="120" w:after="283"/>
        <w:jc w:val="left"/>
        <w:rPr>
          <w:rFonts w:ascii="Franklin Gothic Demi;sans-serif" w:hAnsi="Franklin Gothic Demi;sans-serif"/>
          <w:b w:val="false"/>
          <w:color w:val="000000"/>
          <w:sz w:val="24"/>
          <w:shd w:fill="FFFFFF" w:val="clear"/>
        </w:rPr>
      </w:pPr>
      <w:r>
        <w:rPr>
          <w:rFonts w:ascii="Franklin Gothic Demi;sans-serif" w:hAnsi="Franklin Gothic Demi;sans-serif"/>
          <w:b w:val="false"/>
          <w:color w:val="000000"/>
          <w:sz w:val="24"/>
          <w:shd w:fill="FFFFFF" w:val="clear"/>
        </w:rPr>
        <w:t>OTHER REVENUE FROM ANTI-CD20 THERAPEUTIC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revenue from anti-CD20 therapeutic programs consists of our share of pre-tax co-promotion profits from RITUXAN in Canada, royalty revenue on sales of LUNSUMIO outside the U.S. and royalty revenue on net sales of COLUMVI in the U.S.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Genentech, including information regarding the pre-tax profit-sharing formula and its impact on future revenue from anti-CD20 therapeutic programs, please read </w:t>
      </w:r>
      <w:r>
        <w:rPr>
          <w:rFonts w:ascii="Franklin Gothic Book;sans-serif" w:hAnsi="Franklin Gothic Book;sans-serif"/>
          <w:b w:val="false"/>
          <w:i/>
          <w:color w:val="000000"/>
          <w:sz w:val="20"/>
        </w:rPr>
        <w:t>Note 19,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ALZHEIMER'S COLLABORATION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we recognized Alzheimer's collaboration revenue of approximately $54.9 million and $87.9 million, respectively, compared to $11.8 million and $14.6 million, respectively, in the prior year comparative periods. The increases were primarily due to higher sales volumes driven by the continued launch of LEQEMBI in the U.S. and international markets. Additionally, the second quarter of 2025 reflects the favorable impact from the timing of shipments to China as we optimized our global inventory positions.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3"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CONTRACT MANUFACTURING, ROYALTY AND OTHER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 is summarized as follows:</w:t>
      </w:r>
    </w:p>
    <w:tbl>
      <w:tblPr>
        <w:tblW w:w="10205" w:type="dxa"/>
        <w:jc w:val="left"/>
        <w:tblInd w:w="0" w:type="dxa"/>
        <w:tblLayout w:type="fixed"/>
        <w:tblCellMar>
          <w:top w:w="28" w:type="dxa"/>
          <w:left w:w="28" w:type="dxa"/>
          <w:bottom w:w="28" w:type="dxa"/>
          <w:right w:w="28" w:type="dxa"/>
        </w:tblCellMar>
      </w:tblPr>
      <w:tblGrid>
        <w:gridCol w:w="1285"/>
        <w:gridCol w:w="1115"/>
        <w:gridCol w:w="1127"/>
        <w:gridCol w:w="109"/>
        <w:gridCol w:w="109"/>
        <w:gridCol w:w="109"/>
        <w:gridCol w:w="293"/>
        <w:gridCol w:w="858"/>
        <w:gridCol w:w="151"/>
        <w:gridCol w:w="151"/>
        <w:gridCol w:w="151"/>
        <w:gridCol w:w="151"/>
        <w:gridCol w:w="293"/>
        <w:gridCol w:w="858"/>
        <w:gridCol w:w="151"/>
        <w:gridCol w:w="109"/>
        <w:gridCol w:w="109"/>
        <w:gridCol w:w="109"/>
        <w:gridCol w:w="278"/>
        <w:gridCol w:w="812"/>
        <w:gridCol w:w="143"/>
        <w:gridCol w:w="143"/>
        <w:gridCol w:w="143"/>
        <w:gridCol w:w="143"/>
        <w:gridCol w:w="278"/>
        <w:gridCol w:w="812"/>
        <w:gridCol w:w="215"/>
      </w:tblGrid>
      <w:tr>
        <w:trPr/>
        <w:tc>
          <w:tcPr>
            <w:tcW w:w="12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225.0 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507.3 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252.2 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19.6 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30.6 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244.6 </w:t>
            </w:r>
          </w:p>
        </w:tc>
        <w:tc>
          <w:tcPr>
            <w:tcW w:w="1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109.0 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537.9 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290.8 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Demi;sans-serif" w:hAnsi="Franklin Gothic Demi;sans-serif"/>
          <w:b w:val="false"/>
          <w:color w:val="000000"/>
          <w:sz w:val="22"/>
          <w:shd w:fill="FFFFFF" w:val="clear"/>
        </w:rPr>
      </w:pPr>
      <w:r>
        <w:rPr>
          <w:rFonts w:ascii="Franklin Gothic Demi;sans-serif" w:hAnsi="Franklin Gothic Demi;sans-serif"/>
          <w:b w:val="false"/>
          <w:color w:val="000000"/>
          <w:sz w:val="22"/>
          <w:shd w:fill="FFFFFF" w:val="clear"/>
        </w:rPr>
        <w:t>CONTRACT MANUFACTURING REVENUE</w:t>
      </w:r>
    </w:p>
    <w:p>
      <w:pPr>
        <w:pStyle w:val="TextBody"/>
        <w:bidi w:val="0"/>
        <w:spacing w:lineRule="auto" w:line="288" w:before="14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revenue primarily reflects amounts earned under contract manufacturing agreements with our strategic customers and batches of LEQEMBI related to our collaboration with Eisai.</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increases in contract manufacturing revenue were primarily driven by the timing of certain batch commitments related to our contract manufacturing business.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Full-year contract manufacturing revenue for 2025 is anticipated to remain relatively flat when compared to 2024, due in part to planned plant maintenance activities in the fourth quarter of 2025.</w:t>
      </w:r>
    </w:p>
    <w:p>
      <w:pPr>
        <w:pStyle w:val="TextBody"/>
        <w:bidi w:val="0"/>
        <w:spacing w:lineRule="auto" w:line="288" w:before="120" w:after="283"/>
        <w:jc w:val="left"/>
        <w:rPr>
          <w:rFonts w:ascii="Franklin Gothic Demi;sans-serif" w:hAnsi="Franklin Gothic Demi;sans-serif"/>
          <w:b w:val="false"/>
          <w:color w:val="000000"/>
          <w:sz w:val="22"/>
          <w:shd w:fill="FFFFFF" w:val="clear"/>
        </w:rPr>
      </w:pPr>
      <w:r>
        <w:rPr>
          <w:rFonts w:ascii="Franklin Gothic Demi;sans-serif" w:hAnsi="Franklin Gothic Demi;sans-serif"/>
          <w:b w:val="false"/>
          <w:color w:val="000000"/>
          <w:sz w:val="22"/>
          <w:shd w:fill="FFFFFF" w:val="clear"/>
        </w:rPr>
        <w:t>ROYALTY AND OTHER REVENUE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Royalty and other revenue primarily reflects royalty revenue on biosimilar products from our license arrangements with Samsung Bioepis and royalties we receive from net sales on products related to patents that we have out-licensed.</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license arrangements with Samsung Bioepis and our collaboration arrangements with Eisai,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RESERVES FOR DISCOUNTS AND ALLOWANCES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product sales is recorded net of reserves established for applicable discounts and allowances, including those associated with the implementation of pricing actions in certain international markets where we operate.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expect the IRA's drug pricing controls and Medicare Part D redesign may have an adverse impact on our full-year sales, particularly for our products that are more substantially reliant on Medicare reimbursement. We anticipate the IRA Medicare Part D redesign will have a modest net unfavorable impact to our 2025 revenue, ranging from approximately $50.0 million to $100.0 million, concentrated in our SKYCLARYS and MS portfolio product revenue, approximately a third of which could be associated with SKYCLARYS.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degree of impact from this legislation on our business depends on a number of forthcoming implementation actions by regulatory authorities, which may be further impacted by other legislative acts that may modify or replace the IRA, such as the OBBBA. The full extent of the IRA's impacts on our sales and, in turn, our business, remains uncertain.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Reserves for discounts, contractual adjustments and returns that reduced gross product revenue are summarized as follows:</w:t>
      </w:r>
    </w:p>
    <w:tbl>
      <w:tblPr>
        <w:tblW w:w="10205" w:type="dxa"/>
        <w:jc w:val="left"/>
        <w:tblInd w:w="0" w:type="dxa"/>
        <w:tblLayout w:type="fixed"/>
        <w:tblCellMar>
          <w:top w:w="28" w:type="dxa"/>
          <w:left w:w="28" w:type="dxa"/>
          <w:bottom w:w="28" w:type="dxa"/>
          <w:right w:w="28" w:type="dxa"/>
        </w:tblCellMar>
      </w:tblPr>
      <w:tblGrid>
        <w:gridCol w:w="960"/>
        <w:gridCol w:w="844"/>
        <w:gridCol w:w="844"/>
        <w:gridCol w:w="109"/>
        <w:gridCol w:w="109"/>
        <w:gridCol w:w="109"/>
        <w:gridCol w:w="339"/>
        <w:gridCol w:w="991"/>
        <w:gridCol w:w="175"/>
        <w:gridCol w:w="175"/>
        <w:gridCol w:w="175"/>
        <w:gridCol w:w="175"/>
        <w:gridCol w:w="339"/>
        <w:gridCol w:w="991"/>
        <w:gridCol w:w="175"/>
        <w:gridCol w:w="109"/>
        <w:gridCol w:w="109"/>
        <w:gridCol w:w="109"/>
        <w:gridCol w:w="279"/>
        <w:gridCol w:w="1014"/>
        <w:gridCol w:w="143"/>
        <w:gridCol w:w="143"/>
        <w:gridCol w:w="143"/>
        <w:gridCol w:w="143"/>
        <w:gridCol w:w="279"/>
        <w:gridCol w:w="1014"/>
        <w:gridCol w:w="210"/>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2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Contractual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680.1 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662.2 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1,338.4 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1,327.9 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208.4 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217.3 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395.5 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404.9 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8.7 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18.2 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discounts and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897.2 </w:t>
            </w:r>
          </w:p>
        </w:tc>
        <w:tc>
          <w:tcPr>
            <w:tcW w:w="1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892.2 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1,752.1 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1,756.1 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and six months ended June 30, 2025, reserves for discounts and allowances as a percentage of gross product revenue were 31.9% and 32.5%, respectively, compared to 31.6% and 32.4%, respectively, in the prior year comparative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4"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CONTRACTUAL ADJUSTMENTS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Contractual adjustments primarily relate to Medicaid and managed care rebates in the U.S., pharmacy rebates, co-payment (copay) assistance, VA, 340B discounts, specialty pharmacy program fees and other government rebates or applicable allowances.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increases in contractual adjustments were primarily due to higher government rebates in rest of world and higher Medicare manufacturer reserves driven by the IRA Medicare Part D redesign, partially offset by lower managed care rebates due in part to approximately $45.0 million of favorable changes in estimates during the second quarter of 2025, as well as lower co-pay assistance in the U.S.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DISCOUNTS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Discounts include trade term discounts, wholesaler incentives and volume related discounts.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decreases in discounts were primarily driven by lower purchase discounts in the U.S. and rest of world and lower volume discounts for biosimilars, partially offset by higher volume discounts in the U.S. for TYSABRI.</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RETURNS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estimated product returns are recognized in the period the related revenue is recognized, resulting in a reduction to product sales.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decreases in returns were primarily driven by lower returns in the U.S., partially offset by higher returns in rest of world.</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revenue reserves, please read </w:t>
      </w:r>
      <w:r>
        <w:rPr>
          <w:rFonts w:ascii="Franklin Gothic Book;sans-serif" w:hAnsi="Franklin Gothic Book;sans-serif"/>
          <w:b w:val="false"/>
          <w:i/>
          <w:color w:val="000000"/>
          <w:sz w:val="20"/>
        </w:rPr>
        <w:t>Note 5, Revenue,</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5"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COST AND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total cost and expense is as follows:</w:t>
      </w:r>
    </w:p>
    <w:tbl>
      <w:tblPr>
        <w:tblW w:w="10205" w:type="dxa"/>
        <w:jc w:val="left"/>
        <w:tblInd w:w="0" w:type="dxa"/>
        <w:tblLayout w:type="fixed"/>
        <w:tblCellMar>
          <w:top w:w="28" w:type="dxa"/>
          <w:left w:w="28" w:type="dxa"/>
          <w:bottom w:w="28" w:type="dxa"/>
          <w:right w:w="28" w:type="dxa"/>
        </w:tblCellMar>
      </w:tblPr>
      <w:tblGrid>
        <w:gridCol w:w="1684"/>
        <w:gridCol w:w="1387"/>
        <w:gridCol w:w="1394"/>
        <w:gridCol w:w="109"/>
        <w:gridCol w:w="109"/>
        <w:gridCol w:w="109"/>
        <w:gridCol w:w="211"/>
        <w:gridCol w:w="766"/>
        <w:gridCol w:w="109"/>
        <w:gridCol w:w="109"/>
        <w:gridCol w:w="109"/>
        <w:gridCol w:w="109"/>
        <w:gridCol w:w="211"/>
        <w:gridCol w:w="766"/>
        <w:gridCol w:w="109"/>
        <w:gridCol w:w="109"/>
        <w:gridCol w:w="109"/>
        <w:gridCol w:w="109"/>
        <w:gridCol w:w="220"/>
        <w:gridCol w:w="642"/>
        <w:gridCol w:w="114"/>
        <w:gridCol w:w="109"/>
        <w:gridCol w:w="109"/>
        <w:gridCol w:w="109"/>
        <w:gridCol w:w="328"/>
        <w:gridCol w:w="334"/>
        <w:gridCol w:w="622"/>
      </w:tblGrid>
      <w:tr>
        <w:trPr/>
        <w:tc>
          <w:tcPr>
            <w:tcW w:w="16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59.0 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10.8 </w:t>
            </w:r>
          </w:p>
        </w:tc>
        <w:tc>
          <w:tcPr>
            <w:tcW w:w="6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(106.4)</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(21.1)</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Acquired in-process research and development,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38.1 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448.2 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583.8 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5.4 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44.0 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50.6 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profit sharing/(loss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20.2 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 loss on fair value remeasurement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(7.3)</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(110.6)</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 on sale of priority review voucher,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88.6 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(36.5)</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(42.8)</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1,901.5 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135.3 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7.7 </w:t>
            </w:r>
          </w:p>
        </w:tc>
        <w:tc>
          <w:tcPr>
            <w:tcW w:w="6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1,234.3 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146.1 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13.4 </w:t>
            </w:r>
          </w:p>
        </w:tc>
        <w:tc>
          <w:tcPr>
            <w:tcW w:w="6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833.1 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(117.7)</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(12.4)</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Acquired in-process research and development, upfront and milestone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231.3 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1,156.3 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21.0 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77.5 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46.9 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profit sharing/(loss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4.0 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 loss on fair value remeasurement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16.5 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91.2 </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 on sale of priority review voucher,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88.6 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(61.8)</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(34.5)</w:t>
            </w:r>
          </w:p>
        </w:tc>
        <w:tc>
          <w:tcPr>
            <w:tcW w:w="6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4,021.3 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3,591.9 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429.4 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12.0 </w:t>
            </w:r>
          </w:p>
        </w:tc>
        <w:tc>
          <w:tcPr>
            <w:tcW w:w="6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nm</w:t>
      </w:r>
      <w:r>
        <w:rPr>
          <w:color w:val="000000"/>
        </w:rPr>
        <w:t xml:space="preserve"> </w:t>
      </w:r>
      <w:r>
        <w:rPr>
          <w:rFonts w:ascii="Franklin Gothic Book;sans-serif" w:hAnsi="Franklin Gothic Book;sans-serif"/>
          <w:b w:val="false"/>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6"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COST OF SALES, EXCLUDING AMORTIZATION AND IMPAIRMENT OF ACQUIRED INTANGIBLE ASSETS</w:t>
      </w:r>
    </w:p>
    <w:tbl>
      <w:tblPr>
        <w:tblW w:w="9269" w:type="dxa"/>
        <w:jc w:val="left"/>
        <w:tblInd w:w="0" w:type="dxa"/>
        <w:tblLayout w:type="fixed"/>
        <w:tblCellMar>
          <w:top w:w="28" w:type="dxa"/>
          <w:left w:w="28" w:type="dxa"/>
          <w:bottom w:w="28" w:type="dxa"/>
          <w:right w:w="28" w:type="dxa"/>
        </w:tblCellMar>
      </w:tblPr>
      <w:tblGrid>
        <w:gridCol w:w="586"/>
        <w:gridCol w:w="515"/>
        <w:gridCol w:w="518"/>
        <w:gridCol w:w="109"/>
        <w:gridCol w:w="109"/>
        <w:gridCol w:w="109"/>
        <w:gridCol w:w="345"/>
        <w:gridCol w:w="1008"/>
        <w:gridCol w:w="178"/>
        <w:gridCol w:w="178"/>
        <w:gridCol w:w="178"/>
        <w:gridCol w:w="178"/>
        <w:gridCol w:w="345"/>
        <w:gridCol w:w="1008"/>
        <w:gridCol w:w="178"/>
        <w:gridCol w:w="109"/>
        <w:gridCol w:w="109"/>
        <w:gridCol w:w="109"/>
        <w:gridCol w:w="282"/>
        <w:gridCol w:w="1025"/>
        <w:gridCol w:w="145"/>
        <w:gridCol w:w="145"/>
        <w:gridCol w:w="145"/>
        <w:gridCol w:w="145"/>
        <w:gridCol w:w="282"/>
        <w:gridCol w:w="1025"/>
        <w:gridCol w:w="206"/>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415.0 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358.4 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10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877.2 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736.1 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190.0 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187.6 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357.1 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352.1 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605.0 </w:t>
            </w:r>
          </w:p>
        </w:tc>
        <w:tc>
          <w:tcPr>
            <w:tcW w:w="1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546.0 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1,234.3 </w:t>
            </w:r>
          </w:p>
        </w:tc>
        <w:tc>
          <w:tcPr>
            <w:tcW w:w="1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1,088.2 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Demi;sans-serif" w:hAnsi="Franklin Gothic Demi;sans-serif"/>
          <w:b/>
          <w:color w:val="000000"/>
          <w:sz w:val="22"/>
          <w:shd w:fill="FFFFFF" w:val="clear"/>
        </w:rPr>
      </w:pPr>
      <w:r>
        <w:rPr>
          <w:rFonts w:ascii="Franklin Gothic Demi;sans-serif" w:hAnsi="Franklin Gothic Demi;sans-serif"/>
          <w:b/>
          <w:color w:val="000000"/>
          <w:sz w:val="22"/>
          <w:shd w:fill="FFFFFF" w:val="clear"/>
        </w:rPr>
        <w:t>PRODUCT COST OF SALES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increases in product cost of sales were primarily due to higher contract manufacturing revenue driven by the timing of batch releases and approximately $52.5 million and $103.9 million, respectively, in SKYCLARYS amortization costs, partially offset by lower inventory write-offs. Contract manufacturing revenue includes LEQEMBI inventory produced for Eisai. Cost of sales as a percentage of revenue was adversely affected by LEQEMBI batches due to lower margins associated with this business.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a result of our acquisition of Reata in September 2023 we recorded a fair value step-up adjustment related to the acquired inventory of SKYCLARYS. This fair value step-up adjustment is being amortized to cost of sales within our condensed consolidated statements of income as the inventory is sold or used for clinical purposes. We expect this amount to be fully amortized by the end of 2028. For the three and six months ended June 30, 2025, amortization from the fair value step-up adjustment was approximately $52.5 million and $103.9 million, respectively, compared to $44.1 million and $88.2 million, respectively, in the prior year comparative periods.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 xml:space="preserve">to our condensed consolidated financial statements included in this report. For additional information on our acquisition of Reata,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consolidated financial statements included in our 2024 Form 10-K.</w:t>
      </w:r>
      <w:r>
        <w:rPr>
          <w:color w:val="000000"/>
        </w:rPr>
        <w:t xml:space="preserve"> </w:t>
      </w:r>
    </w:p>
    <w:p>
      <w:pPr>
        <w:pStyle w:val="TextBody"/>
        <w:bidi w:val="0"/>
        <w:spacing w:lineRule="auto" w:line="288" w:before="100" w:after="283"/>
        <w:jc w:val="left"/>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Write Downs and Other Charges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had no significant gross idle capacity charges for the three and six months ended June 30, 2025 and 2024.</w:t>
      </w:r>
    </w:p>
    <w:p>
      <w:pPr>
        <w:pStyle w:val="TextBody"/>
        <w:bidi w:val="0"/>
        <w:spacing w:lineRule="auto" w:line="288" w:before="180" w:after="283"/>
        <w:jc w:val="left"/>
        <w:rPr>
          <w:rFonts w:ascii="Franklin Gothic Demi;sans-serif" w:hAnsi="Franklin Gothic Demi;sans-serif"/>
          <w:b/>
          <w:color w:val="000000"/>
          <w:sz w:val="22"/>
        </w:rPr>
      </w:pPr>
      <w:r>
        <w:rPr>
          <w:rFonts w:ascii="Franklin Gothic Demi;sans-serif" w:hAnsi="Franklin Gothic Demi;sans-serif"/>
          <w:b/>
          <w:color w:val="000000"/>
          <w:sz w:val="22"/>
        </w:rPr>
        <w:t>ROYALTY COST OF SALES</w:t>
      </w:r>
    </w:p>
    <w:p>
      <w:pPr>
        <w:pStyle w:val="TextBody"/>
        <w:bidi w:val="0"/>
        <w:spacing w:lineRule="auto" w:line="288" w:before="120" w:after="283"/>
        <w:jc w:val="left"/>
        <w:rPr/>
      </w:pPr>
      <w:r>
        <w:rPr>
          <w:rFonts w:ascii="Franklin Gothic Book;sans-serif" w:hAnsi="Franklin Gothic Book;sans-serif"/>
          <w:b w:val="false"/>
          <w:color w:val="000000"/>
          <w:sz w:val="20"/>
        </w:rPr>
        <w:t>For the three months ended June 30, 2025, compared to the same period in 2024,</w:t>
      </w:r>
      <w:r>
        <w:rPr>
          <w:color w:val="000000"/>
        </w:rPr>
        <w:t xml:space="preserve"> </w:t>
      </w:r>
      <w:r>
        <w:rPr>
          <w:rFonts w:ascii="Franklin Gothic Book;sans-serif" w:hAnsi="Franklin Gothic Book;sans-serif"/>
          <w:b w:val="false"/>
          <w:color w:val="000000"/>
          <w:sz w:val="20"/>
        </w:rPr>
        <w:t>the increase in royalty cost of sales was primarily due to higher royalties payable associated with higher sales of VUMERITY.</w:t>
      </w:r>
    </w:p>
    <w:p>
      <w:pPr>
        <w:pStyle w:val="TextBody"/>
        <w:bidi w:val="0"/>
        <w:spacing w:lineRule="auto" w:line="288" w:before="120" w:after="283"/>
        <w:jc w:val="left"/>
        <w:rPr/>
      </w:pPr>
      <w:r>
        <w:rPr>
          <w:rFonts w:ascii="Franklin Gothic Book;sans-serif" w:hAnsi="Franklin Gothic Book;sans-serif"/>
          <w:b w:val="false"/>
          <w:color w:val="000000"/>
          <w:sz w:val="20"/>
        </w:rPr>
        <w:t>For t</w:t>
      </w:r>
      <w:r>
        <w:rPr>
          <w:rFonts w:ascii="Franklin Gothic Book;sans-serif" w:hAnsi="Franklin Gothic Book;sans-serif"/>
          <w:b w:val="false"/>
          <w:color w:val="000000"/>
          <w:sz w:val="20"/>
          <w:shd w:fill="FFFFFF" w:val="clear"/>
        </w:rPr>
        <w:t>he six months en</w:t>
      </w:r>
      <w:r>
        <w:rPr>
          <w:rFonts w:ascii="Franklin Gothic Book;sans-serif" w:hAnsi="Franklin Gothic Book;sans-serif"/>
          <w:b w:val="false"/>
          <w:color w:val="000000"/>
          <w:sz w:val="20"/>
        </w:rPr>
        <w:t>ded June 30, 2025, compared to the same period in 2024,</w:t>
      </w:r>
      <w:r>
        <w:rPr>
          <w:color w:val="000000"/>
        </w:rPr>
        <w:t xml:space="preserve"> </w:t>
      </w:r>
      <w:r>
        <w:rPr>
          <w:rFonts w:ascii="Franklin Gothic Book;sans-serif" w:hAnsi="Franklin Gothic Book;sans-serif"/>
          <w:b w:val="false"/>
          <w:color w:val="000000"/>
          <w:sz w:val="20"/>
        </w:rPr>
        <w:t>the increase in royalty cost of sales was primarily due to higher royalties payable associated with higher sales of VUMERITY and SPINRAZA, partially offset by lower royalties payable associated with lower sales of TYSABRI.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77"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0" w:after="0"/>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RESEARCH AND DEVELOPMENT</w:t>
      </w:r>
    </w:p>
    <w:p>
      <w:pPr>
        <w:pStyle w:val="TextBody"/>
        <w:bidi w:val="0"/>
        <w:spacing w:before="0" w:after="0"/>
        <w:jc w:val="left"/>
        <w:rPr/>
      </w:pPr>
      <w:r>
        <w:rPr/>
        <w:drawing>
          <wp:inline distT="0" distB="0" distL="0" distR="0">
            <wp:extent cx="3019425" cy="7296150"/>
            <wp:effectExtent l="0" t="0" r="0" b="0"/>
            <wp:docPr id="7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1" descr=""/>
                    <pic:cNvPicPr>
                      <a:picLocks noChangeAspect="1" noChangeArrowheads="1"/>
                    </pic:cNvPicPr>
                  </pic:nvPicPr>
                  <pic:blipFill>
                    <a:blip r:embed="rId12"/>
                    <a:stretch>
                      <a:fillRect/>
                    </a:stretch>
                  </pic:blipFill>
                  <pic:spPr bwMode="auto">
                    <a:xfrm>
                      <a:off x="0" y="0"/>
                      <a:ext cx="3019425" cy="7296150"/>
                    </a:xfrm>
                    <a:prstGeom prst="rect">
                      <a:avLst/>
                    </a:prstGeom>
                  </pic:spPr>
                </pic:pic>
              </a:graphicData>
            </a:graphic>
          </wp:inline>
        </w:drawing>
      </w:r>
      <w:bookmarkStart w:id="10" w:name="i-11"/>
      <w:bookmarkEnd w:id="10"/>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Research and development expense, as a percentage of total revenue, was 15.1% and 20.5% for the three months ended June 30, 2025 and 2024, respectively.</w:t>
      </w:r>
    </w:p>
    <w:p>
      <w:pPr>
        <w:pStyle w:val="TextBody"/>
        <w:bidi w:val="0"/>
        <w:spacing w:lineRule="auto" w:line="288" w:before="12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For the three months ended June 30, 2025, compared to the same period in 2024, the decrease in research and development was primarily driven by continued cost reduction measures realized in connection with our portfolio prioritization initiatives and our Fit for Growth program, as well as approximately $46.0 million of step-up amortization related to SKYCLARYS inventory recorded in the second quarter of 2024. This decrease was offset in part by higher spend on clinical trials, including litifilimab and felzartamab. Higher clinical trial spend related to litifilimab was offset by $50.0 million in research and development funding received from Royalty Pharma.</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EARLY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Q2 2025 vs. Q2 2024</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early stage program expense was driven by a decrease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discontinuation of BIIB121 for the treatment of Angelman syndrome;</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discontinuation of BIIB105 for the treatment of ALS; and</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discontinuation of BIIB143 for the treatment of diabetic neuropathic pain.</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was partially offset by an increase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development of BIIB080 for the treatment of Alzheimer's disease; and</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development of zorevunersen for the treatment of Dravet syndrome.</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LATE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Q2 2025 vs. Q2 2024</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late stage program expense was driven by a decrease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development of litifilimab for the treatment of CLE and increased spend in SLE, offset by Royalty Pharma funding of $50.0 million.</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was partially offset by an increase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the development of felzartamab for AMR, IgAN and PMN.</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MARKETED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Q2 2025 vs. Q2 2024</w:t>
      </w:r>
    </w:p>
    <w:p>
      <w:pPr>
        <w:pStyle w:val="TextBody"/>
        <w:bidi w:val="0"/>
        <w:spacing w:lineRule="auto" w:line="288" w:before="6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marketed program expense was driven by a decrease in costs associated with:</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$46.0 million of step-up amortization related to SKYCLARYS inventory recorded in the second quarter of 2024; and</w:t>
      </w:r>
    </w:p>
    <w:p>
      <w:pPr>
        <w:pStyle w:val="TextBody"/>
        <w:bidi w:val="0"/>
        <w:spacing w:lineRule="auto" w:line="288" w:before="20" w:after="283"/>
        <w:ind w:left="0" w:right="0" w:hanging="180"/>
        <w:jc w:val="left"/>
        <w:rPr/>
      </w:pPr>
      <w:r>
        <w:rPr>
          <w:color w:val="0070C0"/>
        </w:rPr>
        <w:t>•</w:t>
      </w:r>
      <w:r>
        <w:rPr>
          <w:rFonts w:ascii="Franklin Gothic Book;sans-serif" w:hAnsi="Franklin Gothic Book;sans-serif"/>
          <w:b w:val="false"/>
          <w:color w:val="000000"/>
          <w:sz w:val="19"/>
        </w:rPr>
        <w:t>decreased spend on LEQEMBI for the treatment of Alzheimer's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79"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before="0" w:after="0"/>
        <w:jc w:val="left"/>
        <w:rPr/>
      </w:pPr>
      <w:r>
        <w:rPr/>
        <w:drawing>
          <wp:inline distT="0" distB="0" distL="0" distR="0">
            <wp:extent cx="3019425" cy="8229600"/>
            <wp:effectExtent l="0" t="0" r="0" b="0"/>
            <wp:docPr id="8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2" descr=""/>
                    <pic:cNvPicPr>
                      <a:picLocks noChangeAspect="1" noChangeArrowheads="1"/>
                    </pic:cNvPicPr>
                  </pic:nvPicPr>
                  <pic:blipFill>
                    <a:blip r:embed="rId13"/>
                    <a:stretch>
                      <a:fillRect/>
                    </a:stretch>
                  </pic:blipFill>
                  <pic:spPr bwMode="auto">
                    <a:xfrm>
                      <a:off x="0" y="0"/>
                      <a:ext cx="3019425" cy="8229600"/>
                    </a:xfrm>
                    <a:prstGeom prst="rect">
                      <a:avLst/>
                    </a:prstGeom>
                  </pic:spPr>
                </pic:pic>
              </a:graphicData>
            </a:graphic>
          </wp:inline>
        </w:drawing>
      </w:r>
      <w:bookmarkStart w:id="11" w:name="i-12"/>
      <w:bookmarkEnd w:id="11"/>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Research and development expense, as a percentage of total revenue, was 16.4% and 20.0% for the six months ended June 30, 2025 and 2024, respectively.</w:t>
      </w:r>
    </w:p>
    <w:p>
      <w:pPr>
        <w:pStyle w:val="TextBody"/>
        <w:bidi w:val="0"/>
        <w:spacing w:lineRule="auto" w:line="288" w:before="120" w:after="283"/>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For the six months ended June 30, 2025, compared to the same period in 2024, the decrease in research and development was primarily driven by continued cost reduction measures realized in connection with our portfolio prioritization initiatives and our Fit for Growth program, as well as approximately $46.0 million of step-up amortization related to SKYCLARYS inventory recorded in the second quarter of 2024. This decrease was offset in part by higher spend on clinical trials, including litifilimab and felzartamab. Higher clinical trial spend related to litifilimab was offset by $100.0 million in research and development funding received from Royalty Pharma.</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EARLY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YTD 2025 vs. YTD 2024</w:t>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early stage programs was driven by a decrease in costs associated with:</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discontinuation of BIIB121 for the treatment of Angelman syndrome;</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advancement of litifilimab for the treatment of CLE into late stage;</w:t>
      </w:r>
    </w:p>
    <w:p>
      <w:pPr>
        <w:pStyle w:val="TextBody"/>
        <w:bidi w:val="0"/>
        <w:spacing w:lineRule="auto" w:line="288" w:before="20" w:after="283"/>
        <w:ind w:left="0" w:right="0" w:hanging="270"/>
        <w:jc w:val="left"/>
        <w:rPr/>
      </w:pPr>
      <w:r>
        <w:rPr>
          <w:color w:val="0070C0"/>
        </w:rPr>
        <w:t>•</w:t>
      </w:r>
      <w:r>
        <w:rPr>
          <w:rFonts w:ascii="Franklin Gothic Book;sans-serif" w:hAnsi="Franklin Gothic Book;sans-serif"/>
          <w:b w:val="false"/>
          <w:color w:val="000000"/>
          <w:sz w:val="19"/>
        </w:rPr>
        <w:t>discontinuation of BIIB105 for the treatment of ALS; and</w:t>
      </w:r>
    </w:p>
    <w:p>
      <w:pPr>
        <w:pStyle w:val="TextBody"/>
        <w:bidi w:val="0"/>
        <w:spacing w:lineRule="auto" w:line="288" w:before="20" w:after="283"/>
        <w:ind w:left="0" w:right="0" w:hanging="270"/>
        <w:jc w:val="left"/>
        <w:rPr/>
      </w:pPr>
      <w:r>
        <w:rPr>
          <w:color w:val="0070C0"/>
        </w:rPr>
        <w:t>•</w:t>
      </w:r>
      <w:r>
        <w:rPr>
          <w:rFonts w:ascii="Franklin Gothic Book;sans-serif" w:hAnsi="Franklin Gothic Book;sans-serif"/>
          <w:b w:val="false"/>
          <w:color w:val="000000"/>
          <w:sz w:val="19"/>
        </w:rPr>
        <w:t>discontinuation of BIIB143 for the treatment of diabetic neuropathic pain.</w:t>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was partially offset by an increase in costs associated with:</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development of felzartamab for IgAN, PMN and Lupus Nephritis;</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development of BIIB080 for the treatment of Alzheimer's disease; and</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development of zorevunersen for the treatment of Dravet syndrome.</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LATE STAGE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YTD 2025 vs. YTD 2024</w:t>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in late stage programs was driven by an increase in costs associated with:</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development of felzartamab for AMR, IgAN and PMN; and</w:t>
      </w:r>
    </w:p>
    <w:p>
      <w:pPr>
        <w:pStyle w:val="TextBody"/>
        <w:bidi w:val="0"/>
        <w:spacing w:lineRule="auto" w:line="288" w:before="20" w:after="283"/>
        <w:ind w:left="0" w:right="0" w:hanging="270"/>
        <w:jc w:val="left"/>
        <w:rPr/>
      </w:pPr>
      <w:r>
        <w:rPr>
          <w:color w:val="0070C0"/>
        </w:rPr>
        <w:t>•</w:t>
      </w:r>
      <w:r>
        <w:rPr>
          <w:rFonts w:ascii="Franklin Gothic Book;sans-serif" w:hAnsi="Franklin Gothic Book;sans-serif"/>
          <w:b w:val="false"/>
          <w:color w:val="000000"/>
          <w:sz w:val="19"/>
        </w:rPr>
        <w:t>development of litifilimab for the treatment of CLE and increased spend in SLE, offset by Royalty Pharma funding of $100.0 million.</w:t>
      </w:r>
    </w:p>
    <w:p>
      <w:pPr>
        <w:pStyle w:val="TextBody"/>
        <w:bidi w:val="0"/>
        <w:spacing w:lineRule="auto" w:line="288" w:before="120" w:after="283"/>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MARKETED PROGRAMS</w:t>
      </w:r>
    </w:p>
    <w:p>
      <w:pPr>
        <w:pStyle w:val="TextBody"/>
        <w:bidi w:val="0"/>
        <w:spacing w:lineRule="auto" w:line="288" w:before="0" w:after="0"/>
        <w:jc w:val="left"/>
        <w:rPr>
          <w:rFonts w:ascii="Franklin Gothic Medium;sans-serif" w:hAnsi="Franklin Gothic Medium;sans-serif"/>
          <w:b w:val="false"/>
          <w:color w:val="000000"/>
          <w:sz w:val="19"/>
        </w:rPr>
      </w:pPr>
      <w:r>
        <w:rPr>
          <w:rFonts w:ascii="Franklin Gothic Medium;sans-serif" w:hAnsi="Franklin Gothic Medium;sans-serif"/>
          <w:b w:val="false"/>
          <w:color w:val="000000"/>
          <w:sz w:val="19"/>
        </w:rPr>
        <w:t>YTD 2025 vs. YTD 2024</w:t>
      </w:r>
    </w:p>
    <w:p>
      <w:pPr>
        <w:pStyle w:val="TextBody"/>
        <w:bidi w:val="0"/>
        <w:spacing w:lineRule="auto" w:line="288" w:before="0" w:after="0"/>
        <w:jc w:val="left"/>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marketed programs was driven by a decrease in costs associated with:</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$46.0 million of step-up amortization related to SKYCLARYS inventory recorded in the second quarter of 2024; and</w:t>
      </w:r>
    </w:p>
    <w:p>
      <w:pPr>
        <w:pStyle w:val="TextBody"/>
        <w:bidi w:val="0"/>
        <w:spacing w:lineRule="auto" w:line="288" w:before="0" w:after="0"/>
        <w:ind w:left="0" w:right="0" w:hanging="270"/>
        <w:jc w:val="left"/>
        <w:rPr/>
      </w:pPr>
      <w:r>
        <w:rPr>
          <w:color w:val="0070C0"/>
        </w:rPr>
        <w:t>•</w:t>
      </w:r>
      <w:r>
        <w:rPr>
          <w:rFonts w:ascii="Franklin Gothic Book;sans-serif" w:hAnsi="Franklin Gothic Book;sans-serif"/>
          <w:b w:val="false"/>
          <w:color w:val="000000"/>
          <w:sz w:val="19"/>
        </w:rPr>
        <w:t>decreased spend on LEQEMBI for the treatment of Alzheimer's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1"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 expense is reported above based on the following classifications. The development stage reported is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Research and discovery:</w:t>
      </w:r>
      <w:r>
        <w:rPr>
          <w:color w:val="000000"/>
        </w:rPr>
        <w:t xml:space="preserve"> </w:t>
      </w:r>
      <w:r>
        <w:rPr>
          <w:rFonts w:ascii="Franklin Gothic Book;sans-serif" w:hAnsi="Franklin Gothic Book;sans-serif"/>
          <w:b w:val="false"/>
          <w:color w:val="000000"/>
          <w:sz w:val="20"/>
        </w:rPr>
        <w:t xml:space="preserve">represents costs incurred to support our discovery research and translational science efforts. </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Early stage programs:</w:t>
      </w:r>
      <w:r>
        <w:rPr>
          <w:color w:val="000000"/>
        </w:rPr>
        <w:t xml:space="preserve"> </w:t>
      </w:r>
      <w:r>
        <w:rPr>
          <w:rFonts w:ascii="Franklin Gothic Book;sans-serif" w:hAnsi="Franklin Gothic Book;sans-serif"/>
          <w:b w:val="false"/>
          <w:color w:val="000000"/>
          <w:sz w:val="20"/>
        </w:rPr>
        <w:t>are programs in Phase 1 or Phase 2 development.</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Late stage programs:</w:t>
      </w:r>
      <w:r>
        <w:rPr>
          <w:color w:val="000000"/>
        </w:rPr>
        <w:t xml:space="preserve"> </w:t>
      </w:r>
      <w:r>
        <w:rPr>
          <w:rFonts w:ascii="Franklin Gothic Book;sans-serif" w:hAnsi="Franklin Gothic Book;sans-serif"/>
          <w:b w:val="false"/>
          <w:color w:val="000000"/>
          <w:sz w:val="20"/>
        </w:rPr>
        <w:t>are programs in Phase 3 development or in registration stage.</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Marketed products:</w:t>
      </w:r>
      <w:r>
        <w:rPr>
          <w:color w:val="000000"/>
        </w:rPr>
        <w:t xml:space="preserve"> </w:t>
      </w:r>
      <w:r>
        <w:rPr>
          <w:rFonts w:ascii="Franklin Gothic Book;sans-serif" w:hAnsi="Franklin Gothic Book;sans-serif"/>
          <w:b w:val="false"/>
          <w:color w:val="000000"/>
          <w:sz w:val="20"/>
        </w:rPr>
        <w:t>includes costs associated with product lifecycle management activities including, if applicable, costs associated with the development of new indications for existing products.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color w:val="0070C0"/>
          <w:sz w:val="20"/>
        </w:rPr>
        <w:t>Other research and development costs:</w:t>
      </w:r>
      <w:r>
        <w:rPr>
          <w:color w:val="000000"/>
        </w:rPr>
        <w:t xml:space="preserve"> </w:t>
      </w:r>
      <w:r>
        <w:rPr>
          <w:rFonts w:ascii="Franklin Gothic Book;sans-serif" w:hAnsi="Franklin Gothic Book;sans-serif"/>
          <w:b w:val="false"/>
          <w:color w:val="000000"/>
          <w:sz w:val="20"/>
        </w:rPr>
        <w:t>A significant amount of our research and development costs consist of indirect costs 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our core research and development expense to decrease in 2025, due to our portfolio prioritization initiatives, our Fit for Growth program and the research and development funding received from Royalty Pharma. We intend to continue committing significant resources to targeted research and development opportunities while continuing to invest in our pipeline, such as our acquisition of HI-Bio in July 2024, where there is a significant unmet need and where a drug candidate has the potential to be highly differentiated.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ACQUIRED IN-PROCESS RESEARCH AND DEVELOPMENT, UPFRONT AND MILESTONE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first quarter of 2025 we began presenting acquired in-process research and development, upfront and milestone expense as a separate line item in our condensed consolidated statements of income. 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 which were previously included in research and development expense.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June 30, 2025, compared to the same period in 2024, the increase in acquired in-process research and development, upfront and milestone expense was primarily due to a $30.0 million milestone payment to MorphoSys accrued during the second quarter of 2025 in connection with the first patient dosed in a Phase 3 clinical trial of felzartamab for the treatment of IgAN, as well as a $16.0 million upfront payment made to City Therapeutics in connection with the closing of our strategic research arrangement in May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2025, compared to the same period in 2024, the increase in acquired in-process research and development, upfront and milestone expense was primarily due to a $165.0 million upfront payment made to Stoke in connection with the closing of our collaboration and license agreement in February 2025, as well as a $35.0 million milestone payment to MorphoSys accrued during the first quarter of 2025 in connection with the first patient dosed in a Phase 3 clinical trial of felzartamab for the treatment of AMR.</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arrangements with Stoke, MorphoSys and City Therapeutics, please read </w:t>
      </w:r>
      <w:r>
        <w:rPr>
          <w:rFonts w:ascii="Franklin Gothic Book;sans-serif" w:hAnsi="Franklin Gothic Book;sans-serif"/>
          <w:b w:val="false"/>
          <w:i/>
          <w:color w:val="000000"/>
          <w:sz w:val="20"/>
        </w:rPr>
        <w:t>Note 19,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SELLING, GENERAL AND ADMINISTRATIVE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selling, general and administrative expense increased by approximately 5.4% and 1.8%, respectively, primarily due to increases in operational spending on sales and marketing activities in support of LEQEMBI and SKYCLARYS as we continue to expand our U.S. and international product launches. The increases were partially offset by the realization of our cost-reduction measures in connection with our Fit for Growth program.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a slight increase in full-year 2025 selling, general and administrative expense, as compared to full-year 2024, due to continued spend related to LEQEMBI and SKYCLARYS product launches in the U.S. and international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2"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AMORTIZATION AND IMPAIRMENT OF ACQUIRED INTANGIBLE ASSETS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amortization expense is based on the economic consumption and impairment of intangible assets. Our most significant amortizable intangible assets are related to TYSABRI, AVONEX, SPINRAZA, VUMERITY and SKYCLARYS.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the three and </w:t>
      </w:r>
      <w:r>
        <w:rPr>
          <w:rFonts w:ascii="Franklin Gothic Book;sans-serif" w:hAnsi="Franklin Gothic Book;sans-serif"/>
          <w:b w:val="false"/>
          <w:color w:val="000000"/>
          <w:sz w:val="20"/>
        </w:rPr>
        <w:t xml:space="preserve">six </w:t>
      </w:r>
      <w:r>
        <w:rPr>
          <w:rFonts w:ascii="Franklin Gothic Book;sans-serif" w:hAnsi="Franklin Gothic Book;sans-serif"/>
          <w:b w:val="false"/>
          <w:color w:val="000000"/>
          <w:sz w:val="20"/>
          <w:shd w:fill="FFFFFF" w:val="clear"/>
        </w:rPr>
        <w:t xml:space="preserve">months ended June 30, 2025, amortization of acquired intangible assets, excluding impairment charges, totaled </w:t>
      </w:r>
      <w:r>
        <w:rPr>
          <w:rFonts w:ascii="Franklin Gothic Book;sans-serif" w:hAnsi="Franklin Gothic Book;sans-serif"/>
          <w:b w:val="false"/>
          <w:color w:val="000000"/>
          <w:sz w:val="20"/>
        </w:rPr>
        <w:t xml:space="preserve">$127.4 million and $239.2 million, respectively, </w:t>
      </w:r>
      <w:r>
        <w:rPr>
          <w:rFonts w:ascii="Franklin Gothic Book;sans-serif" w:hAnsi="Franklin Gothic Book;sans-serif"/>
          <w:b w:val="false"/>
          <w:color w:val="000000"/>
          <w:sz w:val="20"/>
          <w:shd w:fill="FFFFFF" w:val="clear"/>
        </w:rPr>
        <w:t xml:space="preserve">compared to </w:t>
      </w:r>
      <w:r>
        <w:rPr>
          <w:rFonts w:ascii="Franklin Gothic Book;sans-serif" w:hAnsi="Franklin Gothic Book;sans-serif"/>
          <w:b w:val="false"/>
          <w:color w:val="000000"/>
          <w:sz w:val="20"/>
        </w:rPr>
        <w:t xml:space="preserve">$86.9 million and $165.2 million, respectively, in the prior year comparative periods. </w:t>
      </w:r>
      <w:r>
        <w:rPr>
          <w:rFonts w:ascii="Franklin Gothic Book;sans-serif" w:hAnsi="Franklin Gothic Book;sans-serif"/>
          <w:b w:val="false"/>
          <w:color w:val="000000"/>
          <w:sz w:val="20"/>
          <w:shd w:fill="FFFFFF" w:val="clear"/>
        </w:rPr>
        <w:t>Th</w:t>
      </w:r>
      <w:r>
        <w:rPr>
          <w:rFonts w:ascii="Franklin Gothic Book;sans-serif" w:hAnsi="Franklin Gothic Book;sans-serif"/>
          <w:b w:val="false"/>
          <w:color w:val="000000"/>
          <w:sz w:val="20"/>
        </w:rPr>
        <w:t>e increases were primarily due to amortization for the acquired intangible assets associated with SKYCLARYS and TYSABRI.</w:t>
      </w:r>
    </w:p>
    <w:p>
      <w:pPr>
        <w:pStyle w:val="TextBody"/>
        <w:bidi w:val="0"/>
        <w:spacing w:lineRule="auto" w:line="288" w:before="120" w:after="283"/>
        <w:jc w:val="left"/>
        <w:rPr/>
      </w:pPr>
      <w:r>
        <w:rPr>
          <w:rFonts w:ascii="Franklin Gothic Book;sans-serif" w:hAnsi="Franklin Gothic Book;sans-serif"/>
          <w:b w:val="false"/>
          <w:color w:val="000000"/>
          <w:sz w:val="20"/>
        </w:rPr>
        <w:t>For the three and six months ended June 30, 2025, amortization and impairment of acquired intangible assets reflects the impact of a $3.5 million impairment charge related to a compound acquired from HI-Bio. For the three and six months ended June 30, 2024, we had no im</w:t>
      </w:r>
      <w:r>
        <w:rPr>
          <w:rFonts w:ascii="Franklin Gothic Book;sans-serif" w:hAnsi="Franklin Gothic Book;sans-serif"/>
          <w:b w:val="false"/>
          <w:color w:val="000000"/>
          <w:sz w:val="20"/>
          <w:shd w:fill="FFFFFF" w:val="clear"/>
        </w:rPr>
        <w:t>pair</w:t>
      </w:r>
      <w:r>
        <w:rPr>
          <w:rFonts w:ascii="Franklin Gothic Book;sans-serif" w:hAnsi="Franklin Gothic Book;sans-serif"/>
          <w:b w:val="false"/>
          <w:color w:val="000000"/>
          <w:sz w:val="20"/>
        </w:rPr>
        <w:t>ment charges.</w:t>
      </w:r>
    </w:p>
    <w:p>
      <w:pPr>
        <w:pStyle w:val="TextBody"/>
        <w:bidi w:val="0"/>
        <w:spacing w:lineRule="auto" w:line="288" w:before="120" w:after="283"/>
        <w:jc w:val="left"/>
        <w:rPr/>
      </w:pPr>
      <w:r>
        <w:rPr>
          <w:rFonts w:ascii="Franklin Gothic Book;sans-serif" w:hAnsi="Franklin Gothic Book;sans-serif"/>
          <w:b w:val="false"/>
          <w:color w:val="000000"/>
          <w:sz w:val="20"/>
          <w:shd w:fill="FFFFFF" w:val="clear"/>
        </w:rPr>
        <w:t xml:space="preserve">For additional information on the amortization and impairment of our acquired intangible assets, please read </w:t>
      </w:r>
      <w:r>
        <w:rPr>
          <w:rFonts w:ascii="Franklin Gothic Book;sans-serif" w:hAnsi="Franklin Gothic Book;sans-serif"/>
          <w:b w:val="false"/>
          <w:i/>
          <w:color w:val="000000"/>
          <w:sz w:val="20"/>
          <w:shd w:fill="FFFFFF" w:val="clear"/>
        </w:rPr>
        <w:t>Note 7, Intangible Assets and Goodwill</w:t>
      </w:r>
      <w:r>
        <w:rPr>
          <w:rFonts w:ascii="Franklin Gothic Book;sans-serif" w:hAnsi="Franklin Gothic Book;sans-serif"/>
          <w:b w:val="false"/>
          <w:color w:val="000000"/>
          <w:sz w:val="20"/>
          <w:shd w:fill="FFFFFF" w:val="clear"/>
        </w:rPr>
        <w:t>,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COLLABORATION PROFIT SHARING/(LOSS REIMBURSEMENT)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Collaboration profit sharing/(loss reimbursement) includes Samsung Bioepis' 50.0% share of the profit or loss related to our biosimilars 2013 commercial agreement with Samsung Bioepis and collaboration profit sharing/(loss reimbursement) related to Sage's 50.0% share of the profit or loss in the U.S. related to ZURZUVAE for PPD.</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w:t>
      </w:r>
      <w:r>
        <w:rPr>
          <w:rFonts w:ascii="Franklin Gothic Book;sans-serif" w:hAnsi="Franklin Gothic Book;sans-serif"/>
          <w:b w:val="false"/>
          <w:color w:val="000000"/>
          <w:sz w:val="20"/>
          <w:shd w:fill="FFFFFF" w:val="clear"/>
        </w:rPr>
        <w:t xml:space="preserve">three and </w:t>
      </w:r>
      <w:r>
        <w:rPr>
          <w:rFonts w:ascii="Franklin Gothic Book;sans-serif" w:hAnsi="Franklin Gothic Book;sans-serif"/>
          <w:b w:val="false"/>
          <w:color w:val="000000"/>
          <w:sz w:val="20"/>
        </w:rPr>
        <w:t>six months ended June 30, 2025, we recognized net profit-sharing expense of approximately $57.2 million and $105.2 million, respectively, to reflect Samsung Bioepis' 50.0% sharing of the net collaboration profits, compared to net profit-sharing expense of approximately $55.9 million and $116.5 million, respectively, in the prior year comparative periods.</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we recognized net profit-sharing expense of approximately $17.8 million and $27.9 million, respectively, to reflect Sage's 50.0% share of the net collaboration results in the U.S., compared to net profit-sharing expense of approximately $6.5 million and $11.5 million, respectively, in the prior year comparative periods.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and license arrangements with Samsung Bioepis and Sage, please read </w:t>
      </w:r>
      <w:r>
        <w:rPr>
          <w:rFonts w:ascii="Franklin Gothic Book;sans-serif" w:hAnsi="Franklin Gothic Book;sans-serif"/>
          <w:b w:val="false"/>
          <w:i/>
          <w:color w:val="000000"/>
          <w:sz w:val="20"/>
        </w:rPr>
        <w:t>Note 19, Collaborative and Other Relationships,</w:t>
      </w:r>
      <w:r>
        <w:rPr>
          <w:color w:val="000000"/>
        </w:rPr>
        <w:t xml:space="preserve"> </w:t>
      </w:r>
      <w:r>
        <w:rPr>
          <w:rFonts w:ascii="Franklin Gothic Book;sans-serif" w:hAnsi="Franklin Gothic Book;sans-serif"/>
          <w:b w:val="false"/>
          <w:color w:val="000000"/>
          <w:sz w:val="20"/>
        </w:rPr>
        <w:t xml:space="preserve">to our condensed consolidated financial statements included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(GAIN) LOSS ON FAIR VALUE REMEASUREMENT OF CONTINGENT CONSIDERATION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Consideration payable for certain of our business combinations include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condensed consolidated statements of income. In connection with our acquisition of HI-Bio in July 2024 we recorded contingent consideration obligations related to potential milestone payments.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three </w:t>
      </w:r>
      <w:r>
        <w:rPr>
          <w:rFonts w:ascii="Franklin Gothic Book;sans-serif" w:hAnsi="Franklin Gothic Book;sans-serif"/>
          <w:b w:val="false"/>
          <w:color w:val="000000"/>
          <w:sz w:val="20"/>
          <w:shd w:fill="FFFFFF" w:val="clear"/>
        </w:rPr>
        <w:t xml:space="preserve">and </w:t>
      </w:r>
      <w:r>
        <w:rPr>
          <w:rFonts w:ascii="Franklin Gothic Book;sans-serif" w:hAnsi="Franklin Gothic Book;sans-serif"/>
          <w:b w:val="false"/>
          <w:color w:val="000000"/>
          <w:sz w:val="20"/>
        </w:rPr>
        <w:t>six months ended June 30, 2025, changes in the fair value of our contingent consideration obligations were primarily due to the passage of time.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2025 the first milestone related to the fourth patient dosed in a phase 3 clinical trial of felzartamab for AMR was achieved, resulting in a $150.0 million milestone payment made to the former shareholders of HI-Bio, which was substantially paid in July 2025.</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acquisition of HI-Bio,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3"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RESTRUCTURING CHARGES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2023 FIT FOR GROWTH RESTRUCTURING PROGRAM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2023 we initiated cost saving measures as part of our Fit for Growth program to reduce operating costs, while improving operating efficiency and effectiveness. The Fit for Growth program is expected to generate approximately $1.0 billion in gross operating expense savings by the end of 2025, some of which will be reinvested in various initiatives. The Fit for Growth program is currently estimated to include net headcount reductions of approximately 1,400 employees and we expect to incur total restructuring charges ranging from approximately $300.0 million to $310.0 million.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charges incurred from our 2023 Fit for Growth program are summarized as follows:</w:t>
      </w:r>
    </w:p>
    <w:tbl>
      <w:tblPr>
        <w:tblW w:w="10205" w:type="dxa"/>
        <w:jc w:val="left"/>
        <w:tblInd w:w="0" w:type="dxa"/>
        <w:tblLayout w:type="fixed"/>
        <w:tblCellMar>
          <w:top w:w="28" w:type="dxa"/>
          <w:left w:w="28" w:type="dxa"/>
          <w:bottom w:w="28" w:type="dxa"/>
          <w:right w:w="28" w:type="dxa"/>
        </w:tblCellMar>
      </w:tblPr>
      <w:tblGrid>
        <w:gridCol w:w="518"/>
        <w:gridCol w:w="455"/>
        <w:gridCol w:w="460"/>
        <w:gridCol w:w="109"/>
        <w:gridCol w:w="109"/>
        <w:gridCol w:w="109"/>
        <w:gridCol w:w="274"/>
        <w:gridCol w:w="666"/>
        <w:gridCol w:w="143"/>
        <w:gridCol w:w="109"/>
        <w:gridCol w:w="109"/>
        <w:gridCol w:w="109"/>
        <w:gridCol w:w="411"/>
        <w:gridCol w:w="822"/>
        <w:gridCol w:w="214"/>
        <w:gridCol w:w="109"/>
        <w:gridCol w:w="109"/>
        <w:gridCol w:w="109"/>
        <w:gridCol w:w="211"/>
        <w:gridCol w:w="511"/>
        <w:gridCol w:w="109"/>
        <w:gridCol w:w="109"/>
        <w:gridCol w:w="109"/>
        <w:gridCol w:w="109"/>
        <w:gridCol w:w="274"/>
        <w:gridCol w:w="666"/>
        <w:gridCol w:w="143"/>
        <w:gridCol w:w="109"/>
        <w:gridCol w:w="109"/>
        <w:gridCol w:w="109"/>
        <w:gridCol w:w="376"/>
        <w:gridCol w:w="911"/>
        <w:gridCol w:w="195"/>
        <w:gridCol w:w="109"/>
        <w:gridCol w:w="109"/>
        <w:gridCol w:w="109"/>
        <w:gridCol w:w="211"/>
        <w:gridCol w:w="511"/>
        <w:gridCol w:w="162"/>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Accelerated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0.7 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1.3 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(1.1)</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(1.1)</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2.0 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Accelerated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Severance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 Depreciation and 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6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(3.2)</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6.4 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34.2 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34.2 </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3.2 </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5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37.4 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15.6 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26.1 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Franklin Gothic Book;sans-serif" w:hAnsi="Franklin Gothic Book;sans-serif"/>
          <w:b w:val="false"/>
          <w:i/>
          <w:color w:val="0070C0"/>
          <w:sz w:val="20"/>
        </w:rPr>
        <w:t>Other Costs:</w:t>
      </w:r>
      <w:r>
        <w:rPr>
          <w:color w:val="000000"/>
        </w:rPr>
        <w:t xml:space="preserve"> </w:t>
      </w:r>
      <w:r>
        <w:rPr>
          <w:rFonts w:ascii="Franklin Gothic Book;sans-serif" w:hAnsi="Franklin Gothic Book;sans-serif"/>
          <w:b w:val="false"/>
          <w:color w:val="000000"/>
          <w:sz w:val="20"/>
        </w:rPr>
        <w:t>Includes costs associated with items such as asset abandonment and write-offs, facility closure costs, pre-tax gains and losses resulting from the termination of certain leases, employee non-severance expense, consulting fees and other costs.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cost saving initiatives, please read </w:t>
      </w:r>
      <w:r>
        <w:rPr>
          <w:rFonts w:ascii="Franklin Gothic Book;sans-serif" w:hAnsi="Franklin Gothic Book;sans-serif"/>
          <w:b w:val="false"/>
          <w:i/>
          <w:color w:val="000000"/>
          <w:sz w:val="20"/>
        </w:rPr>
        <w:t>Note 4, Restructuring,</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OTHER (INCOME) EXPENSE, NET</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three </w:t>
      </w:r>
      <w:r>
        <w:rPr>
          <w:rFonts w:ascii="Franklin Gothic Book;sans-serif" w:hAnsi="Franklin Gothic Book;sans-serif"/>
          <w:b w:val="false"/>
          <w:color w:val="000000"/>
          <w:sz w:val="20"/>
          <w:shd w:fill="FFFFFF" w:val="clear"/>
        </w:rPr>
        <w:t xml:space="preserve">and </w:t>
      </w:r>
      <w:r>
        <w:rPr>
          <w:rFonts w:ascii="Franklin Gothic Book;sans-serif" w:hAnsi="Franklin Gothic Book;sans-serif"/>
          <w:b w:val="false"/>
          <w:color w:val="000000"/>
          <w:sz w:val="20"/>
        </w:rPr>
        <w:t>six months ended June 30, 2025, compared to the same periods in 2024, the changes in other (income) expense, net primarily reflect higher interest income driven by higher cash balances during 2025, as well as higher net losses on our holdings in equity securities in 2024.</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We expect interest expense will continue to increase as a result of the issuance of our 2025 Senior Notes. For additional information related to our 2025 Senior Notes, please read </w:t>
      </w:r>
      <w:r>
        <w:rPr>
          <w:rFonts w:ascii="Franklin Gothic Book;sans-serif" w:hAnsi="Franklin Gothic Book;sans-serif"/>
          <w:b w:val="false"/>
          <w:i/>
          <w:color w:val="000000"/>
          <w:sz w:val="20"/>
        </w:rPr>
        <w:t>Note 13, Indebtedness</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NET (GAINS) LOSSES IN EQUITY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months ended June 30, 2025, net unrealized and realized gains on our holdings in equity securities were approximately $5.3 million and zero, respectively, compared to net unrealized and realized losses of approximately $29.8 million and $0.6 million, respectively, in the prior year comparative period. </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gains recognized during the three months ended June 30, 2025, primarily reflect an increase in the aggregate fair value of our investments in Sage and Denali common stock of approximately $10.1 million.</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losses recognized during the three months ended June 30, 2024, primarily reflect a decrease in the aggregate fair value of our investments in Sage and Sangamo common stock of approximately $51.4 million, partially offset by an increase in the fair value of Denali common stock of approximately $27.0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4"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2025, net unrealized losses and realized gains on our holdings in equity securities were approximately $35.7 million and $5.4 million, respectively, compared to net unrealized and realized losses of approximately $55.5 million and $5.5 million, respectively, in the prior year comparative period.</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losses recognized during the six months ended June 30, 2025, primarily reflect a decrease in the aggregate fair value of our investments in Denali common stock of approximately $45.7 million, partially offset by an increase in the fair value of Sage common stock of approximately $23.0 million.</w:t>
      </w:r>
    </w:p>
    <w:p>
      <w:pPr>
        <w:pStyle w:val="TextBody"/>
        <w:bidi w:val="0"/>
        <w:spacing w:lineRule="auto" w:line="288" w:before="120" w:after="283"/>
        <w:ind w:left="0" w:right="0" w:hanging="360"/>
        <w:jc w:val="left"/>
        <w:rPr/>
      </w:pPr>
      <w:r>
        <w:rPr>
          <w:color w:val="0070C0"/>
        </w:rPr>
        <w:t>•</w:t>
      </w:r>
      <w:r>
        <w:rPr>
          <w:rFonts w:ascii="Franklin Gothic Book;sans-serif" w:hAnsi="Franklin Gothic Book;sans-serif"/>
          <w:b w:val="false"/>
          <w:color w:val="000000"/>
          <w:sz w:val="20"/>
        </w:rPr>
        <w:t>The net unrealized losses recognized during the six months ended June 30, 2024, primarily reflect a decrease in the aggregate fair value of our investments in Sage and Sangamo common stock of approximately $68.3 million, partially offset by an increase in the fair value of Denali common stock of approximately $17.6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INCOME TAX PROVISION</w:t>
      </w:r>
    </w:p>
    <w:tbl>
      <w:tblPr>
        <w:tblW w:w="10205" w:type="dxa"/>
        <w:jc w:val="left"/>
        <w:tblInd w:w="0" w:type="dxa"/>
        <w:tblLayout w:type="fixed"/>
        <w:tblCellMar>
          <w:top w:w="28" w:type="dxa"/>
          <w:left w:w="28" w:type="dxa"/>
          <w:bottom w:w="28" w:type="dxa"/>
          <w:right w:w="28" w:type="dxa"/>
        </w:tblCellMar>
      </w:tblPr>
      <w:tblGrid>
        <w:gridCol w:w="1107"/>
        <w:gridCol w:w="971"/>
        <w:gridCol w:w="976"/>
        <w:gridCol w:w="109"/>
        <w:gridCol w:w="109"/>
        <w:gridCol w:w="109"/>
        <w:gridCol w:w="276"/>
        <w:gridCol w:w="807"/>
        <w:gridCol w:w="335"/>
        <w:gridCol w:w="142"/>
        <w:gridCol w:w="142"/>
        <w:gridCol w:w="142"/>
        <w:gridCol w:w="276"/>
        <w:gridCol w:w="807"/>
        <w:gridCol w:w="335"/>
        <w:gridCol w:w="109"/>
        <w:gridCol w:w="109"/>
        <w:gridCol w:w="109"/>
        <w:gridCol w:w="240"/>
        <w:gridCol w:w="873"/>
        <w:gridCol w:w="291"/>
        <w:gridCol w:w="123"/>
        <w:gridCol w:w="123"/>
        <w:gridCol w:w="123"/>
        <w:gridCol w:w="240"/>
        <w:gridCol w:w="873"/>
        <w:gridCol w:w="349"/>
      </w:tblGrid>
      <w:tr>
        <w:trPr/>
        <w:tc>
          <w:tcPr>
            <w:tcW w:w="110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3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before 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744.0 </w:t>
            </w:r>
          </w:p>
        </w:tc>
        <w:tc>
          <w:tcPr>
            <w:tcW w:w="3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698.7 </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1,055.2 </w:t>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1,163.5 </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109.2 </w:t>
            </w:r>
          </w:p>
        </w:tc>
        <w:tc>
          <w:tcPr>
            <w:tcW w:w="3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115.1 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179.9 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186.5 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14.7 </w:t>
            </w:r>
          </w:p>
        </w:tc>
        <w:tc>
          <w:tcPr>
            <w:tcW w:w="3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16.5 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17.0 </w:t>
            </w:r>
          </w:p>
        </w:tc>
        <w:tc>
          <w:tcPr>
            <w:tcW w:w="2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and six months ended June 30, 2025, compared to the same periods in 2024, the changes in our effective tax rates were partially driven by the favorable deferred tax impacts of decreases in foreign withholding taxes and a foreign valuation allowance in 2025, partially offset by changes in the territorial mix of our profitability.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six months ended June 30, 2025, compared to the same period in 2024, also reflects the impacts of certain share-based compensation awards that vested during the first quarter of 2025 and a decrease in our estimate of Pillar Two minimum tax liabilities.</w:t>
      </w:r>
    </w:p>
    <w:p>
      <w:pPr>
        <w:pStyle w:val="TextBody"/>
        <w:bidi w:val="0"/>
        <w:spacing w:lineRule="auto" w:line="268" w:before="180" w:after="283"/>
        <w:jc w:val="left"/>
        <w:rPr>
          <w:rFonts w:ascii="Franklin Gothic Demi;sans-serif" w:hAnsi="Franklin Gothic Demi;sans-serif"/>
          <w:b/>
          <w:color w:val="000000"/>
          <w:sz w:val="22"/>
        </w:rPr>
      </w:pPr>
      <w:r>
        <w:rPr>
          <w:rFonts w:ascii="Franklin Gothic Demi;sans-serif" w:hAnsi="Franklin Gothic Demi;sans-serif"/>
          <w:b/>
          <w:color w:val="000000"/>
          <w:sz w:val="22"/>
        </w:rPr>
        <w:t>PILLAR TWO</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OECD has issued model rules, which generally provide for a jurisdictional minimum effective tax rate of 15.0% as defined in those rules. Various countries have or are in the process of enacting legislation intended to implement the principles. Our income tax provision for the three and six months ended June 30, 2025 and 2024, reflects currently enacted legislation and guidance related to the OECD model rules. This enacted legislation and guidance related to the OECD model rules did not result in any material adjustments to our income tax provision or income tax balances as of June 30, 2025 and December 31, 2024. On June 28, 2025, the G7 issued a statement stating that the G7 will work with the OECD to adjust the model rules such that the model rules would work side-by-side with the U.S. GILTI tax. At this stage, we do not believe the G7 statement impacts our financial results as of June 30, 2025.</w:t>
      </w:r>
    </w:p>
    <w:p>
      <w:pPr>
        <w:pStyle w:val="TextBody"/>
        <w:bidi w:val="0"/>
        <w:spacing w:lineRule="auto" w:line="268" w:before="180" w:after="283"/>
        <w:jc w:val="left"/>
        <w:rPr>
          <w:rFonts w:ascii="Franklin Gothic Demi;sans-serif" w:hAnsi="Franklin Gothic Demi;sans-serif"/>
          <w:b/>
          <w:color w:val="000000"/>
          <w:sz w:val="22"/>
        </w:rPr>
      </w:pPr>
      <w:r>
        <w:rPr>
          <w:rFonts w:ascii="Franklin Gothic Demi;sans-serif" w:hAnsi="Franklin Gothic Demi;sans-serif"/>
          <w:b/>
          <w:color w:val="000000"/>
          <w:sz w:val="22"/>
        </w:rPr>
        <w:t>2025 OBBBA TAX PROVISIONS</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July 4, 2025, the U.S. signed into law the OBBBA. 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Based on our initial assessment of the OBBBA, we do not expect the introduced tax changes to have a material impact on our consolidated financial statements in 2025. However, given the complexity of tax laws, related regulations and interpretations, our current estimates may require revision as additional information becomes available regarding the application of the OBBBA provisions.</w:t>
      </w:r>
    </w:p>
    <w:p>
      <w:pPr>
        <w:pStyle w:val="TextBody"/>
        <w:bidi w:val="0"/>
        <w:spacing w:lineRule="auto" w:line="268" w:before="120" w:after="283"/>
        <w:jc w:val="left"/>
        <w:rPr/>
      </w:pPr>
      <w:r>
        <w:rPr>
          <w:rFonts w:ascii="Franklin Gothic Book;sans-serif" w:hAnsi="Franklin Gothic Book;sans-serif"/>
          <w:b w:val="false"/>
          <w:color w:val="000000"/>
          <w:sz w:val="20"/>
        </w:rPr>
        <w:t xml:space="preserve">For additional information on our income taxes, please read </w:t>
      </w:r>
      <w:r>
        <w:rPr>
          <w:rFonts w:ascii="Franklin Gothic Book;sans-serif" w:hAnsi="Franklin Gothic Book;sans-serif"/>
          <w:b w:val="false"/>
          <w:i/>
          <w:color w:val="000000"/>
          <w:sz w:val="20"/>
        </w:rPr>
        <w:t>Note 17, Income Taxes</w:t>
      </w:r>
      <w:r>
        <w:rPr>
          <w:rFonts w:ascii="Franklin Gothic Book;sans-serif" w:hAnsi="Franklin Gothic Book;sans-serif"/>
          <w:b w:val="false"/>
          <w:color w:val="000000"/>
          <w:sz w:val="20"/>
        </w:rPr>
        <w:t>,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5"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587F"/>
          <w:sz w:val="28"/>
        </w:rPr>
      </w:pPr>
      <w:r>
        <w:rPr>
          <w:rFonts w:ascii="Franklin Gothic Demi;sans-serif" w:hAnsi="Franklin Gothic Demi;sans-serif"/>
          <w:b w:val="false"/>
          <w:color w:val="00587F"/>
          <w:sz w:val="28"/>
        </w:rPr>
        <w:t>FINANCIAL CONDITION, LIQUIDITY AND CAPITAL RESOURCES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financial condition is summarized as follows:</w:t>
      </w:r>
    </w:p>
    <w:tbl>
      <w:tblPr>
        <w:tblW w:w="10205" w:type="dxa"/>
        <w:jc w:val="left"/>
        <w:tblInd w:w="0" w:type="dxa"/>
        <w:tblLayout w:type="fixed"/>
        <w:tblCellMar>
          <w:top w:w="28" w:type="dxa"/>
          <w:left w:w="28" w:type="dxa"/>
          <w:bottom w:w="28" w:type="dxa"/>
          <w:right w:w="28" w:type="dxa"/>
        </w:tblCellMar>
      </w:tblPr>
      <w:tblGrid>
        <w:gridCol w:w="971"/>
        <w:gridCol w:w="852"/>
        <w:gridCol w:w="856"/>
        <w:gridCol w:w="109"/>
        <w:gridCol w:w="109"/>
        <w:gridCol w:w="109"/>
        <w:gridCol w:w="335"/>
        <w:gridCol w:w="1220"/>
        <w:gridCol w:w="173"/>
        <w:gridCol w:w="109"/>
        <w:gridCol w:w="109"/>
        <w:gridCol w:w="109"/>
        <w:gridCol w:w="409"/>
        <w:gridCol w:w="1485"/>
        <w:gridCol w:w="211"/>
        <w:gridCol w:w="109"/>
        <w:gridCol w:w="109"/>
        <w:gridCol w:w="109"/>
        <w:gridCol w:w="211"/>
        <w:gridCol w:w="825"/>
        <w:gridCol w:w="109"/>
        <w:gridCol w:w="109"/>
        <w:gridCol w:w="109"/>
        <w:gridCol w:w="109"/>
        <w:gridCol w:w="306"/>
        <w:gridCol w:w="310"/>
        <w:gridCol w:w="624"/>
      </w:tblGrid>
      <w:tr>
        <w:trPr/>
        <w:tc>
          <w:tcPr>
            <w:tcW w:w="97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2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2,758.8 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2,375.0 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383.8 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16.2 </w:t>
            </w:r>
          </w:p>
        </w:tc>
        <w:tc>
          <w:tcPr>
            <w:tcW w:w="6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2,758.8 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2,375.0 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383.8 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16.2 </w:t>
            </w:r>
          </w:p>
        </w:tc>
        <w:tc>
          <w:tcPr>
            <w:tcW w:w="6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portion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1,748.6 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(1,748.6)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6,283.7 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4,547.2 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1,736.5 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38.2 </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6,283.7 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6,295.8 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(0.2)</w:t>
            </w:r>
          </w:p>
        </w:tc>
        <w:tc>
          <w:tcPr>
            <w:tcW w:w="6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Working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7,967.7 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7,456.8 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510.9 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6.9 </w:t>
            </w:r>
          </w:p>
        </w:tc>
        <w:tc>
          <w:tcPr>
            <w:tcW w:w="6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(3,183.7)</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(5,528.8)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2,345.1 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(42.4)</w:t>
            </w:r>
          </w:p>
        </w:tc>
        <w:tc>
          <w:tcPr>
            <w:tcW w:w="6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working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4,784.0 </w:t>
            </w:r>
          </w:p>
        </w:tc>
        <w:tc>
          <w:tcPr>
            <w:tcW w:w="1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1,928.0 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2,856.0 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148.1 </w:t>
            </w:r>
          </w:p>
        </w:tc>
        <w:tc>
          <w:tcPr>
            <w:tcW w:w="6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nm</w:t>
      </w:r>
      <w:r>
        <w:rPr>
          <w:color w:val="000000"/>
        </w:rPr>
        <w:t xml:space="preserve"> </w:t>
      </w:r>
      <w:r>
        <w:rPr>
          <w:rFonts w:ascii="Franklin Gothic Book;sans-serif" w:hAnsi="Franklin Gothic Book;sans-serif"/>
          <w:b w:val="false"/>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OVERVIEW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historically financed and expect to continue to fund our operating and capital expenditures primarily through cash flow earned through our operations and borrowings, as well as our existing cash resources. We believe that generic and biosimilar competition for many of our key products, the continued overall decline of our MS business and our investments in the launch of key new products and the development of our pipeline will have a significant adverse impact on our future cash flow from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2025 the first milestone related to the fourth patient dosed in a phase 3 clinical trial of felzartamab for AMR was achieved, resulting in a $150.0 million milestone payment made to the former shareholders of HI-Bio, which was substantially paid in July 2025. We expect to achieve the second milestone payment of $150.0 million related to the fourth patient dosed in a phase 3 clinical trial of felzartamab for IgAN during the third quarter of 2025.</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certain risks that could negatively impact our financial position or future results of operations, please read </w:t>
      </w:r>
      <w:r>
        <w:rPr>
          <w:rFonts w:ascii="Franklin Gothic Book;sans-serif" w:hAnsi="Franklin Gothic Book;sans-serif"/>
          <w:b w:val="false"/>
          <w:i/>
          <w:color w:val="000000"/>
          <w:sz w:val="20"/>
        </w:rPr>
        <w:t>Item 1A.</w:t>
      </w:r>
      <w:r>
        <w:rPr>
          <w:color w:val="000000"/>
        </w:rPr>
        <w:t xml:space="preserve"> </w:t>
      </w:r>
      <w:r>
        <w:rPr>
          <w:rFonts w:ascii="Franklin Gothic Book;sans-serif" w:hAnsi="Franklin Gothic Book;sans-serif"/>
          <w:b w:val="false"/>
          <w:i/>
          <w:color w:val="000000"/>
          <w:sz w:val="20"/>
        </w:rPr>
        <w:t>Risk Factors</w:t>
      </w:r>
      <w:r>
        <w:rPr>
          <w:color w:val="000000"/>
        </w:rPr>
        <w:t xml:space="preserve"> </w:t>
      </w:r>
      <w:r>
        <w:rPr>
          <w:rFonts w:ascii="Franklin Gothic Book;sans-serif" w:hAnsi="Franklin Gothic Book;sans-serif"/>
          <w:b w:val="false"/>
          <w:color w:val="000000"/>
          <w:sz w:val="20"/>
        </w:rPr>
        <w:t xml:space="preserve">and </w:t>
      </w:r>
      <w:r>
        <w:rPr>
          <w:rFonts w:ascii="Franklin Gothic Book;sans-serif" w:hAnsi="Franklin Gothic Book;sans-serif"/>
          <w:b w:val="false"/>
          <w:i/>
          <w:color w:val="000000"/>
          <w:sz w:val="20"/>
        </w:rPr>
        <w:t>Item 3. Quantitative and Qualitative Disclosures About Market Risk</w:t>
      </w:r>
      <w:r>
        <w:rPr>
          <w:color w:val="000000"/>
        </w:rPr>
        <w:t xml:space="preserve"> </w:t>
      </w:r>
      <w:r>
        <w:rPr>
          <w:rFonts w:ascii="Franklin Gothic Book;sans-serif" w:hAnsi="Franklin Gothic Book;sans-serif"/>
          <w:b w:val="false"/>
          <w:color w:val="000000"/>
          <w:sz w:val="20"/>
        </w:rPr>
        <w:t>included in this report.</w:t>
      </w:r>
    </w:p>
    <w:p>
      <w:pPr>
        <w:pStyle w:val="TextBody"/>
        <w:bidi w:val="0"/>
        <w:spacing w:lineRule="auto" w:line="276"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LIQUIDITY</w:t>
      </w:r>
    </w:p>
    <w:p>
      <w:pPr>
        <w:pStyle w:val="TextBody"/>
        <w:bidi w:val="0"/>
        <w:spacing w:lineRule="auto" w:line="276"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WORKING CAPITAL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Working capital is defined as current assets less current liabilities. Our working capital was $4.8 billion and $1.9 billion as of June 30, 2025 and December 31, 2024, respectively. The change in working capital reflects an increase in total current assets of approximately $510.9 million and a decrease in total current liabilities of approximately $2.3 billion. The changes in total current assets and total current liabilities were primarily driven by the following:</w:t>
      </w:r>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CURRENT ASSETS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$383.8 million increase in cash and cash equivalents;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$219.4 million increase in accounts receivable, net related to our ongoing operations; and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$186.2 million</w:t>
      </w:r>
      <w:r>
        <w:rPr>
          <w:color w:val="000000"/>
        </w:rPr>
        <w:t xml:space="preserve"> </w:t>
      </w:r>
      <w:r>
        <w:rPr>
          <w:rFonts w:ascii="Franklin Gothic Book;sans-serif" w:hAnsi="Franklin Gothic Book;sans-serif"/>
          <w:b w:val="false"/>
          <w:color w:val="000000"/>
          <w:sz w:val="20"/>
        </w:rPr>
        <w:t>decrease</w:t>
      </w:r>
      <w:r>
        <w:rPr>
          <w:color w:val="000000"/>
        </w:rPr>
        <w:t xml:space="preserve"> </w:t>
      </w:r>
      <w:r>
        <w:rPr>
          <w:rFonts w:ascii="Franklin Gothic Book;sans-serif" w:hAnsi="Franklin Gothic Book;sans-serif"/>
          <w:b w:val="false"/>
          <w:color w:val="000000"/>
          <w:sz w:val="20"/>
        </w:rPr>
        <w:t>in inventory primarily due to timing of production</w:t>
      </w:r>
      <w:r>
        <w:rPr>
          <w:rFonts w:ascii="Franklin Gothic Book;sans-serif" w:hAnsi="Franklin Gothic Book;sans-serif"/>
          <w:b w:val="false"/>
          <w:color w:val="EE2724"/>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7955"/>
                <wp:effectExtent l="0" t="0" r="0" b="0"/>
                <wp:wrapNone/>
                <wp:docPr id="86"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CURRENT LIABILITIES</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 xml:space="preserve">$1.7 billion decrease in the current portion of notes payable due to the redemption of our 4.050% Senior Notes due September 15, 2025, during the second quarter of 2025 prior to maturity; </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$433.5 million decrease in taxes payable primarily due to the timing of tax payments; and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$147.2 million decrease in accrued expense and other primarily due to the timing of our annual incentive compensation payment and collaboration-related payments, partially offset by an increase in derivative contract liabilities.</w:t>
      </w:r>
    </w:p>
    <w:p>
      <w:pPr>
        <w:pStyle w:val="TextBody"/>
        <w:bidi w:val="0"/>
        <w:spacing w:lineRule="auto" w:line="276"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CASH, CASH EQUIVALENTS AND MARKETABLE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2025, we had cash and cash equivalents totaling approximately $2.8 billion compared to approximately $2.4 billion as of December 31, 2024. The increase in the balance was primarily due to cash flows from operations, which includes $100.0 million of research and development funding received from Royalty Pharma, partially offset by a $165.0 million upfront payment made to Stoke in connection with the closing of our collaboration and license agreement and a $46.0 million milestone and convertible note payment made in connection with our strategic research arrangement with City Therapeutics. During the second quarter of 2025 we received $1.75 billion in net proceeds from the issuance of our 2025 Senior Notes, which was offset by a $1.75 billion payment made for the redemption of our 4.050% Senior Notes due September 15, 2025, prior to maturity.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fair value of our significant common stock investments in our strategic investment portfolio:</w:t>
      </w:r>
    </w:p>
    <w:tbl>
      <w:tblPr>
        <w:tblW w:w="5288" w:type="dxa"/>
        <w:jc w:val="left"/>
        <w:tblInd w:w="0" w:type="dxa"/>
        <w:tblLayout w:type="fixed"/>
        <w:tblCellMar>
          <w:top w:w="28" w:type="dxa"/>
          <w:left w:w="28" w:type="dxa"/>
          <w:bottom w:w="28" w:type="dxa"/>
          <w:right w:w="28" w:type="dxa"/>
        </w:tblCellMar>
      </w:tblPr>
      <w:tblGrid>
        <w:gridCol w:w="456"/>
        <w:gridCol w:w="401"/>
        <w:gridCol w:w="403"/>
        <w:gridCol w:w="109"/>
        <w:gridCol w:w="109"/>
        <w:gridCol w:w="109"/>
        <w:gridCol w:w="318"/>
        <w:gridCol w:w="928"/>
        <w:gridCol w:w="164"/>
        <w:gridCol w:w="109"/>
        <w:gridCol w:w="109"/>
        <w:gridCol w:w="109"/>
        <w:gridCol w:w="422"/>
        <w:gridCol w:w="1233"/>
        <w:gridCol w:w="309"/>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26DCE"/>
                <w:sz w:val="16"/>
              </w:rPr>
            </w:pPr>
            <w:r>
              <w:rPr>
                <w:rFonts w:ascii="Franklin Gothic Book;sans-serif" w:hAnsi="Franklin Gothic Book;sans-serif"/>
                <w:b/>
                <w:color w:val="026DCE"/>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December 31, 2024</w:t>
            </w:r>
          </w:p>
        </w:tc>
      </w:tr>
      <w:tr>
        <w:trPr/>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Denali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9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100.1 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145.8 </w:t>
            </w:r>
          </w:p>
        </w:tc>
        <w:tc>
          <w:tcPr>
            <w:tcW w:w="3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Sage</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56.9 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33.9 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9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157.0 </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179.7 </w:t>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As set forth in the amended Schedule 13D we filed with the SEC on July 30, 2025, we have disposed of all of our shares of Sage common stock in a block trade.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2025 Sage announced it entered into a definitive agreement for Supernus Pharmaceuticals, Inc. to acquire Sage, with the transaction expected to close in the third quarter of 2025.</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 xml:space="preserve">Note 19, Collaborative and Other Relationships, </w:t>
      </w:r>
      <w:r>
        <w:rPr>
          <w:rFonts w:ascii="Franklin Gothic Book;sans-serif" w:hAnsi="Franklin Gothic Book;sans-serif"/>
          <w:b w:val="false"/>
          <w:color w:val="000000"/>
          <w:sz w:val="20"/>
        </w:rPr>
        <w:t>to our condensed consolidated financial statements included in this report</w:t>
      </w:r>
      <w:r>
        <w:rPr>
          <w:rFonts w:ascii="Franklin Gothic Book;sans-serif" w:hAnsi="Franklin Gothic Book;sans-serif"/>
          <w:b w:val="false"/>
          <w:i/>
          <w:color w:val="000000"/>
          <w:sz w:val="20"/>
        </w:rPr>
        <w:t xml:space="preserve">. </w:t>
      </w:r>
      <w:r>
        <w:rPr>
          <w:rFonts w:ascii="Franklin Gothic Book;sans-serif" w:hAnsi="Franklin Gothic Book;sans-serif"/>
          <w:b w:val="false"/>
          <w:color w:val="000000"/>
          <w:sz w:val="20"/>
        </w:rPr>
        <w:t xml:space="preserve">For additional information on our 2025 Senior Notes, please read </w:t>
      </w:r>
      <w:r>
        <w:rPr>
          <w:rFonts w:ascii="Franklin Gothic Book;sans-serif" w:hAnsi="Franklin Gothic Book;sans-serif"/>
          <w:b w:val="false"/>
          <w:i/>
          <w:color w:val="000000"/>
          <w:sz w:val="20"/>
        </w:rPr>
        <w:t>Note 13, Indebtedness</w:t>
      </w:r>
      <w:r>
        <w:rPr>
          <w:rFonts w:ascii="Franklin Gothic Book;sans-serif" w:hAnsi="Franklin Gothic Book;sans-serif"/>
          <w:b w:val="false"/>
          <w:color w:val="000000"/>
          <w:sz w:val="20"/>
        </w:rPr>
        <w:t>,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CASH FLOW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cash flow activity:</w:t>
      </w:r>
    </w:p>
    <w:tbl>
      <w:tblPr>
        <w:tblW w:w="9180" w:type="dxa"/>
        <w:jc w:val="left"/>
        <w:tblInd w:w="0" w:type="dxa"/>
        <w:tblLayout w:type="fixed"/>
        <w:tblCellMar>
          <w:top w:w="28" w:type="dxa"/>
          <w:left w:w="28" w:type="dxa"/>
          <w:bottom w:w="28" w:type="dxa"/>
          <w:right w:w="28" w:type="dxa"/>
        </w:tblCellMar>
      </w:tblPr>
      <w:tblGrid>
        <w:gridCol w:w="1702"/>
        <w:gridCol w:w="1493"/>
        <w:gridCol w:w="1500"/>
        <w:gridCol w:w="109"/>
        <w:gridCol w:w="109"/>
        <w:gridCol w:w="109"/>
        <w:gridCol w:w="224"/>
        <w:gridCol w:w="656"/>
        <w:gridCol w:w="116"/>
        <w:gridCol w:w="116"/>
        <w:gridCol w:w="116"/>
        <w:gridCol w:w="116"/>
        <w:gridCol w:w="224"/>
        <w:gridCol w:w="816"/>
        <w:gridCol w:w="116"/>
        <w:gridCol w:w="116"/>
        <w:gridCol w:w="116"/>
        <w:gridCol w:w="116"/>
        <w:gridCol w:w="344"/>
        <w:gridCol w:w="346"/>
        <w:gridCol w:w="620"/>
      </w:tblGrid>
      <w:tr>
        <w:trPr/>
        <w:tc>
          <w:tcPr>
            <w:tcW w:w="170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Six Months Ended June 30,</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420.2 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1,179.0 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(64.4)</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(104.3)</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400.5 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(126.0)</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(34.7)</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(684.8)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(94.9)</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OPERATING ACTIVITIES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cash flow is derived by adjusting our net income for:</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non-cash operating items such as depreciation and amortization, impairment charges, unrealized (gain) loss on strategic investments and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7955"/>
                <wp:effectExtent l="0" t="0" r="0" b="0"/>
                <wp:wrapNone/>
                <wp:docPr id="87"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changes in operating assets and liabilities, which reflect timing differences between the receipt and payment of cash associated with transactions and when they are recognized in results of operations; and</w:t>
      </w:r>
    </w:p>
    <w:p>
      <w:pPr>
        <w:pStyle w:val="TextBody"/>
        <w:bidi w:val="0"/>
        <w:spacing w:lineRule="auto" w:line="288" w:before="60" w:after="283"/>
        <w:ind w:left="0" w:right="0" w:hanging="360"/>
        <w:jc w:val="left"/>
        <w:rPr/>
      </w:pPr>
      <w:r>
        <w:rPr>
          <w:color w:val="0070C0"/>
        </w:rPr>
        <w:t>•</w:t>
      </w:r>
      <w:r>
        <w:rPr>
          <w:rFonts w:ascii="Franklin Gothic Book;sans-serif" w:hAnsi="Franklin Gothic Book;sans-serif"/>
          <w:b w:val="false"/>
          <w:color w:val="000000"/>
          <w:sz w:val="20"/>
        </w:rPr>
        <w:t>(gains) losses on the disposal of assets, deferred income taxes, changes in the fair value of contingent payments associated with our acquisitions of businesses and acquired in-process research and development.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2025, compared to the same period in 2024, the decrease in net cash flow provided by operating activities was primarily due to lower net income in 2025, which included $247.3 million of acquired in-process research and development, upfront and milestone payments, higher worldwide tax payments in 2025, compared to the same period in 2024, of approximately $774.7 million due to the timing of estimated payments, the timing of customer payments and higher employee-benefit payments made during the first quarter of 2025 compared to the same period in 2024. The decrease was offset in part by lower inventory levels and $100.0 million of research and development funding received from Royalty Pharma in 2025.</w:t>
      </w:r>
    </w:p>
    <w:p>
      <w:pPr>
        <w:pStyle w:val="TextBody"/>
        <w:bidi w:val="0"/>
        <w:spacing w:lineRule="auto" w:line="288" w:before="18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INVESTING ACTIVITIES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the six months ended June 30, 2025, compared to the same period in 2024, the change in net cash flow in investing activities was primarily due to the 2024 receipt of </w:t>
      </w:r>
      <w:r>
        <w:rPr>
          <w:rFonts w:ascii="Franklin Gothic Book;sans-serif" w:hAnsi="Franklin Gothic Book;sans-serif"/>
          <w:b w:val="false"/>
          <w:color w:val="000000"/>
          <w:sz w:val="20"/>
          <w:shd w:fill="FFFFFF" w:val="clear"/>
        </w:rPr>
        <w:t>$437.5 million</w:t>
      </w:r>
      <w:r>
        <w:rPr>
          <w:color w:val="000000"/>
        </w:rPr>
        <w:t xml:space="preserve"> </w:t>
      </w:r>
      <w:r>
        <w:rPr>
          <w:rFonts w:ascii="Franklin Gothic Book;sans-serif" w:hAnsi="Franklin Gothic Book;sans-serif"/>
          <w:b w:val="false"/>
          <w:color w:val="000000"/>
          <w:sz w:val="20"/>
        </w:rPr>
        <w:t xml:space="preserve">from Samsung BioLogics related to the sale of our 49.9% equity interest in Samsung Bioepis and the 2024 receipt of </w:t>
      </w:r>
      <w:r>
        <w:rPr>
          <w:rFonts w:ascii="Franklin Gothic Book;sans-serif" w:hAnsi="Franklin Gothic Book;sans-serif"/>
          <w:b w:val="false"/>
          <w:color w:val="000000"/>
          <w:sz w:val="20"/>
          <w:shd w:fill="FFFFFF" w:val="clear"/>
        </w:rPr>
        <w:t>$103.0 million</w:t>
      </w:r>
      <w:r>
        <w:rPr>
          <w:color w:val="000000"/>
        </w:rPr>
        <w:t xml:space="preserve"> </w:t>
      </w:r>
      <w:r>
        <w:rPr>
          <w:rFonts w:ascii="Franklin Gothic Book;sans-serif" w:hAnsi="Franklin Gothic Book;sans-serif"/>
          <w:b w:val="false"/>
          <w:color w:val="000000"/>
          <w:sz w:val="20"/>
        </w:rPr>
        <w:t>from the sale of one of our two PRVs.</w:t>
      </w:r>
    </w:p>
    <w:p>
      <w:pPr>
        <w:pStyle w:val="TextBody"/>
        <w:bidi w:val="0"/>
        <w:spacing w:lineRule="auto" w:line="288" w:before="120" w:after="283"/>
        <w:jc w:val="left"/>
        <w:rPr>
          <w:rFonts w:ascii="Franklin Gothic Demi;sans-serif" w:hAnsi="Franklin Gothic Demi;sans-serif"/>
          <w:b w:val="false"/>
          <w:color w:val="000000"/>
          <w:sz w:val="22"/>
        </w:rPr>
      </w:pPr>
      <w:r>
        <w:rPr>
          <w:rFonts w:ascii="Franklin Gothic Demi;sans-serif" w:hAnsi="Franklin Gothic Demi;sans-serif"/>
          <w:b w:val="false"/>
          <w:color w:val="000000"/>
          <w:sz w:val="22"/>
        </w:rPr>
        <w:t>FINANCING ACTIVITIES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six months ended June 30, 2025, compared to the same period in 2024, the change in net cash flow in financing activities was primarily due to $1.75 billion in net proceeds received from the issuance of our 2025 Senior Notes, which was offset by a $1.75 billion payment made for the redemption of our 4.050% Senior Notes due September 15, 2025, prior to maturity. Net cash flow used in financing activities during the six months ended June 30, 2024, included the repayment of our 2023 Term Loan for $650.0 million.</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Senior Notes and our 2023 Term Loan, please read </w:t>
      </w:r>
      <w:r>
        <w:rPr>
          <w:rFonts w:ascii="Franklin Gothic Book;sans-serif" w:hAnsi="Franklin Gothic Book;sans-serif"/>
          <w:b w:val="false"/>
          <w:i/>
          <w:color w:val="000000"/>
          <w:sz w:val="20"/>
        </w:rPr>
        <w:t>Note 13, Indebtedness</w:t>
      </w:r>
      <w:r>
        <w:rPr>
          <w:rFonts w:ascii="Franklin Gothic Book;sans-serif" w:hAnsi="Franklin Gothic Book;sans-serif"/>
          <w:b w:val="false"/>
          <w:color w:val="000000"/>
          <w:sz w:val="20"/>
        </w:rPr>
        <w:t>,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CAPITAL RESOURCES</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DEBT AND CREDIT FACILITIES</w:t>
      </w:r>
    </w:p>
    <w:p>
      <w:pPr>
        <w:pStyle w:val="TextBody"/>
        <w:bidi w:val="0"/>
        <w:spacing w:lineRule="auto" w:line="288" w:before="120" w:after="283"/>
        <w:jc w:val="left"/>
        <w:rPr>
          <w:rFonts w:ascii="Franklin Gothic Demi;sans-serif" w:hAnsi="Franklin Gothic Demi;sans-serif"/>
          <w:b/>
          <w:color w:val="000000"/>
          <w:sz w:val="22"/>
        </w:rPr>
      </w:pPr>
      <w:r>
        <w:rPr>
          <w:rFonts w:ascii="Franklin Gothic Demi;sans-serif" w:hAnsi="Franklin Gothic Demi;sans-serif"/>
          <w:b/>
          <w:color w:val="000000"/>
          <w:sz w:val="22"/>
        </w:rPr>
        <w:t>LONG-TERM DEBT AND TERM LOAN CREDIT AGREEMENTS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long-term obligations primarily consist of long-term debt related to our Senior Notes with final maturity dates ranging between 2030 and 2055. As of June 30, 2025, our outstanding balance related to long-term debt was $6.3 billion, net of discounts and debt offering costs.</w:t>
      </w:r>
    </w:p>
    <w:p>
      <w:pPr>
        <w:pStyle w:val="TextBody"/>
        <w:bidi w:val="0"/>
        <w:spacing w:lineRule="auto" w:line="288" w:before="120" w:after="283"/>
        <w:jc w:val="left"/>
        <w:rPr>
          <w:rFonts w:ascii="Franklin Gothic Book;sans-serif" w:hAnsi="Franklin Gothic Book;sans-serif"/>
          <w:b w:val="false"/>
          <w:color w:val="0070C0"/>
          <w:sz w:val="20"/>
        </w:rPr>
      </w:pPr>
      <w:r>
        <w:rPr>
          <w:rFonts w:ascii="Franklin Gothic Book;sans-serif" w:hAnsi="Franklin Gothic Book;sans-serif"/>
          <w:b w:val="false"/>
          <w:color w:val="0070C0"/>
          <w:sz w:val="20"/>
        </w:rPr>
        <w:t>2025 SENIOR NOTES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May 12, 2025, we issued our 2025 Senior Notes for an aggregate principal amount of $1.75 billion. In June 2025 we used the net proceeds from the sale of our 2025 Senior Notes to redeem our 4.050% Senior Notes due September 15, 2025, prior to maturity.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relating to our 2025 Senior Notes, please read </w:t>
      </w:r>
      <w:r>
        <w:rPr>
          <w:rFonts w:ascii="Franklin Gothic Book;sans-serif" w:hAnsi="Franklin Gothic Book;sans-serif"/>
          <w:b w:val="false"/>
          <w:i/>
          <w:color w:val="000000"/>
          <w:sz w:val="20"/>
        </w:rPr>
        <w:t>Note 13, Indebtedness</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20" w:after="283"/>
        <w:jc w:val="left"/>
        <w:rPr>
          <w:rFonts w:ascii="Franklin Gothic Book;sans-serif" w:hAnsi="Franklin Gothic Book;sans-serif"/>
          <w:b w:val="false"/>
          <w:color w:val="0070C0"/>
          <w:sz w:val="20"/>
        </w:rPr>
      </w:pPr>
      <w:r>
        <w:rPr>
          <w:rFonts w:ascii="Franklin Gothic Book;sans-serif" w:hAnsi="Franklin Gothic Book;sans-serif"/>
          <w:b w:val="false"/>
          <w:color w:val="0070C0"/>
          <w:sz w:val="20"/>
        </w:rPr>
        <w:t>2023 TERM LOAN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Reata in September 2023 we entered into a $1.5 billion term loan credit agreement. On the closing date of the Reata acquisition we drew $1.0 billion from the 2023 Term Loan, comprised of a $500.0 million floating rate 364-day tranche and a $500.0 million floating rate three-year tranche. The remaining unused commitment of $500.0 million was terminated. As of December 31, 2023, we repaid $350.0 million of the 364--day tranche. The remaining $150.0 million portion of the 364-day tranche was repaid during the first quarter of 2024.</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during the first quarter of 2024 we repaid $250.0 million of the three-year tranche, with the remaining $250.0 million portion being subsequently repaid in full during the second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88"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Demi;sans-serif" w:hAnsi="Franklin Gothic Demi;sans-serif"/>
          <w:b/>
          <w:color w:val="000000"/>
          <w:sz w:val="22"/>
        </w:rPr>
      </w:pPr>
      <w:r>
        <w:rPr>
          <w:rFonts w:ascii="Franklin Gothic Demi;sans-serif" w:hAnsi="Franklin Gothic Demi;sans-serif"/>
          <w:b/>
          <w:color w:val="000000"/>
          <w:sz w:val="22"/>
        </w:rPr>
        <w:t>2024 REVOLVING CREDIT FACILITY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January 2020. As of June 30, 2025 and December 31, 2024, we had no outstanding borrowings and were in compliance with all covenants under this facility.</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summary of the fair and carrying values of our outstanding borrowings as of June 30, 2025 and December 31, 2024, please read </w:t>
      </w:r>
      <w:r>
        <w:rPr>
          <w:rFonts w:ascii="Franklin Gothic Book;sans-serif" w:hAnsi="Franklin Gothic Book;sans-serif"/>
          <w:b w:val="false"/>
          <w:i/>
          <w:color w:val="000000"/>
          <w:sz w:val="20"/>
        </w:rPr>
        <w:t>Note 8, Fair Value Measurements,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credit facility please read, </w:t>
      </w:r>
      <w:r>
        <w:rPr>
          <w:rFonts w:ascii="Franklin Gothic Book;sans-serif" w:hAnsi="Franklin Gothic Book;sans-serif"/>
          <w:b w:val="false"/>
          <w:i/>
          <w:color w:val="000000"/>
          <w:sz w:val="20"/>
        </w:rPr>
        <w:t>Note 13, Indebtedness</w:t>
      </w:r>
      <w:r>
        <w:rPr>
          <w:rFonts w:ascii="Franklin Gothic Book;sans-serif" w:hAnsi="Franklin Gothic Book;sans-serif"/>
          <w:b w:val="false"/>
          <w:color w:val="000000"/>
          <w:sz w:val="20"/>
        </w:rPr>
        <w:t>, to our consolidated financial statements included in our 2024 Form 10-K.</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SHARE REPURCHASE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and six months ended June 30, 2025 and 2024. Approximately $2.1 billion remained available under our 2020 Share Repurchase Program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8"/>
        </w:rPr>
      </w:pPr>
      <w:r>
        <w:rPr>
          <w:rFonts w:ascii="Franklin Gothic Demi;sans-serif" w:hAnsi="Franklin Gothic Demi;sans-serif"/>
          <w:b/>
          <w:color w:val="0070C0"/>
          <w:sz w:val="28"/>
        </w:rPr>
        <w:t>CONTRACTUAL OBLIGATIONS AND OFF-BALANCE SHEET ARRANGEMENTS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CONTRACTUAL OBLIGATIONS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contractual obligations primarily consist of our obligations under non-cancellable operating leases, long-term debt obligations and defined benefit and other purchase obligations, excluding amounts related to uncertain tax positions, funding commitments, research and development funding arrangements with third parties, contingent development, regulatory and commercial milestone payments and contingent payments, as described below.</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addition, certain of our collaboration and licensing arrangements include royalty payment obligations. For additional information on our royalty payments please read, </w:t>
      </w:r>
      <w:r>
        <w:rPr>
          <w:rFonts w:ascii="Franklin Gothic Book;sans-serif" w:hAnsi="Franklin Gothic Book;sans-serif"/>
          <w:b w:val="false"/>
          <w:i/>
          <w:color w:val="000000"/>
          <w:sz w:val="20"/>
        </w:rPr>
        <w:t>Note 22, Commitments and Contingencies</w:t>
      </w:r>
      <w:r>
        <w:rPr>
          <w:rFonts w:ascii="Franklin Gothic Book;sans-serif" w:hAnsi="Franklin Gothic Book;sans-serif"/>
          <w:b w:val="false"/>
          <w:color w:val="000000"/>
          <w:sz w:val="20"/>
        </w:rPr>
        <w:t>, to our consolidated financial statements included in our 2024 Form 10-K.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in our real estate footprint in Massachusetts, this new lease is intended to replace two existing leases, both in Cambridge, Massachusetts, including our current corporate headquarters. We expect the initial lease term of approximately 15.5 years to commence on May 31, 2028. The estimated minimum lease payments as a result of the new lease total approximately $1.5 billion over the initial lease term. We have an option to extend the lease for three extension periods of five years each and one six month short-term extension, at then market-based rates. We will account for this lease as a right-of-use asset and lease liability upon the lease commencement date.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Aside from our new lease agreement, there have been no material changes in our contractual obligations, including those related to our other lease agreements, since December 31, 2024.</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CONTINGENT CONSIDERATION RELATED TO BUSINESS COMBINATIONS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an additional $650.0 million </w:t>
      </w:r>
      <w:r>
        <w:rPr>
          <w:rFonts w:ascii="Franklin Gothic Book;sans-serif" w:hAnsi="Franklin Gothic Book;sans-serif"/>
          <w:b w:val="false"/>
          <w:color w:val="000000"/>
          <w:sz w:val="20"/>
          <w:shd w:fill="FFFFFF" w:val="clear"/>
        </w:rPr>
        <w:t>in contingent development and regulatory milestone payments.</w:t>
      </w:r>
      <w:r>
        <w:rPr>
          <w:color w:val="000000"/>
        </w:rPr>
        <w:t xml:space="preserve"> </w:t>
      </w:r>
      <w:r>
        <w:rPr>
          <w:rFonts w:ascii="Franklin Gothic Book;sans-serif" w:hAnsi="Franklin Gothic Book;sans-serif"/>
          <w:b w:val="false"/>
          <w:color w:val="000000"/>
          <w:sz w:val="20"/>
        </w:rPr>
        <w:t>The acquisition-date fair value of these milestones was approximately $485.1 million.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2025 the first milestone related to the fourth patient dosed in a phase 3 clinical trial of felzartamab for AMR was achieved, resulting in a $150.0 million milestone payment made to the former shareholders of HI-Bio, which was substantially paid in July 2025. We expect to achieve the second milestone payment of $150.0 million related to the fourth patient dosed in a phase 3 clinical trial of felzartamab for IgAN during the third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89"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additional information on our acquisition of HI-Bio, please read </w:t>
      </w:r>
      <w:r>
        <w:rPr>
          <w:rFonts w:ascii="Franklin Gothic Book;sans-serif" w:hAnsi="Franklin Gothic Book;sans-serif"/>
          <w:b w:val="false"/>
          <w:i/>
          <w:color w:val="000000"/>
          <w:sz w:val="20"/>
        </w:rPr>
        <w:t>Note 2, Acquisitions</w:t>
      </w:r>
      <w:r>
        <w:rPr>
          <w:rFonts w:ascii="Franklin Gothic Book;sans-serif" w:hAnsi="Franklin Gothic Book;sans-serif"/>
          <w:b w:val="false"/>
          <w:color w:val="000000"/>
          <w:sz w:val="20"/>
        </w:rPr>
        <w:t>, to our condensed consolidated financial statements included in this report.</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CONTINGENT DEVELOPMENT, REGULATORY AND COMMERCIAL MILESTONE PAYMENTS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Based on our development plans as of June 30, 2025, we could make potential future milestone payments to third parties of up to approximately $4.3 billion, including approximately $0.5 billion in development milestones, approximately $0.7 billion in regulatory milestones and approximately $3.1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June 30, 2025,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If certain research milestones are met, we may pay up to approximately $10.0 million in additional milestones in 2025 under our current agreements, excluding opt-in payments.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OTHER FUNDING COMMITMENTS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June 30, 2025, we have several ongoing clinical studies in various clinical trial stages. Our most significant clinical trial expenditures are to CROs. The contracts with CROs are generally cancellable, with notice, at our option. We recorded accrued expense of approximately $38.4 million in our condensed consolidated balance sheets for expenditures incurred by CROs as of June 30, 2025. We have approximately $514.3 million in cancellable future commitments based on existing CRO contracts as of June 30, 2025.</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TAX RELATED OBLIGATIONS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exclude liabilities pertaining to uncertain tax positions from our summary of contractual obligations as we cannot make a reliable estimate of the period of cash settlement with the respective taxing authorities. As of June 30, 2025, we have approximately $168.6 million of liabilities associated with uncertain tax positions.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December 31, 2024, we had accrued income tax liabilities of approximately $234.0 million under the Transition Toll Tax, which was subsequently paid in full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8"/>
        </w:rPr>
      </w:pPr>
      <w:r>
        <w:rPr>
          <w:rFonts w:ascii="Franklin Gothic Demi;sans-serif" w:hAnsi="Franklin Gothic Demi;sans-serif"/>
          <w:b/>
          <w:color w:val="0070C0"/>
          <w:sz w:val="28"/>
        </w:rPr>
        <w:t>NEW ACCOUNTING STANDARDS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discussion of new accounting standards please read </w:t>
      </w:r>
      <w:r>
        <w:rPr>
          <w:rFonts w:ascii="Franklin Gothic Book;sans-serif" w:hAnsi="Franklin Gothic Book;sans-serif"/>
          <w:b w:val="false"/>
          <w:i/>
          <w:color w:val="000000"/>
          <w:sz w:val="20"/>
        </w:rPr>
        <w:t>Note 1, Summary of Significant Accounting Policies,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Franklin Gothic Demi;sans-serif" w:hAnsi="Franklin Gothic Demi;sans-serif"/>
          <w:b/>
          <w:color w:val="0070C0"/>
          <w:sz w:val="28"/>
        </w:rPr>
      </w:pPr>
      <w:r>
        <w:rPr>
          <w:rFonts w:ascii="Franklin Gothic Demi;sans-serif" w:hAnsi="Franklin Gothic Demi;sans-serif"/>
          <w:b/>
          <w:color w:val="0070C0"/>
          <w:sz w:val="28"/>
        </w:rPr>
        <w:t>CRITICAL ACCOUNTING ESTIMATES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preparation of our condensed consolidated financial statements, which have been prepared in accordance with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There have been no material changes to our critical accounting estimates since our 2024 Form 10-K. For a discussion of our other critical accounting estimates, please read </w:t>
      </w:r>
      <w:r>
        <w:rPr>
          <w:rFonts w:ascii="Franklin Gothic Book;sans-serif" w:hAnsi="Franklin Gothic Book;sans-serif"/>
          <w:b w:val="false"/>
          <w:i/>
          <w:color w:val="000000"/>
          <w:sz w:val="20"/>
        </w:rPr>
        <w:t>Part II,</w:t>
      </w:r>
      <w:r>
        <w:rPr>
          <w:color w:val="000000"/>
        </w:rPr>
        <w:t xml:space="preserve"> </w:t>
      </w:r>
      <w:r>
        <w:rPr>
          <w:rFonts w:ascii="Franklin Gothic Book;sans-serif" w:hAnsi="Franklin Gothic Book;sans-serif"/>
          <w:b w:val="false"/>
          <w:i/>
          <w:color w:val="000000"/>
          <w:sz w:val="20"/>
        </w:rPr>
        <w:t>Item 7. Management’s Discussion and Analysis of Financial Condition and Results of Operations</w:t>
      </w:r>
      <w:r>
        <w:rPr>
          <w:color w:val="000000"/>
        </w:rPr>
        <w:t xml:space="preserve"> </w:t>
      </w:r>
      <w:r>
        <w:rPr>
          <w:rFonts w:ascii="Franklin Gothic Book;sans-serif" w:hAnsi="Franklin Gothic Book;sans-serif"/>
          <w:b w:val="false"/>
          <w:color w:val="000000"/>
          <w:sz w:val="20"/>
        </w:rPr>
        <w:t xml:space="preserve">in our 2024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3.    QUANTITATIVE AND QUALITATIVE DISCLOSURES ABOUT MARKET RISK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conflict between Russia and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90"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do not enter into financial instruments for trading or speculative purposes. The counterparties to these contracts are major financial institutions, and there is no significant concentration of exposure with any one counterparty. </w:t>
      </w:r>
    </w:p>
    <w:p>
      <w:pPr>
        <w:pStyle w:val="TextBody"/>
        <w:bidi w:val="0"/>
        <w:spacing w:lineRule="auto" w:line="288" w:before="18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FOREIGN CURRENCY EXCHANGE RISK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and Swiss franc.</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established revenue and operating expense hedging and balance sheet risk management programs to protect against volatility of future foreign currency cash flow and changes in fair value caused by volatility in foreign currency exchange rates.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June 30, 2025, and is not expected to have a material impact on our results of operations or financial position in the future.</w:t>
      </w:r>
    </w:p>
    <w:p>
      <w:pPr>
        <w:pStyle w:val="TextBody"/>
        <w:bidi w:val="0"/>
        <w:spacing w:lineRule="auto" w:line="288" w:before="180" w:after="283"/>
        <w:jc w:val="left"/>
        <w:rPr>
          <w:rFonts w:ascii="Franklin Gothic Demi;sans-serif" w:hAnsi="Franklin Gothic Demi;sans-serif"/>
          <w:b/>
          <w:color w:val="000000"/>
          <w:sz w:val="24"/>
        </w:rPr>
      </w:pPr>
      <w:r>
        <w:rPr>
          <w:rFonts w:ascii="Franklin Gothic Demi;sans-serif" w:hAnsi="Franklin Gothic Demi;sans-serif"/>
          <w:b/>
          <w:color w:val="000000"/>
          <w:sz w:val="24"/>
        </w:rPr>
        <w:t>REVENUE AND OPERATING EXPENSE HEDGING PROGRAM</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24 months. We do not engage in currency speculation. For a more detailed disclosure of our revenue and operating expense hedging program, please read </w:t>
      </w:r>
      <w:r>
        <w:rPr>
          <w:rFonts w:ascii="Franklin Gothic Book;sans-serif" w:hAnsi="Franklin Gothic Book;sans-serif"/>
          <w:b w:val="false"/>
          <w:i/>
          <w:color w:val="000000"/>
          <w:sz w:val="20"/>
        </w:rPr>
        <w:t>Note 10, Derivative Instruments,</w:t>
      </w:r>
      <w:r>
        <w:rPr>
          <w:color w:val="000000"/>
        </w:rPr>
        <w:t xml:space="preserve"> </w:t>
      </w:r>
      <w:r>
        <w:rPr>
          <w:rFonts w:ascii="Franklin Gothic Book;sans-serif" w:hAnsi="Franklin Gothic Book;sans-serif"/>
          <w:b w:val="false"/>
          <w:color w:val="000000"/>
          <w:sz w:val="20"/>
        </w:rPr>
        <w:t xml:space="preserve">to our condensed consolidated financial statements included in this report.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pStyle w:val="TextBody"/>
        <w:bidi w:val="0"/>
        <w:spacing w:lineRule="auto" w:line="288" w:before="180" w:after="283"/>
        <w:jc w:val="left"/>
        <w:rPr>
          <w:rFonts w:ascii="Franklin Gothic Demi;sans-serif" w:hAnsi="Franklin Gothic Demi;sans-serif"/>
          <w:b w:val="false"/>
          <w:color w:val="000000"/>
          <w:sz w:val="24"/>
        </w:rPr>
      </w:pPr>
      <w:r>
        <w:rPr>
          <w:rFonts w:ascii="Franklin Gothic Demi;sans-serif" w:hAnsi="Franklin Gothic Demi;sans-serif"/>
          <w:b w:val="false"/>
          <w:color w:val="000000"/>
          <w:sz w:val="24"/>
        </w:rPr>
        <w:t>BALANCE SHEET RISK MANAGEMENT HEDGING PROGRAM</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quantitative information includes the impact of currency movements on forward contracts used in our revenue, operating expense and balance sheet hedging programs. As of June 30, 2025 and December 31, 2024, a hypothetical adverse 10.0% movement in foreign currency exchange rates compared to the U.S. dollar across all maturities would result in a hypothetical decrease in the fair value of forward contracts of approximately $315.8 million and $191.7 million, respectively. The estimated fair value change was determined by measuring the impact of the hypothetical exchange rate movement on outstanding forward contracts. Our use of this methodology to quantify the market risk of such instruments is subject to assumptions and the actual impact could be significantly different. The quantitative information about market risk is limited because it does not take into account all foreign currency operating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91"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CREDIT RISK</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in certain countries where weakness in economic conditions, including the effects of the conflict between Russia and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believe that our allowance for doubtful accounts was adequate as of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4.     CONTROLS AND PROCEDURES</w:t>
      </w:r>
    </w:p>
    <w:p>
      <w:pPr>
        <w:pStyle w:val="TextBody"/>
        <w:bidi w:val="0"/>
        <w:spacing w:lineRule="auto" w:line="288" w:before="180" w:after="283"/>
        <w:jc w:val="left"/>
        <w:rPr>
          <w:rFonts w:ascii="Franklin Gothic Demi;sans-serif" w:hAnsi="Franklin Gothic Demi;sans-serif"/>
          <w:b/>
          <w:color w:val="0070C0"/>
          <w:sz w:val="24"/>
        </w:rPr>
      </w:pPr>
      <w:r>
        <w:rPr>
          <w:rFonts w:ascii="Franklin Gothic Demi;sans-serif" w:hAnsi="Franklin Gothic Demi;sans-serif"/>
          <w:b/>
          <w:color w:val="0070C0"/>
          <w:sz w:val="24"/>
        </w:rPr>
        <w:t>DISCLOSURE CONTROLS AND PROCEDURES AND INTERNAL CONTROL OVER FINANCIAL REPORTING</w:t>
      </w:r>
    </w:p>
    <w:p>
      <w:pPr>
        <w:pStyle w:val="TextBody"/>
        <w:bidi w:val="0"/>
        <w:spacing w:lineRule="auto" w:line="288" w:before="180" w:after="283"/>
        <w:jc w:val="left"/>
        <w:rPr>
          <w:rFonts w:ascii="Franklin Gothic Demi;sans-serif" w:hAnsi="Franklin Gothic Demi;sans-serif"/>
          <w:b/>
          <w:color w:val="000000"/>
          <w:sz w:val="24"/>
        </w:rPr>
      </w:pPr>
      <w:r>
        <w:rPr>
          <w:rFonts w:ascii="Franklin Gothic Demi;sans-serif" w:hAnsi="Franklin Gothic Demi;sans-serif"/>
          <w:b/>
          <w:color w:val="000000"/>
          <w:sz w:val="24"/>
        </w:rPr>
        <w:t>CONTROLS AND PROCEDURES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June 30, 2025. Based upon that evaluation, our principal executive officer and principal financial officer concluded that, as of the end of the period covered by this report, our disclosure controls and procedures are effective in ensuring that:</w:t>
      </w:r>
    </w:p>
    <w:p>
      <w:pPr>
        <w:pStyle w:val="TextBody"/>
        <w:bidi w:val="0"/>
        <w:spacing w:lineRule="auto" w:line="288" w:before="120" w:after="283"/>
        <w:ind w:left="0" w:right="0" w:hanging="27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the information required to be disclosed by us in the reports that we file or submit under the Securities Exchange Act is recorded, processed, summarized and reported within the time periods specified in the U.S. Securities and Exchange Commission’s rules and forms; and </w:t>
      </w:r>
    </w:p>
    <w:p>
      <w:pPr>
        <w:pStyle w:val="TextBody"/>
        <w:bidi w:val="0"/>
        <w:spacing w:lineRule="auto" w:line="288" w:before="120" w:after="283"/>
        <w:ind w:left="0" w:right="0" w:hanging="27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lineRule="auto" w:line="288" w:before="180" w:after="283"/>
        <w:jc w:val="left"/>
        <w:rPr>
          <w:rFonts w:ascii="Franklin Gothic Demi;sans-serif" w:hAnsi="Franklin Gothic Demi;sans-serif"/>
          <w:b/>
          <w:color w:val="000000"/>
          <w:sz w:val="24"/>
        </w:rPr>
      </w:pPr>
      <w:r>
        <w:rPr>
          <w:rFonts w:ascii="Franklin Gothic Demi;sans-serif" w:hAnsi="Franklin Gothic Demi;sans-serif"/>
          <w:b/>
          <w:color w:val="000000"/>
          <w:sz w:val="24"/>
        </w:rPr>
        <w:t>CHANGES IN INTERNAL CONTROL OVER FINANCIAL REPORTING</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There were no changes in our internal control over financial reporting during the quarter ended June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Franklin Gothic Demi;sans-serif" w:hAnsi="Franklin Gothic Demi;sans-serif"/>
          <w:b/>
          <w:color w:val="1C5A7D"/>
          <w:sz w:val="28"/>
        </w:rPr>
      </w:pPr>
      <w:r>
        <w:rPr>
          <w:rFonts w:ascii="Franklin Gothic Demi;sans-serif" w:hAnsi="Franklin Gothic Demi;sans-serif"/>
          <w:b/>
          <w:color w:val="1C5A7D"/>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1.    LEGAL PROCEEDINGS</w:t>
      </w:r>
    </w:p>
    <w:p>
      <w:pPr>
        <w:pStyle w:val="TextBody"/>
        <w:bidi w:val="0"/>
        <w:spacing w:lineRule="auto" w:line="288" w:before="120" w:after="283"/>
        <w:jc w:val="left"/>
        <w:rPr/>
      </w:pPr>
      <w:r>
        <w:rPr>
          <w:rFonts w:ascii="Franklin Gothic Book;sans-serif" w:hAnsi="Franklin Gothic Book;sans-serif"/>
          <w:b w:val="false"/>
          <w:color w:val="000000"/>
          <w:sz w:val="20"/>
        </w:rPr>
        <w:t xml:space="preserve">For a discussion of legal proceedings as of June 30, 2025, please read </w:t>
      </w:r>
      <w:r>
        <w:rPr>
          <w:rFonts w:ascii="Franklin Gothic Book;sans-serif" w:hAnsi="Franklin Gothic Book;sans-serif"/>
          <w:b w:val="false"/>
          <w:i/>
          <w:color w:val="000000"/>
          <w:sz w:val="20"/>
        </w:rPr>
        <w:t>Note 21, Litigation,</w:t>
      </w:r>
      <w:r>
        <w:rPr>
          <w:color w:val="000000"/>
        </w:rPr>
        <w:t xml:space="preserve"> </w:t>
      </w:r>
      <w:r>
        <w:rPr>
          <w:rFonts w:ascii="Franklin Gothic Book;sans-serif" w:hAnsi="Franklin Gothic Book;sans-serif"/>
          <w:b w:val="false"/>
          <w:color w:val="000000"/>
          <w:sz w:val="20"/>
        </w:rPr>
        <w:t>to our condensed consolidated financial statements included in this report, which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7955"/>
                <wp:effectExtent l="0" t="0" r="0" b="0"/>
                <wp:wrapNone/>
                <wp:docPr id="92"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Demi;sans-serif" w:hAnsi="Franklin Gothic Demi;sans-serif"/>
          <w:b w:val="false"/>
          <w:color w:val="000000"/>
          <w:sz w:val="28"/>
        </w:rPr>
      </w:pPr>
      <w:r>
        <w:rPr>
          <w:rFonts w:ascii="Franklin Gothic Demi;sans-serif" w:hAnsi="Franklin Gothic Demi;sans-serif"/>
          <w:b w:val="false"/>
          <w:color w:val="000000"/>
          <w:sz w:val="28"/>
        </w:rPr>
        <w:t>ITEM 1A.    RISK FACTORS</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Our Business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 xml:space="preserve">We are substantially dependent on revenue from our products.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our stock price: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introduction, greater acceptance or more favorable reimbursement of competing products, including new originator therapies, generics, prodrugs and biosimilars of existing products and products approved under abbreviated regulatory pathways;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safety or efficacy issues;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limitations and additional pressures on product pricing or price increases, including those relating to inflation and those resulting from governmental or regulatory requirements, including those relating to any future potential drug price negotiation under the IRA (or other legislative acts that may modify or replace the IRA); increased competition, including from generic or biosimilar versions of our products; or changes in, or implementation of, reimbursement policies and practices of payors and other third parties;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adverse legal, administrative, geopolitical, regulatory or legislative developments;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ability to maintain a positive reputation among patients, healthcare providers and others, which may be impacted by our pricing and reimbursement decisions.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LEQEMBI is in the early stages of commercial launch in the U.S. and certain international markets and SKYCLARYS is in the early stages of commercial launch in certain European markets. In addition to risks associated with new product launches and the other factors described in these Risk Factors, Biogen’s and Eisai’s ability to successfully commercialize LEQEMBI and our ability to successfully commercialize SKYCLARYS may be adversely affected due to:</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Eisai’s ability to obtain and maintain adequate reimbursement for LEQEMBI;</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the effectiveness of Eisai's and Biogen’s commercial strategy for marketing LEQEMBI;</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requirements such as participation in a registry and the use of imaging or other diagnostics for LEQEMBI;</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our ability to obtain approval in other markets;</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the approval and/or greater acceptance of other new products for the same or similar indications;</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Eisai’s and Biogen’s ability to maintain a positive reputation among patients, healthcare providers and others in the Alzheimer’s disease community, which may be impacted by pricing and reimbursement decisions relating to LEQEMBI, which are made by Eisai and/or third parties;</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Biogen's ability to obtain and maintain adequate reimbursement for SKYCLARYS; and</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color w:val="000000"/>
          <w:sz w:val="20"/>
        </w:rPr>
        <w:t>the effectiveness of Biogen's commercial strategy for marketing SKYCLARYS.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long-term success depends upon the successful development of new products and additional indications for our existing products.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long-term success will depend upon the successful development of new products from our research and development activities or our licenses or acquisitions from third parties, as well as the development of additional indications for our existing products. 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presents additional challenges and risks, including obtaining approval from regulatory authorities that have limited experience with the development of such therapies. For example, we are currently seeking approval of a subcutaneous formulation of LEQEMBI in the U.S. and any delays or challenges may impact our ability to realize the anticipated benefits from LEQEMBI.</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Clinical trial data are subject to differing interpretations and even if we view data as sufficient to support the safety, effectiveness and/or approval of a product candidate,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Success in preclinical work or early-stage clinical trials does not ensure that later stage or larger scale clinical trials will be successful. Clinical trials may indicate that our product candidates lack efficacy, have harmful side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7955"/>
                <wp:effectExtent l="0" t="0" r="0" b="0"/>
                <wp:wrapNone/>
                <wp:docPr id="93"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result in unexpected adverse events or raise other concerns that may significantly reduce or delay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Even if we could successfully develop new products or additional indications for our existing products, we may make a strategic decision to discontinue development of a product candidate or an additional indication for our existing products if, for example, we believe commercialization will be difficult relative to the standard of care or we prioritize other opportunities in our pipeline.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If we fail to compete effectively, our business and market position would suffer.</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has in the past and may in the future be automatically substituted for our product and significantly reduce our revenue in a short period of time.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ability to compete, maintain and grow our business may be adversely affected by a number of factors,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introduction of other products, including products that may be more efficacious, safer, less expensive or more convenient alternatives to our products, including our own products and products of our collaborators;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off-label use by physicians of therapies indicated for other conditions to treat patients;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patient dynamics, including the size of the patient population and our ability to identify, attract and maintain new and current patients to our therapies;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reluctance of physicians to prescribe, and patients to use, our products without additional data on the efficacy and safety of such products;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inability to obtain and maintain appropriate pricing and adequate reimbursement for our products compared to our competitors in key markets;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ability to obtain and maintain patent, data or market exclusivity for our products.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business may be adversely affected if we do not successfully execute or realize the anticipated benefits of our strategic and growth initiatives.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successful execution of our strategic and growth initiatives depends upon internal development projects, commercial initiatives and external opportunities, which may include the acquisition and in-licensing of products, technologies, companies, the entry into strategic alliances and collaborations or our Fit for Growth program, as well as our ability to execute on strategic decisions and initiatives.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7955"/>
                <wp:effectExtent l="0" t="0" r="0" b="0"/>
                <wp:wrapNone/>
                <wp:docPr id="94"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availability of high quality, fairly valued external product development is limited and the opportunity to acquire or in-license is highly competitive. As such, we are not certain that we will be able to identify suitable candidates for acquisition or in-licensing or if we will be able to reach agreement to make any such acquisition or in-license if suitable candidates are identified.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fail to initiate or complete transactions for many reasons, including failure to obtain regulatory or other approvals as well as a result of disputes or litigation. Furthermore, we may not be able to achieve the full strategic and financial benefits expected to result from transactions, collaborations or strategic decisions, such as the decision to retain the biosimilars business, or the benefits may be delayed or not occur at all. We may also face additional costs or liabilities in completed transactions that were not contemplated prior to completion.</w:t>
      </w:r>
    </w:p>
    <w:p>
      <w:pPr>
        <w:pStyle w:val="TextBody"/>
        <w:bidi w:val="0"/>
        <w:spacing w:lineRule="auto" w:line="276"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pStyle w:val="TextBody"/>
        <w:bidi w:val="0"/>
        <w:spacing w:lineRule="auto" w:line="276" w:before="120" w:after="283"/>
        <w:jc w:val="left"/>
        <w:rPr/>
      </w:pPr>
      <w:r>
        <w:rPr>
          <w:rFonts w:ascii="Franklin Gothic Book;sans-serif" w:hAnsi="Franklin Gothic Book;sans-serif"/>
          <w:b w:val="false"/>
          <w:color w:val="000000"/>
          <w:sz w:val="20"/>
        </w:rPr>
        <w:t xml:space="preserve">We face risks associated with our Fit for Growth program that may impair our ability to achieve anticipated savings and operational efficiencies or that may otherwise harm our business. These risks include delays in implementation of cost optimization actions, loss of workforce capabilities, higher than anticipated separation expenses, litigation and the failure to meet financial and operational targets. In addition, the calculation of the anticipated cost savings and other benefits resulting from our Fit for Growth program are subject to many estimates and assumptions. These estimates and assumptions are subject to significant business, economic, competitive and other uncertainties and contingencies, many of which are beyond our control. </w:t>
      </w:r>
      <w:r>
        <w:rPr>
          <w:rFonts w:ascii="Times New Roman;serif" w:hAnsi="Times New Roman;serif"/>
          <w:b w:val="false"/>
          <w:color w:val="000000"/>
          <w:sz w:val="20"/>
        </w:rPr>
        <w:t>I</w:t>
      </w:r>
      <w:r>
        <w:rPr>
          <w:rFonts w:ascii="Franklin Gothic Book;sans-serif" w:hAnsi="Franklin Gothic Book;sans-serif"/>
          <w:b w:val="false"/>
          <w:color w:val="000000"/>
          <w:sz w:val="20"/>
        </w:rPr>
        <w:t>f these estimates and assumptions are incorrect or if we experience delays or unforeseen events, our business and financial results could be adversely affected.</w:t>
      </w:r>
    </w:p>
    <w:p>
      <w:pPr>
        <w:pStyle w:val="TextBody"/>
        <w:bidi w:val="0"/>
        <w:spacing w:lineRule="auto" w:line="276"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Sales of our products depend, to a significant extent, on the availability and extent of adequate coverage, pricing and reimbursement from government health administration authorities, private health insurers and other organizations,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Sales of our products depend, to a significant extent, on the availability and extent of adequate coverage, pricing and reimbursement from governmental health administration authorities, private health insurers and other organizations. When a new pharmaceutical product is approved, the availability of government and private reimbursement for that product, diagnosis of the condition it treats and the cost to administer it may be uncertain, as is the pricing and amount for which that product will be reimbursed.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Pricing and reimbursement for our products may be adversely affected by a number of factors,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and implementation of, federal, state or foreign government regulations or private third-party payors’ reimbursement policies;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pressure by employers on private health insurance plans to reduce costs;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consolidation and increasing assertiveness of governmental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ability to receive reimbursement for our products or our ability to receive comparable reimbursement to that of competing products;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 care costs to continue to be subject to political or societal pressures on a global basis. Certain countries set prices by reference to the prices in other countries where our products are marketed. Our inability to obtain and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7955"/>
                <wp:effectExtent l="0" t="0" r="0" b="0"/>
                <wp:wrapNone/>
                <wp:docPr id="95"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adequate prices in a particular country may not only limit the revenue from our products within that country but may also adversely affect our ability to secure acceptable prices in existing and potential new markets, which may limit market growth and result in reductions in revenue. This may create the opportunity for third-party cross-border trade or influence our decision to sell or not to sell a product, thus adversely affecting our geographic expansion plans and revenue. Additionally, in certain jurisdictions governmental health agencies may adjust, retroactively and/or prospectively, reimbursement rates for our products. Reimbursement for our products by governments, including the timing of any reimbursements, may also be affected by budgetary or political constraints, particularly in challenging economic environments. Government agencies often do not set their own budgets and therefore, have limited control over the amount of money they can spend. In addition, these agencies experience political pressure that may dictate the manner in which they spend money. There can be no assurance that the economic, budgeting or political issues will not worsen and adversely impact sales or reimbursements of our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Many third-party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and/or could cause a decline or volatility in our stock price.</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We depend on relationships with collaborators and other third parties for revenue, and for the development, regulatory approval, commercialization and marketing of certain of our products and product candidates, which are outside of our full control, and if these relationships fail, our business may be adversely affected.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we may be unable to control the resources our collaborators or third parties devote to our programs, products or product candidates, which may affect our ability to achieve development goals or milestones;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 parties fail to perform;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interests of our collaborators or third parties may not always align with our interests, and such parties may not protect and enforce any intellectual property rights or pursue regulatory approvals or market a product in the same manner or to the same extent that we would, which could adversely affect our revenue, or may adopt tax strategies that could have an adverse effect on our business, results of operations or financial condition;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any failure on the part of our collaborators or third 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or reputation as well as involve us in possible legal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7955"/>
                <wp:effectExtent l="0" t="0" r="0" b="0"/>
                <wp:wrapNone/>
                <wp:docPr id="96"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disruptions, turnover or changes in strategy, priorities or capabilities at our collaborators resulting from, for example, a change in control, may impact the commercialization or manufacturing of our shared products and may result in loss of revenue or higher operating expense;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any improper conduct or actions on the part of our collaborators or third parties could subject us to civil or criminal investigations and monetary and injunctive penalties, require management attention, impact the accuracy and timing of our financial reporting and/or adversely impact our ability to conduct business, our operating results and our reputation.</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results of operations may be adversely affected by current and potential future healthcare reforms including those contained in the IRA and OBBBA.</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the U.S., federal and state legislatures, health agencies and third-party payors continue to focus on the cost of health care. Legislative and regulatory proposals, enactments to reform health care insurance programs (including those in the IRA and OBBBA) and increasing pressure from social sources could significantly influence the manner in which our products are prescribed, purchased and reimbursed.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under Section 340B of the Public Health Service Act and similar state legislation. These changes have had and are expected to continue to have a significant impact on our business.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On July 4, 2025, the U.S. signed into law the OBBBA, which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 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is substantial public attention on the costs of prescription drugs and we expect drug pricing and other health care costs to continue to be subject to political and societal pressures on a global basis. In addition, there have been (including elements of the IRA), and are expected to continue to be, legislative proposals to address prescription drug pricing. We face uncertainties regarding potential healthcare reforms, governmental policy and prioritization, and the uncertainty about the future of the PPACA and healthcare laws may put downward pressure on pharmaceutical pricing and increase our regulatory burdens and operating costs. For example, we expect the IRA's drug pricing controls and Medicare Part D redesign to have an adverse impact on our sales, particularly for our products that are more substantially reliant on Medicare reimbursement.</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There is also significant economic pressure on state budgets, that may result in states increasingly seeking to achieve budget savings through mechanisms that limit coverage or payment for our drugs.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7955"/>
                <wp:effectExtent l="0" t="0" r="0" b="0"/>
                <wp:wrapNone/>
                <wp:docPr id="97"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pStyle w:val="TextBody"/>
        <w:bidi w:val="0"/>
        <w:spacing w:lineRule="auto" w:line="288" w:before="10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success in commercializing biosimilars is subject to risks and uncertainties inherent in the development, manufacture and commercialization of biosimilars. If we are unsuccessful in such activities, our business may be adversely affected.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development, manufacture and commercialization of biosimilar products require specialized expertise and are very costly and subject to complex regulation. Our success in commercializing biosimilars is subject to a number of risks,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Reliance on Third Parties.</w:t>
      </w:r>
      <w:r>
        <w:rPr>
          <w:color w:val="000000"/>
        </w:rPr>
        <w:t xml:space="preserve"> </w:t>
      </w:r>
      <w:r>
        <w:rPr>
          <w:rFonts w:ascii="Franklin Gothic Book;sans-serif" w:hAnsi="Franklin Gothic Book;sans-serif"/>
          <w:b w:val="false"/>
          <w:color w:val="000000"/>
          <w:sz w:val="20"/>
        </w:rPr>
        <w:t>We are dependent, in part, on the efforts of collaboration partners and other third parties for the development and manufacturing of biosimilars products. These third parties are independent entities subject to their own unique operational, strategic and financial risks that are outside of our control and may be affected by events outside of our control. For example, one of our contract manufacturers for IMRALDI and BENEPALI was acquired by a third party in December 2024 which may impact the contract manufacturer's operational, strategic or financial risk. If these third parties fail to perform successfully, or reduce their third party manufacturing production, our biosimilar product development or commercialization of biosimilar products could be delayed, revenue from biosimilar products could decline and/or we may not realize the anticipated benefits of these arrangements;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Competitive Challenges.</w:t>
      </w:r>
      <w:r>
        <w:rPr>
          <w:color w:val="000000"/>
        </w:rPr>
        <w:t xml:space="preserve"> </w:t>
      </w:r>
      <w:r>
        <w:rPr>
          <w:rFonts w:ascii="Franklin Gothic Book;sans-serif" w:hAnsi="Franklin Gothic Book;sans-serif"/>
          <w:b w:val="false"/>
          <w:color w:val="000000"/>
          <w:sz w:val="20"/>
        </w:rPr>
        <w:t>Biosimilar products face significant competition, including from innovator products and biosimilar products 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Regulatory Compliance.</w:t>
      </w:r>
      <w:r>
        <w:rPr>
          <w:color w:val="000000"/>
        </w:rPr>
        <w:t xml:space="preserve"> </w:t>
      </w:r>
      <w:r>
        <w:rPr>
          <w:rFonts w:ascii="Franklin Gothic Book;sans-serif" w:hAnsi="Franklin Gothic Book;sans-serif"/>
          <w:b w:val="false"/>
          <w:color w:val="000000"/>
          <w:sz w:val="20"/>
        </w:rPr>
        <w:t>Biosimilar products may face regulatory hurdles or delays due to the evolving and uncertain regulatory and commercial pathway of biosimilars products in certain jurisdictions;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Ability to Provide Adequate Supply.</w:t>
      </w:r>
      <w:r>
        <w:rPr>
          <w:color w:val="000000"/>
        </w:rPr>
        <w:t xml:space="preserve"> </w:t>
      </w:r>
      <w:r>
        <w:rPr>
          <w:rFonts w:ascii="Franklin Gothic Book;sans-serif" w:hAnsi="Franklin Gothic Book;sans-serif"/>
          <w:b w:val="false"/>
          <w:color w:val="000000"/>
          <w:sz w:val="20"/>
        </w:rPr>
        <w:t>Manufacturing biosimilars is complex. If we encounter any persistent manufacturing or supply chain difficulties we may be unable to meet demand. We are dependent on a third-party for the manufacture of our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 For example, one of our contract manufacturers for IMRALDI and BENEPALI was acquired by a third party in December 2024, which may have an impact on our biosimilars business;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Intellectual Property and Regulatory Challenges.</w:t>
      </w:r>
      <w:r>
        <w:rPr>
          <w:color w:val="000000"/>
        </w:rPr>
        <w:t xml:space="preserve"> </w:t>
      </w:r>
      <w:r>
        <w:rPr>
          <w:rFonts w:ascii="Franklin Gothic Book;sans-serif" w:hAnsi="Franklin Gothic Book;sans-serif"/>
          <w:b w:val="false"/>
          <w:color w:val="000000"/>
          <w:sz w:val="20"/>
        </w:rPr>
        <w:t>Biosimilar products may face extensive intellectual property clearances and infringement litigation, injunctions or regulatory challenges, which could prevent the commercial launch of a product or delay it for many years or result in imposition of monetary damages, penalties or other civil sanctions and damage our reputation;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Failure to Gain Market and Patient Acceptance.</w:t>
      </w:r>
      <w:r>
        <w:rPr>
          <w:color w:val="000000"/>
        </w:rPr>
        <w:t xml:space="preserve"> </w:t>
      </w:r>
      <w:r>
        <w:rPr>
          <w:rFonts w:ascii="Franklin Gothic Book;sans-serif" w:hAnsi="Franklin Gothic Book;sans-serif"/>
          <w:b w:val="false"/>
          <w:color w:val="000000"/>
          <w:sz w:val="20"/>
        </w:rPr>
        <w:t>Market success of biosimilar products will be adversely affected if patients, physicians and/or payors do not accept biosimilar products as safe and efficacious products offering a more competitive price or other benefit over existing therapies.</w:t>
      </w:r>
    </w:p>
    <w:p>
      <w:pPr>
        <w:pStyle w:val="TextBody"/>
        <w:bidi w:val="0"/>
        <w:spacing w:lineRule="auto" w:line="247"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Intellectual Property</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 xml:space="preserve">If we are unable to obtain and maintain adequate protection for our data, intellectual property and other proprietary rights, our business may be harmed.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7955"/>
                <wp:effectExtent l="0" t="0" r="0" b="0"/>
                <wp:wrapNone/>
                <wp:docPr id="98" name="Frame8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Furthermore, our products may be determined to infringe patents or other intellectual property rights held by third parties. Legal proceedings, administrative challenges or other types of proceedings are and may in the future be necessary to determine the validity, scope or non-infringement of certain patent rights claimed by third 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our stock price to decline or experience periods of volatility.</w:t>
      </w:r>
    </w:p>
    <w:p>
      <w:pPr>
        <w:pStyle w:val="TextBody"/>
        <w:bidi w:val="0"/>
        <w:spacing w:lineRule="auto" w:line="247"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Development, Clinical Testing and Regulation of Our Products and Product Candidates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Successful preclinical work or early/late stage clinical trials does not ensure success in later stage trials, regulatory approval or commercial viability of a product.</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Positive results in preclinical work or early/late stage clinical trials have in the past and may in the future fail to be replicated in subsequent or confirmatory trials. Additionally, success in preclinical work or early/late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Regulatory authorities may also fail to approve the facilities or processes used to manufacture a product candidate, our dosing or delivery methods or companion devices. Regulatory authorities have in the past and may in the future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Clinical trials and the development of biopharmaceutical products is a lengthy and complex process. If we fail to adequately manage our clinical activities, our clinical trials or potential regulatory approvals may be delayed or denied.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opened clinical trial sites and are enrolling patients in a number of countries where our experience is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Adverse safety events or restrictions on use and safety warnings for our products can negatively affect our business, product sales and stock price.</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7955"/>
                <wp:effectExtent l="0" t="0" r="0" b="0"/>
                <wp:wrapNone/>
                <wp:docPr id="99" name="Frame8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Restrictions on use or safety warnings that may be required to be included in the label of our products may significantly reduce expected revenue for those products or require significant expense or divert management time.</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Our Operations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A breakdown or breach of our information systems could subject us to liability or interrupt our business operations.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increasingly dependent upon information systems and data to operate our business. Changes in how we operate have caused us to modify our business practices in ways that heighten this dependence, including changing the requirement that most of our office-based employees in the U.S. and our other key markets work from the office, with many of our employees now working in hybrid or full-remote positions. As a result, we are increasingly dependent upon our information systems to operate our business and our ability to effectively manage our business depends on the security, reliability and adequacy of our information systems and data, which includes use of cloud technologies, including Software as a Service (SaaS), Platform as a Service (PaaS) and Infrastructure as a Service (IaaS). Breakdowns, invasions, corruptions, destructions and/or breaches, which may include impacts such as, but not limited to, comprising the capacity, reliability or security of our information systems or those of our business partners, including our cloud technologies, and/or unauthorized access to our data and information could subject us to significant liability, negatively impact our business operations, and/or require replacement of technology and/or sizeable ransom payments. Our information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Cybersecurity threats and incidents are increasing in their frequency, sophistication and intensity, and are becoming increasingly difficult to detect, particularly when they impact vendors, customers or suppliers, and other companies in our supply chain. Cybersecurity threats and incidents are often carried out by motivated, well-resourced, skilled and persistent actors, including nation states, organized crime groups, “hacktivists” and may include or target employees or contractors acting with careless or malicious intent. Recent developments in the threat landscape include use of adversarial AI techniques and machine learning, as well as an increased number of cyber extortion attacks, with higher financial ransom demand amounts and increasing sophistication and variety of ransomware techniques and methodology. Geopolitical instability, including that related to Russia's invasion of Ukraine or the conflict in the Middle East, may increase the risk of cybersecurity threats. Cybersecurity threats or incidents may include deployment of harmful malware and key loggers, ransomware, a denial-of-service attack, a malicious website, the use of social engineering and other means to affect the confidentiality, integrity and availability of our information systems and data. Cybersecurity threats and incidents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we continue to build and improve our systems and infrastructure, including our business continuity plans, there can be no assurance that our efforts will detect and prevent cybersecurity threats or incidents in our systems and any such incidents could materially adversely affect our business and operations and/or result in the loss of critical or sensitive information, which could result in material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pStyle w:val="TextBody"/>
        <w:bidi w:val="0"/>
        <w:spacing w:lineRule="auto" w:line="26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Regulations continue to change as regulators worldwide consider new rules. For example, the SEC has adopted additional disclosure rules regarding cyber security risk management, strategy, governance and incident reporting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100" name="Frame8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6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public companies. These new regulations or other regulations being considered in Europe and around the world may impact the manner in which we operate.</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Regulators currently impose new data privacy and security requirements, including monetary fines for privacy violations. For example, the E.U.’s General Data Protection Regulation established regulations regarding the handling of personal data, and provides an enforcement authority and imposes large penalties for noncompliance.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patients, healthcare providers and the general public to lose trust in us, which could have a material adverse effect on our business and results of operations.</w:t>
      </w:r>
    </w:p>
    <w:p>
      <w:pPr>
        <w:pStyle w:val="TextBody"/>
        <w:bidi w:val="0"/>
        <w:spacing w:lineRule="auto" w:line="288" w:before="18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 increasing use of AI-based software presents new risks and challenges and could adversely affect our business and reputation.</w:t>
      </w:r>
    </w:p>
    <w:p>
      <w:pPr>
        <w:pStyle w:val="TextBody"/>
        <w:bidi w:val="0"/>
        <w:spacing w:lineRule="auto" w:line="26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use of AI-based software is increasingly being used in the biopharmaceutical industry, including by us, such as for research, marketing, manufacturing and commercialization, and we anticipate increasing our usage of technology that uses AI in the future. As with many developing technologies, AI-based software presents risks and challenges. For example, algorithms may be flawed; data sets may be insufficient, of poor quality or contain biased information; and inappropriate or controversial data practices could impair results. If the analyses that AI-based software assist in producing are deficient or inaccurate, we could be subjected to competitive harm, potential legal liability and brand or reputational harm. Use of AI-based software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AI-based software may also result in unauthorized access of personal data or the intellectual property of third parties. Since the use of AI is subject to new or evolving laws and regulations, compliance may impose operational costs and limit our ability to use AI-based software, and failure to comply may result in potential government actions, litigation, fines, penalties or adverse publicity.</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Manufacturing issues could substantially increase our costs, limit supply of our products and/or reduce our revenue.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process of manufacturing our products is complex, highly regulated and subject to numerous risks, including:</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i/>
          <w:color w:val="000000"/>
          <w:sz w:val="20"/>
        </w:rPr>
        <w:t>Risks of Reliance on Third Parties and Single Source Providers.</w:t>
      </w:r>
      <w:r>
        <w:rPr>
          <w:color w:val="000000"/>
        </w:rPr>
        <w:t xml:space="preserve"> </w:t>
      </w:r>
      <w:r>
        <w:rPr>
          <w:rFonts w:ascii="Franklin Gothic Book;sans-serif" w:hAnsi="Franklin Gothic Book;sans-serif"/>
          <w:b w:val="false"/>
          <w:color w:val="000000"/>
          <w:sz w:val="20"/>
        </w:rPr>
        <w:t>We rely on third-party suppliers and manufacturers for many aspects of our 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strategic and financial risks that are outside of our control and may be affected by events outside of our control. Additionally,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pStyle w:val="TextBody"/>
        <w:bidi w:val="0"/>
        <w:spacing w:lineRule="auto" w:line="268" w:before="60" w:after="283"/>
        <w:ind w:left="0" w:right="0" w:hanging="360"/>
        <w:jc w:val="left"/>
        <w:rPr/>
      </w:pPr>
      <w:r>
        <w:rPr>
          <w:color w:val="000000"/>
        </w:rPr>
        <w:t>•</w:t>
      </w:r>
      <w:r>
        <w:rPr>
          <w:rFonts w:ascii="Franklin Gothic Book;sans-serif" w:hAnsi="Franklin Gothic Book;sans-serif"/>
          <w:b w:val="false"/>
          <w:i/>
          <w:color w:val="000000"/>
          <w:sz w:val="20"/>
        </w:rPr>
        <w:t xml:space="preserve">Global Bulk Supply Risks. </w:t>
      </w:r>
      <w:r>
        <w:rPr>
          <w:rFonts w:ascii="Franklin Gothic Book;sans-serif" w:hAnsi="Franklin Gothic Book;sans-serif"/>
          <w:b w:val="false"/>
          <w:color w:val="000000"/>
          <w:sz w:val="20"/>
        </w:rPr>
        <w:t>We rely on our manufacturing facilities for the production of drug substance for our large molecule products and product candidates. Our global bulk supply of these products and product candidates depends on the uninterrupted and efficient operation of these facilities, which could be adversely affected by equipment failures, labor or raw material shortages, geopolitical instability, public health epidemics, natural disasters, adverse weather events, power failures, cyber-attacks and many other factors.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Risks Relating to Compliance with current GMP (cGMP).</w:t>
      </w:r>
      <w:r>
        <w:rPr>
          <w:color w:val="000000"/>
        </w:rPr>
        <w:t xml:space="preserve"> </w:t>
      </w:r>
      <w:r>
        <w:rPr>
          <w:rFonts w:ascii="Franklin Gothic Book;sans-serif" w:hAnsi="Franklin Gothic Book;sans-serif"/>
          <w:b w:val="false"/>
          <w:color w:val="000000"/>
          <w:sz w:val="20"/>
        </w:rPr>
        <w:t>We and our third-party providers are required to maintain compliance with cGMP and other stringent requirements, as applicable,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i/>
          <w:color w:val="000000"/>
          <w:sz w:val="20"/>
        </w:rPr>
        <w:t>Risk of Product Loss.</w:t>
      </w:r>
      <w:r>
        <w:rPr>
          <w:color w:val="000000"/>
        </w:rPr>
        <w:t xml:space="preserve"> </w:t>
      </w:r>
      <w:r>
        <w:rPr>
          <w:rFonts w:ascii="Franklin Gothic Book;sans-serif" w:hAnsi="Franklin Gothic Book;sans-serif"/>
          <w:b w:val="false"/>
          <w:color w:val="000000"/>
          <w:sz w:val="20"/>
        </w:rPr>
        <w:t xml:space="preserve">The manufacturing process for our products is extremely susceptible to product loss due to contamination, oxidation, equipment failure or improper installation or operation of equipment or vendor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101" name="Frame8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6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pStyle w:val="TextBody"/>
        <w:bidi w:val="0"/>
        <w:spacing w:lineRule="auto" w:line="26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Furthermore, factors such as geopolitical instability, public health epidemics, natural disasters, adverse weather events, labor or raw material shortages, imposition of tariffs or trade restrictions, power failures, cyber-attacks and other supply chain disruptions could result in difficulties and delays in manufacturing our products, which could have an adverse impact on our results of operations or result in product shortages.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 </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Management, personnel and other organizational changes may disrupt our operations, and we may have difficulty retaining personnel or attracting and retaining qualified replacements on a timely basis for the management and other personnel who may leave the Company, which could disrupt our business and adversely affect our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related to the Reata and HI-Bio acquisitions, the underperformance or discontinuation of one or more marketed, pre-clinical or clinical programs, recruitment by competitors or changes in the overall labor market. In addition, changes in our organizational structure or in our flexible working arrangements could impact employees'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If we fail to comply with the extensive legal and regulatory requirements affecting the health care industry, we could face increased costs, penalties and a loss of business.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laws and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laws and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testing,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or other patient assistance programs, we could be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102" name="Frame9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Conditions and regulations governing the health care industry are subject to change, with possible retroactive effect,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changes and the potential imposition of new or changing standards in the FDA and foreign regulatory approval processes, staffing, resources or perspectives that may delay or prevent certain processes, including, but not limited to, the approval of new products, product labels and/or formulations and approvals required for manufacturing facilities and may result in lost market opportunity;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government shutdowns, reorganizations, reductions in staffing and/or resources or changes in priorities may result in delays to the review and approval process, slowing the time necessary for new drug candidates to be reviewed and/or approved, which may adversely affect our business;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conditions and regulations governing the health care industry in the U.S. are subject to greater risk of change and uncertainty as a result of changes in legislative and regulatory priorities and personnel.</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sales and operations are subject to the risks of doing business internationally.</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sales and operations are subject to the risks of doing business internationally, including:</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impact of public health epidemics on the global economy and the delivery of healthcare treatments;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less favorable intellectual property or other applicable laws;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inability to obtain necessary foreign regulatory approvals of products in a timely manner;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103" name="Frame9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limitations and additional pressures on our ability to obtain and maintain product pricing, reimbursement or receive price increases, including those resulting from governmental or regulatory requirements;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increased cost of goods due to factors such as inflation and supply chain disruptions;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additional complexity in manufacturing or conducting clinical research internationally, including materials manufactured in China or working with CROs in China;</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delays in clinical trials relating to geopolitical instability related to Russia's invasion of Ukraine and the military conflict in the Middle East;</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inability to successfully complete subsequent or confirmatory clinical trials in countries where our experience is limited;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longer payment and reimbursement cycles and uncertainties regarding the collectability of accounts receivable;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fluctuations in foreign currency exchange rates that may adversely impact our revenue, net income and value of certain of our investments;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the imposition of governmental controls;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diverse data privacy and protection requirements;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increasingly complex standards for complying with foreign laws and regulations that may differ substantially from country to country and may conflict with corresponding U.S. laws and regulations;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anti-bribery and anti-corruption legislation across the globe, including the U.K. Bribery Act 2010, and elsewhere and escalation of investigations and prosecutions pursuant to such laws;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compliance with complex import and export control laws;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tax laws;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imposition of tariffs or reciprocal tariffs, trade protection measures, embargoes, import or export licensing requirements and the imposition of trade sanctions and other similar restrictions.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international operations are also subject to regulation under U.S. law. For example, the U.S. federal government has initiated Section 232 investigations including with respect to pharmaceutical imports into the U.S. The result of these Section 232 investigations and any subsequent rulemaking could result in the government taking actions such as trade protection measures, embargoes, import or export licensing requirements, the imposition of trade sanctions or similar restrictions, which could have adverse consequences to our business and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We built a large-scale biologics manufacturing facility and are building a gene therapy, clinical packaging and other manufacturing facility, which will result in the incurrence of significant investment with no assurance that such investment will be recouped.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order to support our future growth and drug development pipeline, we have expanded our large molecule production capacity by building a large-scale biologics manufacturing facility in Solothurn, Switzerland with no assurance that the additional capacity will be required or this investment will be recouped.</w:t>
      </w:r>
    </w:p>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Although the Solothurn facility was approved by the FDA for LEQEMBI, there can be no assurance that the regulatory authorities will approve the Solothurn facility for the manufacturing of other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7955"/>
                <wp:effectExtent l="0" t="0" r="0" b="0"/>
                <wp:wrapNone/>
                <wp:docPr id="104" name="Frame9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Additionally, we are building a new gene therapy, clinical packaging and other manufacturing facility as well as modernizing and automating our existing manufacturing facilities in RTP, North Carolina with no assurance that these investments will be fully utilized.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If we are unable to fully utilize our manufacturing facilities, our business may be harmed. Charges resulting from excess capacity may occur and would have a negative effect on our financial condition and results of operations.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 illegal distribution and sale by third parties of counterfeit or unfit versions of our products or stolen products could have a negative impact on our reputation and business.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 increasing use of social media platforms presents new risks and challenges.</w:t>
      </w:r>
    </w:p>
    <w:p>
      <w:pPr>
        <w:pStyle w:val="TextBody"/>
        <w:bidi w:val="0"/>
        <w:spacing w:lineRule="auto" w:line="26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may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the negative publicity generated from false or misleading social media posts concerning us, which we may not be able to reverse. If any of these events were to occur or we otherwise fail to comply with applicable regulations, we could incur liability, face restrictive regulatory actions or incur other harm to our business.</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Risks Related to Holding Our Common Stock</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operating results are subject to significant fluctuations.</w:t>
      </w:r>
    </w:p>
    <w:p>
      <w:pPr>
        <w:pStyle w:val="TextBody"/>
        <w:bidi w:val="0"/>
        <w:spacing w:lineRule="auto" w:line="288" w:before="100" w:after="283"/>
        <w:jc w:val="left"/>
        <w:rPr/>
      </w:pPr>
      <w:r>
        <w:rPr>
          <w:rFonts w:ascii="Franklin Gothic Book;sans-serif" w:hAnsi="Franklin Gothic Book;sans-serif"/>
          <w:b w:val="false"/>
          <w:color w:val="000000"/>
          <w:sz w:val="20"/>
        </w:rPr>
        <w:t xml:space="preserve">Our quarterly revenue, expense and net income have fluctuated in the past and are likely to fluctuate significantly in the future due to the risks described in these </w:t>
      </w:r>
      <w:r>
        <w:rPr>
          <w:rFonts w:ascii="Franklin Gothic Book;sans-serif" w:hAnsi="Franklin Gothic Book;sans-serif"/>
          <w:b w:val="false"/>
          <w:i/>
          <w:color w:val="000000"/>
          <w:sz w:val="20"/>
        </w:rPr>
        <w:t>Risk Factors</w:t>
      </w:r>
      <w:r>
        <w:rPr>
          <w:color w:val="000000"/>
        </w:rPr>
        <w:t xml:space="preserve"> </w:t>
      </w:r>
      <w:r>
        <w:rPr>
          <w:rFonts w:ascii="Franklin Gothic Book;sans-serif" w:hAnsi="Franklin Gothic Book;sans-serif"/>
          <w:b w:val="false"/>
          <w:color w:val="000000"/>
          <w:sz w:val="20"/>
        </w:rPr>
        <w:t>as well as the timing of charges and expense that we may take. We have recorded, or may in the future be required to record, charges that include:</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cost of restructurings or other initiatives to streamline our operations and reallocate resources;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costs associated with decisions to terminate research and development programs;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impairments with respect to investments, fixed assets and long-lived assets, including IPR&amp;D and other intangible assets;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 xml:space="preserve">inventory write-downs for failed quality specifications, charges for excess capacity, charges for excess or obsolescence and charges for inventory write-downs relating to product suspensions, expirations or recalls;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changes in the fair value of contingent consideration or our equity investments;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bad debt expense and increased bad debt reserves;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outcomes of litigation and other legal or administrative proceedings, regulatory matters and tax matters;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payments in connection with acquisitions, divestitures and other business development activities and under license and collaboration agreements;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failure to meet certain contractual commitments;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the impact of public health epidemics on employees, the global economy and the delivery of healthcare treatments.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7955"/>
                <wp:effectExtent l="0" t="0" r="0" b="0"/>
                <wp:wrapNone/>
                <wp:docPr id="105" name="Frame9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fluctuate due to the impact of charges we may be required to take with respect to foreign currency hedge transactions. In particular, we may incur higher than expected charges from early termination of a hedge relationship.</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operating results during any one period do not necessarily suggest the results of future periods.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investments in properties may not be fully realized.</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We may not be able to access the capital and credit markets on favorable terms, which could increase our financing costs.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seek access to the capital and credit markets to supplement our existing funds and cash generated from operations for working capital, capital expenditure, debt refinancing,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which could significantly increase our financing costs. Changes in credit ratings issued by nationally recognized credit rating agencies could also adversely affect our cost of financing and the market price of our securities.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 xml:space="preserve">Our indebtedness could adversely affect our business and limit our ability to plan for or respond to changes in our business. </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indebtedness, together with our significant contingent liabilities, including milestone and royalty payment obligations, could have important consequences to our business; for example, such obligations could: </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increase our vulnerability to general adverse economic and industry conditions;</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 our ability to access capital markets and incur additional debt in the future;</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pStyle w:val="TextBody"/>
        <w:bidi w:val="0"/>
        <w:spacing w:lineRule="auto" w:line="288" w:before="60" w:after="283"/>
        <w:ind w:left="0" w:right="0" w:hanging="360"/>
        <w:jc w:val="left"/>
        <w:rPr/>
      </w:pPr>
      <w:r>
        <w:rPr>
          <w:color w:val="000000"/>
        </w:rPr>
        <w:t>•</w:t>
      </w:r>
      <w:r>
        <w:rPr>
          <w:rFonts w:ascii="Franklin Gothic Book;sans-serif" w:hAnsi="Franklin Gothic Book;sans-serif"/>
          <w:b w:val="false"/>
          <w:color w:val="000000"/>
          <w:sz w:val="20"/>
        </w:rPr>
        <w:t>limit our flexibility in planning for, or reacting to, changes in our business and the industry in which we operate, thereby placing us at a disadvantage compared to our competitors that have less debt.</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investment portfolio is subject to market, interest and credit risk that may reduce its value.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maintain a portfolio of marketable securities for investment of our cash as well as investments in equity securities of certain biotechnology companies. Changes in the value of our investment portfolio has in the past and may in the future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There can be no assurance that we will repurchase shares or that we will repurchase shares at favorable prices, which may negatively affect our stock price.</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IRA includes an excise tax on share repurchases, which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7955"/>
                <wp:effectExtent l="0" t="0" r="0" b="0"/>
                <wp:wrapNone/>
                <wp:docPr id="106" name="Frame9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increase the cost of share repurchases. A reduction in repurchases under, or the completion of, our share repurchase programs could have a negative effect on our stock price. We can provide no assurance that we will repurchase shares at favorable prices, if at all.</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Some of our collaboration agreements contain change in control provisions that may discourage a third party from attempting to acquire us.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result in reduced milestone, profit or royalty payments to us or give our collaboration partner rights to terminate our collaboration agreement, acquire operational control or force the purchase or sale of the programs that are the subject of the collaboration agreement.</w:t>
      </w:r>
    </w:p>
    <w:p>
      <w:pPr>
        <w:pStyle w:val="TextBody"/>
        <w:bidi w:val="0"/>
        <w:spacing w:lineRule="auto" w:line="288" w:before="120" w:after="283"/>
        <w:jc w:val="left"/>
        <w:rPr>
          <w:rFonts w:ascii="Franklin Gothic Book;sans-serif" w:hAnsi="Franklin Gothic Book;sans-serif"/>
          <w:b/>
          <w:color w:val="00497F"/>
          <w:sz w:val="20"/>
        </w:rPr>
      </w:pPr>
      <w:r>
        <w:rPr>
          <w:rFonts w:ascii="Franklin Gothic Book;sans-serif" w:hAnsi="Franklin Gothic Book;sans-serif"/>
          <w:b/>
          <w:color w:val="00497F"/>
          <w:sz w:val="20"/>
        </w:rPr>
        <w:t>General Risk Factors</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effective tax rate fluctuates, and we may incur obligations in tax jurisdictions in excess of accrued amounts in our financial statements.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especially in the U.S. (including the OBBBA signed into law on July 4, 2025) and Switzerland, and regulations either prospectively or retrospectively and the effects of the integrations of Reata and HI-Bio. Our estimates concerning the impact of the OBBBA remain subject to developing interpretations of the provisions of the OBBBA, which may require further adjustments and changes in our estimates, and could have a material adverse effect on our business and results of operations.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inability to secure or sustain acceptable arrangements with tax authorities and future changes in the tax laws, among other things, may result in tax obligations in excess of amounts accrued in our financial statements.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enactment of some or all of the recommendations set forth or that may be forthcoming in the OECD’s project on “Base Erosion and Profit Shifting” by tax authorities and economic blocs in the countries in which we operate, could unfavorably impact our effective tax rate. Many countries have or are in the process of enacting legislation intended to implement the OECD GloBE Model Rules. The impact on the Company will depend on the timing of implementation, the exact nature of each country's GloBE legislation, guidance and regulations (including the implications of the G7 statement on the Model Rules issued on June 28, 2025) thereon and their application by tax authorities either prospectively or retrospectively.</w:t>
      </w:r>
    </w:p>
    <w:p>
      <w:pPr>
        <w:pStyle w:val="TextBody"/>
        <w:bidi w:val="0"/>
        <w:spacing w:lineRule="auto" w:line="288" w:before="120" w:after="283"/>
        <w:jc w:val="left"/>
        <w:rPr>
          <w:rFonts w:ascii="Franklin Gothic Book;sans-serif" w:hAnsi="Franklin Gothic Book;sans-serif"/>
          <w:b/>
          <w:i/>
          <w:color w:val="2573BA"/>
          <w:sz w:val="20"/>
        </w:rPr>
      </w:pPr>
      <w:r>
        <w:rPr>
          <w:rFonts w:ascii="Franklin Gothic Book;sans-serif" w:hAnsi="Franklin Gothic Book;sans-serif"/>
          <w:b/>
          <w:i/>
          <w:color w:val="2573BA"/>
          <w:sz w:val="20"/>
        </w:rPr>
        <w:t>Our business involves environmental and operational risks, which include the cost of compliance and the risk of contamination or injury.</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business and the business of several of our strategic partners involve the controlled use of hazardous materials, chemicals, biologics and radioactive compounds which make us subject to changing and evolving rules and interpretations, which could require us to incur substantial costs associated with compliance or to alter one or more of our business practices.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have passed new environmental disclosure rules. For example, the E.U., California and certain other countries we do business in have promulgated new climate disclosure rules that will generally require additional disclosure. Additionally, other regulators are considering environmental disclosure rules. These new rules collectively will impose additional disclosure requirements relating to climate-related risks and emissions disclosures. We expect to be subject to these new laws and regulations if or when they go into effect, which would impose extensive reporting obligations about greenhouse gas emissions and climate-related financial risks. These recently enacted and proposed regulations may require us to incur compliance and disclosure costs and will likely require substantial management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107" name="Frame9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80" w:after="283"/>
        <w:jc w:val="left"/>
        <w:rPr>
          <w:rFonts w:ascii="Franklin Gothic Demi;sans-serif" w:hAnsi="Franklin Gothic Demi;sans-serif"/>
          <w:b w:val="false"/>
          <w:color w:val="000000"/>
          <w:sz w:val="28"/>
        </w:rPr>
      </w:pPr>
      <w:r>
        <w:rPr>
          <w:rFonts w:ascii="Franklin Gothic Demi;sans-serif" w:hAnsi="Franklin Gothic Demi;sans-serif"/>
          <w:b w:val="false"/>
          <w:color w:val="000000"/>
          <w:sz w:val="28"/>
        </w:rPr>
        <w:t>ITEM 2.    UNREGISTERED SALES OF EQUITY SECURITIES AND USE OF PROCEEDS</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ISSUER PURCHASES OF EQUITY SECURITIES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common stock repurchase activity under our 2020 Share Repurchase Program during the second quarter of 2025:</w:t>
      </w:r>
    </w:p>
    <w:tbl>
      <w:tblPr>
        <w:tblW w:w="10205" w:type="dxa"/>
        <w:jc w:val="left"/>
        <w:tblInd w:w="0" w:type="dxa"/>
        <w:tblLayout w:type="fixed"/>
        <w:tblCellMar>
          <w:top w:w="28" w:type="dxa"/>
          <w:left w:w="28" w:type="dxa"/>
          <w:bottom w:w="28" w:type="dxa"/>
          <w:right w:w="28" w:type="dxa"/>
        </w:tblCellMar>
      </w:tblPr>
      <w:tblGrid>
        <w:gridCol w:w="491"/>
        <w:gridCol w:w="430"/>
        <w:gridCol w:w="434"/>
        <w:gridCol w:w="109"/>
        <w:gridCol w:w="109"/>
        <w:gridCol w:w="109"/>
        <w:gridCol w:w="590"/>
        <w:gridCol w:w="590"/>
        <w:gridCol w:w="591"/>
        <w:gridCol w:w="109"/>
        <w:gridCol w:w="109"/>
        <w:gridCol w:w="109"/>
        <w:gridCol w:w="423"/>
        <w:gridCol w:w="814"/>
        <w:gridCol w:w="219"/>
        <w:gridCol w:w="109"/>
        <w:gridCol w:w="109"/>
        <w:gridCol w:w="109"/>
        <w:gridCol w:w="640"/>
        <w:gridCol w:w="640"/>
        <w:gridCol w:w="642"/>
        <w:gridCol w:w="109"/>
        <w:gridCol w:w="109"/>
        <w:gridCol w:w="109"/>
        <w:gridCol w:w="445"/>
        <w:gridCol w:w="1617"/>
        <w:gridCol w:w="331"/>
      </w:tblGrid>
      <w:tr>
        <w:trPr/>
        <w:tc>
          <w:tcPr>
            <w:tcW w:w="4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 Number of</w:t>
              <w:br/>
              <w:t>Shares Purchased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Average Price</w:t>
              <w:br/>
              <w:t>Paid per Share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 Number of</w:t>
              <w:br/>
              <w:t>Shares Purchased</w:t>
              <w:br/>
              <w:t>as Part of Publicly</w:t>
              <w:br/>
              <w:t>Announced Programs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Approximate Dollar Value</w:t>
              <w:br/>
              <w:t>of Shares That May Yet Be Purchased Under</w:t>
              <w:br/>
              <w:t>Our Programs</w:t>
              <w:br/>
              <w:t>($ in millions)</w:t>
            </w:r>
          </w:p>
        </w:tc>
      </w:tr>
      <w:tr>
        <w:trPr/>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April 1, 2025 -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6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May 1, 2025 - 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6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June 1, 2025 -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26DCE"/>
              </w:rPr>
            </w:pPr>
            <w:r>
              <w:rPr>
                <w:color w:val="026DCE"/>
              </w:rPr>
              <w:t>— </w:t>
            </w:r>
          </w:p>
        </w:tc>
        <w:tc>
          <w:tcPr>
            <w:tcW w:w="6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6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Total</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26DCE"/>
              </w:rPr>
            </w:pPr>
            <w:r>
              <w:rPr>
                <w:color w:val="026DCE"/>
              </w:rPr>
              <w:t>— </w:t>
            </w:r>
          </w:p>
        </w:tc>
        <w:tc>
          <w:tcPr>
            <w:tcW w:w="5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26DCE"/>
              </w:rPr>
            </w:pPr>
            <w:r>
              <w:rPr>
                <w:color w:val="026DCE"/>
              </w:rPr>
              <w:t>— </w:t>
            </w:r>
          </w:p>
        </w:tc>
        <w:tc>
          <w:tcPr>
            <w:tcW w:w="2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There were no share repurchases during the second quarter of 2025.</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and six months ended June 30, 2025 and 2024. Approximately $2.1 billion remained available under our 2020 Share Repurchase Program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5.    OTHER INFORMATION</w:t>
      </w:r>
    </w:p>
    <w:p>
      <w:pPr>
        <w:pStyle w:val="TextBody"/>
        <w:bidi w:val="0"/>
        <w:spacing w:lineRule="auto" w:line="288" w:before="120" w:after="283"/>
        <w:jc w:val="left"/>
        <w:rPr>
          <w:rFonts w:ascii="Franklin Gothic Demi;sans-serif" w:hAnsi="Franklin Gothic Demi;sans-serif"/>
          <w:b w:val="false"/>
          <w:color w:val="0070C0"/>
          <w:sz w:val="24"/>
        </w:rPr>
      </w:pPr>
      <w:r>
        <w:rPr>
          <w:rFonts w:ascii="Franklin Gothic Demi;sans-serif" w:hAnsi="Franklin Gothic Demi;sans-serif"/>
          <w:b w:val="false"/>
          <w:color w:val="0070C0"/>
          <w:sz w:val="24"/>
        </w:rPr>
        <w:t>TRADING ARRANGEMENTS</w:t>
      </w:r>
    </w:p>
    <w:p>
      <w:pPr>
        <w:pStyle w:val="TextBody"/>
        <w:bidi w:val="0"/>
        <w:spacing w:lineRule="auto" w:line="288" w:before="12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From time to time, our officers (as defined in Rule 16a-1(f)) and directors may enter into, amend or terminate Rule 10b5-1 or non-Rule 10b5-1 trading arrangements (as each such term is defined in Item 408 of Regulation S-K). During the second quarter of 2025 our officers and directors took the following actions with respect to trading arrangements:</w:t>
      </w:r>
    </w:p>
    <w:tbl>
      <w:tblPr>
        <w:tblW w:w="10205" w:type="dxa"/>
        <w:jc w:val="left"/>
        <w:tblInd w:w="0" w:type="dxa"/>
        <w:tblLayout w:type="fixed"/>
        <w:tblCellMar>
          <w:top w:w="28" w:type="dxa"/>
          <w:left w:w="28" w:type="dxa"/>
          <w:bottom w:w="28" w:type="dxa"/>
          <w:right w:w="28" w:type="dxa"/>
        </w:tblCellMar>
      </w:tblPr>
      <w:tblGrid>
        <w:gridCol w:w="503"/>
        <w:gridCol w:w="442"/>
        <w:gridCol w:w="445"/>
        <w:gridCol w:w="109"/>
        <w:gridCol w:w="109"/>
        <w:gridCol w:w="109"/>
        <w:gridCol w:w="319"/>
        <w:gridCol w:w="319"/>
        <w:gridCol w:w="323"/>
        <w:gridCol w:w="109"/>
        <w:gridCol w:w="109"/>
        <w:gridCol w:w="109"/>
        <w:gridCol w:w="205"/>
        <w:gridCol w:w="205"/>
        <w:gridCol w:w="206"/>
        <w:gridCol w:w="109"/>
        <w:gridCol w:w="109"/>
        <w:gridCol w:w="109"/>
        <w:gridCol w:w="220"/>
        <w:gridCol w:w="220"/>
        <w:gridCol w:w="194"/>
        <w:gridCol w:w="172"/>
        <w:gridCol w:w="172"/>
        <w:gridCol w:w="172"/>
        <w:gridCol w:w="383"/>
        <w:gridCol w:w="383"/>
        <w:gridCol w:w="404"/>
        <w:gridCol w:w="109"/>
        <w:gridCol w:w="109"/>
        <w:gridCol w:w="109"/>
        <w:gridCol w:w="683"/>
        <w:gridCol w:w="683"/>
        <w:gridCol w:w="685"/>
        <w:gridCol w:w="109"/>
        <w:gridCol w:w="109"/>
        <w:gridCol w:w="109"/>
        <w:gridCol w:w="356"/>
        <w:gridCol w:w="356"/>
        <w:gridCol w:w="520"/>
      </w:tblGrid>
      <w:tr>
        <w:trPr/>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5"/>
              </w:rPr>
            </w:pPr>
            <w:r>
              <w:rPr>
                <w:rFonts w:ascii="Franklin Gothic Book;sans-serif" w:hAnsi="Franklin Gothic Book;sans-serif"/>
                <w:b/>
                <w:color w:val="000000"/>
                <w:sz w:val="15"/>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Rule</w:t>
              <w:br/>
              <w:t>10b5-1</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Non-Rule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Total 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Expiration Date</w:t>
            </w:r>
          </w:p>
        </w:tc>
      </w:tr>
      <w:tr>
        <w:trPr/>
        <w:tc>
          <w:tcPr>
            <w:tcW w:w="13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70C0"/>
                <w:sz w:val="15"/>
              </w:rPr>
            </w:pPr>
            <w:r>
              <w:rPr>
                <w:rFonts w:ascii="Franklin Gothic Book;sans-serif" w:hAnsi="Franklin Gothic Book;sans-serif"/>
                <w:b w:val="false"/>
                <w:color w:val="0070C0"/>
                <w:sz w:val="15"/>
              </w:rPr>
              <w:t>Stephen Sherwin,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4/2/2025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70C0"/>
                <w:sz w:val="15"/>
              </w:rPr>
            </w:pPr>
            <w:r>
              <w:rPr>
                <w:rFonts w:ascii="Franklin Gothic Book;sans-serif" w:hAnsi="Franklin Gothic Book;sans-serif"/>
                <w:b w:val="false"/>
                <w:color w:val="0070C0"/>
                <w:sz w:val="15"/>
              </w:rPr>
              <w:t>X</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70C0"/>
              </w:rPr>
            </w:pPr>
            <w:r>
              <w:rPr>
                <w:color w:val="0070C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70C0"/>
                <w:sz w:val="15"/>
              </w:rPr>
            </w:pPr>
            <w:r>
              <w:rPr>
                <w:rFonts w:ascii="Franklin Gothic Book;sans-serif" w:hAnsi="Franklin Gothic Book;sans-serif"/>
                <w:b w:val="false"/>
                <w:color w:val="0070C0"/>
                <w:sz w:val="15"/>
              </w:rPr>
              <w:t>4,379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70C0"/>
              </w:rPr>
            </w:pPr>
            <w:r>
              <w:rPr>
                <w:color w:val="0070C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108" name="Frame9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Franklin Gothic Demi;sans-serif" w:hAnsi="Franklin Gothic Demi;sans-serif"/>
          <w:b/>
          <w:color w:val="000000"/>
          <w:sz w:val="28"/>
        </w:rPr>
      </w:pPr>
      <w:r>
        <w:rPr>
          <w:rFonts w:ascii="Franklin Gothic Demi;sans-serif" w:hAnsi="Franklin Gothic Demi;sans-serif"/>
          <w:b/>
          <w:color w:val="000000"/>
          <w:sz w:val="28"/>
        </w:rPr>
        <w:t>ITEM 6.    EXHIBITS</w:t>
      </w:r>
    </w:p>
    <w:p>
      <w:pPr>
        <w:pStyle w:val="TextBody"/>
        <w:bidi w:val="0"/>
        <w:spacing w:lineRule="auto" w:line="288" w:before="10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exhibits listed below are filed or furnished as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Franklin Gothic Demi;sans-serif" w:hAnsi="Franklin Gothic Demi;sans-serif"/>
          <w:b w:val="false"/>
          <w:color w:val="0070C0"/>
          <w:sz w:val="28"/>
        </w:rPr>
      </w:pPr>
      <w:r>
        <w:rPr>
          <w:rFonts w:ascii="Franklin Gothic Demi;sans-serif" w:hAnsi="Franklin Gothic Demi;sans-serif"/>
          <w:b w:val="false"/>
          <w:color w:val="0070C0"/>
          <w:sz w:val="28"/>
        </w:rPr>
        <w:t>EXHIBIT INDEX </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2844"/>
        <w:gridCol w:w="2522"/>
        <w:gridCol w:w="356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color w:val="000000"/>
                <w:sz w:val="18"/>
              </w:rPr>
            </w:pPr>
            <w:r>
              <w:rPr>
                <w:rFonts w:ascii="Franklin Gothic Book;sans-serif" w:hAnsi="Franklin Gothic Book;sans-serif"/>
                <w:b/>
                <w:color w:val="000000"/>
                <w:sz w:val="18"/>
              </w:rPr>
              <w:t>Exhibit</w:t>
            </w:r>
          </w:p>
          <w:p>
            <w:pPr>
              <w:pStyle w:val="TableContents"/>
              <w:bidi w:val="0"/>
              <w:spacing w:lineRule="auto" w:line="240" w:before="0" w:after="0"/>
              <w:jc w:val="left"/>
              <w:rPr>
                <w:rFonts w:ascii="Franklin Gothic Book;sans-serif" w:hAnsi="Franklin Gothic Book;sans-serif"/>
                <w:b/>
                <w:color w:val="000000"/>
                <w:sz w:val="18"/>
                <w:u w:val="single"/>
              </w:rPr>
            </w:pPr>
            <w:r>
              <w:rPr>
                <w:rFonts w:ascii="Franklin Gothic Book;sans-serif" w:hAnsi="Franklin Gothic Book;sans-serif"/>
                <w:b/>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u w:val="single"/>
              </w:rPr>
            </w:pPr>
            <w:r>
              <w:rPr>
                <w:rFonts w:ascii="Franklin Gothic Book;sans-serif" w:hAnsi="Franklin Gothic Book;sans-serif"/>
                <w:b/>
                <w:color w:val="000000"/>
                <w:sz w:val="18"/>
                <w:u w:val="single"/>
              </w:rPr>
              <w:t>Description of Exhibit</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Franklin Gothic Book;sans-serif" w:hAnsi="Franklin Gothic Book;sans-serif"/>
                  <w:b w:val="false"/>
                  <w:color w:val="0000FF"/>
                  <w:sz w:val="20"/>
                  <w:u w:val="single"/>
                </w:rPr>
                <w:t>Indenture, dated as of September 15, 2015, between Biogen Inc. and U.S. Bank National Association (incorporated by reference to Exhibit 4.1 to the Company’s Current Report on Form 8-K filed on September 16, 2015).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Franklin Gothic Book;sans-serif" w:hAnsi="Franklin Gothic Book;sans-serif"/>
                  <w:b w:val="false"/>
                  <w:color w:val="000080"/>
                  <w:sz w:val="20"/>
                  <w:u w:val="single"/>
                </w:rPr>
                <w:t>Fourth Supplemental Indenture, dated as of May 12, 2025, between the Company and U.S. Bank Trust Company, National Association (as successor to U.S. Bank, National Association), including the forms of Global Notes attached as Exhibit A, Exhibit B and Exhibit C, respectively, thereto</w:t>
              </w:r>
            </w:hyperlink>
            <w:hyperlink r:id="rId16">
              <w:r>
                <w:rPr>
                  <w:rStyle w:val="InternetLink"/>
                  <w:rFonts w:ascii="Franklin Gothic Book;sans-serif" w:hAnsi="Franklin Gothic Book;sans-serif"/>
                  <w:b w:val="false"/>
                  <w:color w:val="000080"/>
                  <w:sz w:val="20"/>
                  <w:u w:val="single"/>
                </w:rPr>
                <w:t xml:space="preserve"> (</w:t>
              </w:r>
            </w:hyperlink>
            <w:hyperlink r:id="rId17">
              <w:r>
                <w:rPr>
                  <w:rStyle w:val="InternetLink"/>
                  <w:rFonts w:ascii="Franklin Gothic Book;sans-serif" w:hAnsi="Franklin Gothic Book;sans-serif"/>
                  <w:b w:val="false"/>
                  <w:color w:val="000080"/>
                  <w:sz w:val="20"/>
                  <w:u w:val="single"/>
                </w:rPr>
                <w:t xml:space="preserve">incorporated by reference to Exhibit 4.2 </w:t>
              </w:r>
            </w:hyperlink>
            <w:hyperlink r:id="rId18">
              <w:r>
                <w:rPr>
                  <w:rStyle w:val="InternetLink"/>
                  <w:rFonts w:ascii="Franklin Gothic Book;sans-serif" w:hAnsi="Franklin Gothic Book;sans-serif"/>
                  <w:b w:val="false"/>
                  <w:color w:val="000080"/>
                  <w:sz w:val="20"/>
                  <w:u w:val="single"/>
                </w:rPr>
                <w:t>to the Com</w:t>
              </w:r>
            </w:hyperlink>
            <w:hyperlink r:id="rId19">
              <w:r>
                <w:rPr>
                  <w:rStyle w:val="InternetLink"/>
                  <w:rFonts w:ascii="Franklin Gothic Book;sans-serif" w:hAnsi="Franklin Gothic Book;sans-serif"/>
                  <w:b w:val="false"/>
                  <w:color w:val="000080"/>
                  <w:sz w:val="20"/>
                  <w:u w:val="single"/>
                </w:rPr>
                <w:t>pany's Current Report on Form 8-K filed on May 12, 202</w:t>
              </w:r>
            </w:hyperlink>
            <w:hyperlink r:id="rId20">
              <w:r>
                <w:rPr>
                  <w:rStyle w:val="InternetLink"/>
                  <w:rFonts w:ascii="Franklin Gothic Book;sans-serif" w:hAnsi="Franklin Gothic Book;sans-serif"/>
                  <w:b w:val="false"/>
                  <w:color w:val="000080"/>
                  <w:sz w:val="20"/>
                  <w:u w:val="single"/>
                </w:rPr>
                <w:t>5)</w:t>
              </w:r>
            </w:hyperlink>
            <w:hyperlink r:id="rId21">
              <w:r>
                <w:rPr>
                  <w:rStyle w:val="InternetLink"/>
                  <w:rFonts w:ascii="Franklin Gothic Book;sans-serif" w:hAnsi="Franklin Gothic Book;sans-serif"/>
                  <w:b w:val="false"/>
                  <w:color w:val="000080"/>
                  <w:sz w:val="20"/>
                  <w:u w:val="single"/>
                </w:rPr>
                <w:t>.</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priyasinghalemp.htm">
              <w:r>
                <w:rPr>
                  <w:rStyle w:val="InternetLink"/>
                  <w:rFonts w:ascii="Franklin Gothic Book;sans-serif" w:hAnsi="Franklin Gothic Book;sans-serif"/>
                  <w:b w:val="false"/>
                  <w:color w:val="0000FF"/>
                  <w:sz w:val="20"/>
                  <w:u w:val="single"/>
                </w:rPr>
                <w:t>Letter regarding employment arrangement of Priya Singhal dated January 3, 2023.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ib-2025630xex311.htm">
              <w:r>
                <w:rPr>
                  <w:rStyle w:val="InternetLink"/>
                  <w:rFonts w:ascii="Franklin Gothic Book;sans-serif" w:hAnsi="Franklin Gothic Book;sans-serif"/>
                  <w:b w:val="false"/>
                  <w:color w:val="0000FF"/>
                  <w:sz w:val="20"/>
                  <w:u w:val="single"/>
                </w:rPr>
                <w:t>Certification of the Chief Executive Officer Pursuant to Section 302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ib-2025630xex312.htm">
              <w:r>
                <w:rPr>
                  <w:rStyle w:val="InternetLink"/>
                  <w:rFonts w:ascii="Franklin Gothic Book;sans-serif" w:hAnsi="Franklin Gothic Book;sans-serif"/>
                  <w:b w:val="false"/>
                  <w:color w:val="0000FF"/>
                  <w:sz w:val="20"/>
                  <w:u w:val="single"/>
                </w:rPr>
                <w:t>Certification of the Chief Financial Officer Pursuant to Section 302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ib-2025630xex321.htm">
              <w:r>
                <w:rPr>
                  <w:rStyle w:val="InternetLink"/>
                  <w:rFonts w:ascii="Franklin Gothic Book;sans-serif" w:hAnsi="Franklin Gothic Book;sans-serif"/>
                  <w:b w:val="false"/>
                  <w:color w:val="0000FF"/>
                  <w:sz w:val="20"/>
                  <w:u w:val="single"/>
                </w:rPr>
                <w:t>Certification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materials from Biogen Inc.’s Quarterly Report on Form 10-Q for the quarter ended June 30, 2025, formatted in iXBRL (Inline Extensible Business Reporting Language): (i) the Condensed Consolidated Statements of Income, (ii) the Condensed Consolidated Statements of Comprehensive Income, (iii) the Condensed Consolidated Balance Sheets, (iv) the Condensed Consolidated Statements of Cash Flow, (v) the Condensed Consolidated Statements of Equity and (vi) Notes to Condensed Consolidated Financial Statements.</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cover page from this Quarterly Report on Form 10-Q for the quarter ended June 30, 2025, formatted in Inline XBRL.</w:t>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    Filed herewith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Furnished herewith</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109" name="Frame9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ca933a2247640d8a46a59d585a7b24a_7">
        <w:r>
          <w:rPr>
            <w:rStyle w:val="InternetLink"/>
            <w:rFonts w:ascii="Franklin Gothic Book;sans-serif" w:hAnsi="Franklin Gothic Book;sans-serif"/>
            <w:b/>
            <w:color w:val="0000FF"/>
            <w:sz w:val="16"/>
            <w:u w:val="single"/>
          </w:rPr>
          <w:t>Table of Contents</w:t>
        </w:r>
      </w:hyperlink>
    </w:p>
    <w:p>
      <w:pPr>
        <w:pStyle w:val="TextBody"/>
        <w:bidi w:val="0"/>
        <w:spacing w:lineRule="auto" w:line="288" w:before="280" w:after="283"/>
        <w:jc w:val="center"/>
        <w:rPr>
          <w:rFonts w:ascii="Franklin Gothic Demi;sans-serif" w:hAnsi="Franklin Gothic Demi;sans-serif"/>
          <w:b/>
          <w:color w:val="1C5A7D"/>
          <w:sz w:val="28"/>
        </w:rPr>
      </w:pPr>
      <w:r>
        <w:rPr>
          <w:rFonts w:ascii="Franklin Gothic Demi;sans-serif" w:hAnsi="Franklin Gothic Demi;sans-serif"/>
          <w:b/>
          <w:color w:val="1C5A7D"/>
          <w:sz w:val="28"/>
        </w:rPr>
        <w:t>SIGNATURES</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requirements of the Securities Exchange Act of 1934, the registrant has duly caused this report to be signed on its behalf by the undersigned thereunto duly authorized.</w:t>
      </w:r>
    </w:p>
    <w:tbl>
      <w:tblPr>
        <w:tblW w:w="2715" w:type="dxa"/>
        <w:jc w:val="left"/>
        <w:tblInd w:w="0" w:type="dxa"/>
        <w:tblLayout w:type="fixed"/>
        <w:tblCellMar>
          <w:top w:w="28" w:type="dxa"/>
          <w:left w:w="28" w:type="dxa"/>
          <w:bottom w:w="28" w:type="dxa"/>
          <w:right w:w="28" w:type="dxa"/>
        </w:tblCellMar>
      </w:tblPr>
      <w:tblGrid>
        <w:gridCol w:w="869"/>
        <w:gridCol w:w="763"/>
        <w:gridCol w:w="1083"/>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INC.</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R</w:t>
            </w:r>
            <w:r>
              <w:rPr>
                <w:rFonts w:ascii="Franklin Gothic Book;sans-serif" w:hAnsi="Franklin Gothic Book;sans-serif"/>
                <w:b w:val="false"/>
                <w:color w:val="000000"/>
                <w:sz w:val="18"/>
              </w:rPr>
              <w:t>OBIN</w:t>
            </w:r>
            <w:r>
              <w:rPr>
                <w:color w:val="000000"/>
              </w:rPr>
              <w:t xml:space="preserve"> </w:t>
            </w:r>
            <w:r>
              <w:rPr>
                <w:rFonts w:ascii="Franklin Gothic Book;sans-serif" w:hAnsi="Franklin Gothic Book;sans-serif"/>
                <w:b w:val="false"/>
                <w:color w:val="000000"/>
                <w:sz w:val="20"/>
              </w:rPr>
              <w:t>C. K</w:t>
            </w:r>
            <w:r>
              <w:rPr>
                <w:rFonts w:ascii="Franklin Gothic Book;sans-serif" w:hAnsi="Franklin Gothic Book;sans-serif"/>
                <w:b w:val="false"/>
                <w:color w:val="000000"/>
                <w:sz w:val="18"/>
              </w:rPr>
              <w:t>RAMER</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Robin C. Kramer</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financial officer)</w:t>
            </w:r>
          </w:p>
        </w:tc>
      </w:tr>
    </w:tbl>
    <w:p>
      <w:pPr>
        <w:pStyle w:val="TextBody"/>
        <w:bidi w:val="0"/>
        <w:spacing w:lineRule="auto" w:line="288" w:before="80" w:after="283"/>
        <w:ind w:left="0" w:right="0" w:hanging="27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July 31,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Franklin Gothic Demi;sans-serif" w:hAnsi="Franklin Gothic Demi;sans-serif"/>
          <w:b w:val="false"/>
          <w:color w:val="000000"/>
          <w:sz w:val="24"/>
        </w:rPr>
      </w:pPr>
      <w:r>
        <w:rPr>
          <w:rFonts w:ascii="Franklin Gothic Demi;sans-serif" w:hAnsi="Franklin Gothic Demi;sans-serif"/>
          <w:b w:val="false"/>
          <w:color w:val="000000"/>
          <w:sz w:val="24"/>
        </w:rPr>
        <w:t>EXHIBIT 10.1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110" name="Frame9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4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457325" cy="476250"/>
            <wp:effectExtent l="0" t="0" r="0" b="0"/>
            <wp:docPr id="11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3" descr=""/>
                    <pic:cNvPicPr>
                      <a:picLocks noChangeAspect="1" noChangeArrowheads="1"/>
                    </pic:cNvPicPr>
                  </pic:nvPicPr>
                  <pic:blipFill>
                    <a:blip r:embed="rId22"/>
                    <a:stretch>
                      <a:fillRect/>
                    </a:stretch>
                  </pic:blipFill>
                  <pic:spPr bwMode="auto">
                    <a:xfrm>
                      <a:off x="0" y="0"/>
                      <a:ext cx="1457325" cy="4762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1/3/2023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Priya Singhal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Priya.Singhal@biogen.com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Dear Priya,</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 am pleased to offer you a promotion</w:t>
      </w:r>
      <w:r>
        <w:rPr>
          <w:color w:val="444545"/>
        </w:rPr>
        <w:t xml:space="preserve"> </w:t>
      </w:r>
      <w:r>
        <w:rPr>
          <w:rFonts w:ascii="Arial;sans-serif" w:hAnsi="Arial;sans-serif"/>
          <w:b w:val="false"/>
          <w:color w:val="000000"/>
          <w:sz w:val="20"/>
        </w:rPr>
        <w:t>to Executive Vice President (EVP), Head of Drug Development effective January 5</w:t>
      </w:r>
      <w:r>
        <w:rPr>
          <w:rFonts w:ascii="Arial;sans-serif" w:hAnsi="Arial;sans-serif"/>
          <w:b w:val="false"/>
          <w:color w:val="000000"/>
          <w:sz w:val="13"/>
        </w:rPr>
        <w:t>th</w:t>
      </w:r>
      <w:r>
        <w:rPr>
          <w:rFonts w:ascii="Arial;sans-serif" w:hAnsi="Arial;sans-serif"/>
          <w:b w:val="false"/>
          <w:color w:val="000000"/>
          <w:sz w:val="20"/>
        </w:rPr>
        <w:t>, 2023.  This position will report to Biogen’s Chief Executive Officer, Chris Viehbacher.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specific terms of our offer are as follows: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Salary: </w:t>
      </w:r>
      <w:r>
        <w:rPr>
          <w:rFonts w:ascii="Arial;sans-serif" w:hAnsi="Arial;sans-serif"/>
          <w:b w:val="false"/>
          <w:color w:val="000000"/>
          <w:sz w:val="20"/>
        </w:rPr>
        <w:t>This is a full-time</w:t>
      </w:r>
      <w:r>
        <w:rPr>
          <w:rFonts w:ascii="Arial;sans-serif" w:hAnsi="Arial;sans-serif"/>
          <w:b w:val="false"/>
          <w:color w:val="444545"/>
          <w:sz w:val="20"/>
          <w:shd w:fill="FFFFFF" w:val="clear"/>
        </w:rPr>
        <w:t xml:space="preserve">, </w:t>
      </w:r>
      <w:r>
        <w:rPr>
          <w:rFonts w:ascii="Arial;sans-serif" w:hAnsi="Arial;sans-serif"/>
          <w:b w:val="false"/>
          <w:color w:val="000000"/>
          <w:sz w:val="20"/>
        </w:rPr>
        <w:t xml:space="preserve">exempt position and your starting annual salary will be $700,000.00, which will be paid biweekly in accordance with our standard payroll processes.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Annual Bonus Plan: </w:t>
      </w:r>
      <w:r>
        <w:rPr>
          <w:rFonts w:ascii="Arial;sans-serif" w:hAnsi="Arial;sans-serif"/>
          <w:b w:val="false"/>
          <w:color w:val="000000"/>
          <w:sz w:val="20"/>
        </w:rPr>
        <w:t>You will be eligible to receive an annual bonus for your work in 2023 per the terms of the Management Incentive Plan, with a target bonus opportunity of 75% of your annual base salary. Your target bonus amount will be pro-rated based upon your start date, and the bonus is contingent upon performance. A copy of the Management Incentive Plan is included with this letter, and additional information including bonus plan details and administrative guidelines governing the 2023 bonus plan can be found in the Executive Total Rewards brochure for 2023 to be posted on BiogenConnect.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2023 Equity Award:</w:t>
      </w:r>
      <w:r>
        <w:rPr>
          <w:color w:val="000000"/>
        </w:rPr>
        <w:t xml:space="preserve"> </w:t>
      </w:r>
      <w:r>
        <w:rPr>
          <w:rFonts w:ascii="Arial;sans-serif" w:hAnsi="Arial;sans-serif"/>
          <w:b w:val="false"/>
          <w:color w:val="000000"/>
          <w:sz w:val="20"/>
        </w:rPr>
        <w:t>You will be provided with a grant of Restricted Stock Units (RSUs) and Performance Stock Units (PSUs) in connection with the 2023 annual equity award cycle. The approximate grant date value of your RSU award will be $1,600,000 and the approximate grant date value of your PSU award will be $1,600,000. The number of shares will be calculated by dividing the grant date value by the closing price of Biogen stock (NASDAQ) on the grant date, with the resulting number of shares rounded to the nearest five shares. Your RSU and PSU awards will be granted on the first trading day of the month following the effective date of this promotion (February 1</w:t>
      </w:r>
      <w:r>
        <w:rPr>
          <w:rFonts w:ascii="Arial;sans-serif" w:hAnsi="Arial;sans-serif"/>
          <w:b w:val="false"/>
          <w:color w:val="000000"/>
          <w:sz w:val="13"/>
        </w:rPr>
        <w:t>st</w:t>
      </w:r>
      <w:r>
        <w:rPr>
          <w:rFonts w:ascii="Arial;sans-serif" w:hAnsi="Arial;sans-serif"/>
          <w:b w:val="false"/>
          <w:color w:val="000000"/>
          <w:sz w:val="20"/>
        </w:rPr>
        <w:t>, 2023). Your RSU award with vest in three equal installments beginning on the first anniversary of the grant date. Your full PSU award will vest on the third anniversary of the grant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actual terms of your RSU and PSU awards will be communicated to you following the grant date. Your grant will be awarded under the 2017 Biogen Omnibus Equity Plan. Please see your LTI Award Agreements, which will be available following your grant date, for specific details on the terms and conditions of your awards.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Your employment at Biogen continues to be employment at-will. This means that just as you are free to leave your employment at any time, with or without cause or notice, Biogen also has the same right to terminate your employment at any time, with or without cause or notice.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agreeing to and signing this appointment letter, please also sign the attached Employee Proprietary Information and Inventions and Non-Compete Agreement, as with this appointment, you will become an Executive Officer of the Company.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Finally, outlined below are the additional benefits you are eligible for as an EVP, some of which you are already eligible for as a VP+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14960"/>
                <wp:effectExtent l="0" t="0" r="0" b="0"/>
                <wp:wrapNone/>
                <wp:docPr id="112" name="Frame9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573BA"/>
                                <w:sz w:val="16"/>
                              </w:rPr>
                            </w:pPr>
                            <w:r>
                              <w:rPr>
                                <w:rFonts w:ascii="Arial;sans-serif" w:hAnsi="Arial;sans-serif"/>
                                <w:b w:val="false"/>
                                <w:color w:val="2573BA"/>
                                <w:sz w:val="16"/>
                              </w:rPr>
                              <w:t>225 Binney Street, Cambridge, MA 02142 • Phone 781-464-2000 • www.biogen.com</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573BA"/>
                          <w:sz w:val="16"/>
                        </w:rPr>
                      </w:pPr>
                      <w:r>
                        <w:rPr>
                          <w:rFonts w:ascii="Arial;sans-serif" w:hAnsi="Arial;sans-serif"/>
                          <w:b w:val="false"/>
                          <w:color w:val="2573BA"/>
                          <w:sz w:val="16"/>
                        </w:rPr>
                        <w:t>225 Binney Street, Cambridge, MA 02142 • Phone 781-464-2000 • www.biogen.com</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Executive Benefits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Vacation</w:t>
      </w:r>
      <w:r>
        <w:rPr>
          <w:rFonts w:ascii="Arial;sans-serif" w:hAnsi="Arial;sans-serif"/>
          <w:b w:val="false"/>
          <w:color w:val="000000"/>
          <w:sz w:val="20"/>
        </w:rPr>
        <w:t>: You are entitled to vacation days based on years of service measured from your hire date at Biogen (February 24</w:t>
      </w:r>
      <w:r>
        <w:rPr>
          <w:rFonts w:ascii="Arial;sans-serif" w:hAnsi="Arial;sans-serif"/>
          <w:b w:val="false"/>
          <w:color w:val="000000"/>
          <w:sz w:val="13"/>
        </w:rPr>
        <w:t>th</w:t>
      </w:r>
      <w:r>
        <w:rPr>
          <w:rFonts w:ascii="Arial;sans-serif" w:hAnsi="Arial;sans-serif"/>
          <w:b w:val="false"/>
          <w:color w:val="000000"/>
          <w:sz w:val="20"/>
        </w:rPr>
        <w:t>, 2020).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Supplemental Savings Plan</w:t>
      </w:r>
      <w:r>
        <w:rPr>
          <w:rFonts w:ascii="Arial;sans-serif" w:hAnsi="Arial;sans-serif"/>
          <w:b w:val="false"/>
          <w:color w:val="000000"/>
          <w:sz w:val="20"/>
        </w:rPr>
        <w:t>: You will be entitled to participate in Biogen’s Supplemental Savings Plan (SSP). This plan allows you to make pre-tax deferrals up to 80% of your base salary and up to 100% of your Annual Bonus payment and certain other eligible incentive payments. Your contributions to this plan may be limited by your contributions towards other plans (e.g., 401(k), ESPP, medical, etc.). If you were not previously eligible for the SSP, enrollment information will be sent to you shortly.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Life Insurance</w:t>
      </w:r>
      <w:r>
        <w:rPr>
          <w:rFonts w:ascii="Arial;sans-serif" w:hAnsi="Arial;sans-serif"/>
          <w:b w:val="false"/>
          <w:color w:val="000000"/>
          <w:sz w:val="20"/>
        </w:rPr>
        <w:t>: You will be provided life insurance coverage equal to three times your annual base salary, subject to meeting the medical standards stated in the group term life insurance policy for U.S. employees. Biogen pays the premium for this insurance. The IRS requires employers to impute the value of company-paid life insurance for coverance over $50,000. This imputed income will be displayed on your pay stub.</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Severance</w:t>
      </w:r>
      <w:r>
        <w:rPr>
          <w:rFonts w:ascii="Arial;sans-serif" w:hAnsi="Arial;sans-serif"/>
          <w:b w:val="false"/>
          <w:color w:val="000000"/>
          <w:sz w:val="20"/>
        </w:rPr>
        <w:t>: You will be entitled to severance benefits in accordance with the Severance Plan for U.S. Executive Vice Presidents in effect at the time of any separation of service, and at that time you should refer to the document for details regarding terms, conditions, eligibility and potential tax implications.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Tax &amp; Financial Planning and Executive Physicals</w:t>
      </w:r>
      <w:r>
        <w:rPr>
          <w:rFonts w:ascii="Arial;sans-serif" w:hAnsi="Arial;sans-serif"/>
          <w:b w:val="false"/>
          <w:color w:val="000000"/>
          <w:sz w:val="20"/>
        </w:rPr>
        <w:t>: You are eligible for annual reimbursement of expenses for qualified services such as federal and state income tax planning and/or preparation, financial and estate planning services, and the purchase of tax and/orfinancial planning tools. Additionally, the Company will reimburse you for the expenses of an annual comprehensive physical exam when coordinated by the Executive Health Services team at Mass. General Hospital (MGH). The combined annual reimbursement you are eligible to receive is $7,500 per calendar year (Jannuary 1 – December 31), subject to the guidelines of the Tax &amp; Financial Planning and Executive Reimbursement Program. The details of these benefits are available upon your employment with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Priya, I am confident you will continue to contribute to Biogen’s success and wish you the best of luck in your new position. If you have any questions, please feel free to contact 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Ginger Gregory</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ACCEPTED:</w:t>
      </w:r>
    </w:p>
    <w:p>
      <w:pPr>
        <w:pStyle w:val="TextBody"/>
        <w:bidi w:val="0"/>
        <w:spacing w:before="0" w:after="0"/>
        <w:jc w:val="both"/>
        <w:rPr/>
      </w:pPr>
      <w:r>
        <w:rPr/>
      </w:r>
    </w:p>
    <w:p>
      <w:pPr>
        <w:pStyle w:val="TextBody"/>
        <w:bidi w:val="0"/>
        <w:spacing w:lineRule="auto" w:line="288"/>
        <w:jc w:val="both"/>
        <w:rPr/>
      </w:pPr>
      <w:r>
        <w:rPr>
          <w:rFonts w:ascii="Arial;sans-serif" w:hAnsi="Arial;sans-serif"/>
          <w:b/>
          <w:color w:val="000000"/>
          <w:sz w:val="22"/>
          <w:shd w:fill="FFFFFF" w:val="clear"/>
        </w:rPr>
        <w:t xml:space="preserve">Signature: </w:t>
      </w:r>
      <w:r>
        <w:rPr>
          <w:rFonts w:ascii="Arial;sans-serif" w:hAnsi="Arial;sans-serif"/>
          <w:b/>
          <w:color w:val="000000"/>
          <w:sz w:val="22"/>
          <w:u w:val="single"/>
          <w:shd w:fill="FFFFFF" w:val="clear"/>
        </w:rPr>
        <w:t>/s/ Priya Singhal</w:t>
      </w:r>
      <w:r>
        <w:rPr>
          <w:color w:val="FF0000"/>
        </w:rPr>
        <w:t>                        </w:t>
      </w:r>
      <w:r>
        <w:rPr>
          <w:rFonts w:ascii="Arial;sans-serif" w:hAnsi="Arial;sans-serif"/>
          <w:b/>
          <w:color w:val="000000"/>
          <w:sz w:val="22"/>
          <w:shd w:fill="FFFFFF" w:val="clear"/>
        </w:rPr>
        <w:t xml:space="preserve">Date: </w:t>
      </w:r>
      <w:r>
        <w:rPr>
          <w:rFonts w:ascii="Arial;sans-serif" w:hAnsi="Arial;sans-serif"/>
          <w:b/>
          <w:color w:val="000000"/>
          <w:sz w:val="22"/>
          <w:u w:val="single"/>
          <w:shd w:fill="FFFFFF" w:val="clear"/>
        </w:rPr>
        <w:t>1/5/2023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14960"/>
                <wp:effectExtent l="0" t="0" r="0" b="0"/>
                <wp:wrapNone/>
                <wp:docPr id="113" name="Frame10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2573BA"/>
                                <w:sz w:val="16"/>
                              </w:rPr>
                            </w:pPr>
                            <w:r>
                              <w:rPr>
                                <w:rFonts w:ascii="Arial;sans-serif" w:hAnsi="Arial;sans-serif"/>
                                <w:b w:val="false"/>
                                <w:color w:val="2573BA"/>
                                <w:sz w:val="16"/>
                              </w:rPr>
                              <w:t>225 Binney Street, Cambridge, MA 02142 • Phone 781-464-2000 • www.biogen.com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2573BA"/>
                          <w:sz w:val="16"/>
                        </w:rPr>
                      </w:pPr>
                      <w:r>
                        <w:rPr>
                          <w:rFonts w:ascii="Arial;sans-serif" w:hAnsi="Arial;sans-serif"/>
                          <w:b w:val="false"/>
                          <w:color w:val="2573BA"/>
                          <w:sz w:val="16"/>
                        </w:rPr>
                        <w:t>225 Binney Street, Cambridge, MA 02142 • Phone 781-464-2000 • www.biogen.com</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31.1</w:t>
      </w:r>
    </w:p>
    <w:p>
      <w:pPr>
        <w:pStyle w:val="TextBody"/>
        <w:bidi w:val="0"/>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 OF CHIEF EXECUTIVE OFFICER PURSUANT TO</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SECTION 302 OF THE SARBANES-OXLEY ACT OF 2002</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Christopher A. Viehbacher, certify that: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1.I have reviewed this quarterly report of Biogen Inc.;</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p>
      <w:pPr>
        <w:pStyle w:val="TextBody"/>
        <w:bidi w:val="0"/>
        <w:spacing w:before="180" w:after="283"/>
        <w:ind w:left="0" w:right="0" w:hanging="360"/>
        <w:jc w:val="left"/>
        <w:rPr/>
      </w:pPr>
      <w:r>
        <w:rPr/>
      </w:r>
    </w:p>
    <w:tbl>
      <w:tblPr>
        <w:tblW w:w="6070"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1106"/>
        <w:gridCol w:w="1106"/>
        <w:gridCol w:w="1567"/>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C</w:t>
            </w:r>
            <w:r>
              <w:rPr>
                <w:rFonts w:ascii="Franklin Gothic Book;sans-serif" w:hAnsi="Franklin Gothic Book;sans-serif"/>
                <w:b w:val="false"/>
                <w:color w:val="000000"/>
                <w:sz w:val="18"/>
              </w:rPr>
              <w:t>HRISTOPHER</w:t>
            </w:r>
            <w:r>
              <w:rPr>
                <w:color w:val="000000"/>
              </w:rPr>
              <w:t xml:space="preserve"> </w:t>
            </w:r>
            <w:r>
              <w:rPr>
                <w:rFonts w:ascii="Franklin Gothic Book;sans-serif" w:hAnsi="Franklin Gothic Book;sans-serif"/>
                <w:b w:val="false"/>
                <w:color w:val="000000"/>
                <w:sz w:val="20"/>
              </w:rPr>
              <w:t>A. V</w:t>
            </w:r>
            <w:r>
              <w:rPr>
                <w:rFonts w:ascii="Franklin Gothic Book;sans-serif" w:hAnsi="Franklin Gothic Book;sans-serif"/>
                <w:b w:val="false"/>
                <w:color w:val="000000"/>
                <w:sz w:val="18"/>
              </w:rPr>
              <w:t>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Christopher A. Viehbacher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31.2</w:t>
      </w:r>
    </w:p>
    <w:p>
      <w:pPr>
        <w:pStyle w:val="TextBody"/>
        <w:bidi w:val="0"/>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 OF CHIEF FINANCIAL OFFICER PURSUANT TO</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SECTION 302 OF THE SARBANES-OXLEY ACT OF 2002</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Robin C. Kramer, certify that: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1.I have reviewed this quarterly report of Biogen Inc.;</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80"/>
        <w:ind w:left="0" w:right="0" w:hanging="360"/>
        <w:jc w:val="left"/>
        <w:rPr/>
      </w:pPr>
      <w:r>
        <w:rPr/>
      </w:r>
    </w:p>
    <w:p>
      <w:pPr>
        <w:pStyle w:val="TextBody"/>
        <w:bidi w:val="0"/>
        <w:spacing w:before="0" w:after="180"/>
        <w:ind w:left="0" w:right="0" w:hanging="360"/>
        <w:jc w:val="left"/>
        <w:rPr/>
      </w:pPr>
      <w:r>
        <w:rPr/>
      </w:r>
    </w:p>
    <w:tbl>
      <w:tblPr>
        <w:tblW w:w="4585"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671"/>
        <w:gridCol w:w="671"/>
        <w:gridCol w:w="952"/>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R</w:t>
            </w:r>
            <w:r>
              <w:rPr>
                <w:rFonts w:ascii="Franklin Gothic Book;sans-serif" w:hAnsi="Franklin Gothic Book;sans-serif"/>
                <w:b w:val="false"/>
                <w:color w:val="000000"/>
                <w:sz w:val="18"/>
              </w:rPr>
              <w:t>OBIN</w:t>
            </w:r>
            <w:r>
              <w:rPr>
                <w:color w:val="000000"/>
              </w:rPr>
              <w:t xml:space="preserve"> </w:t>
            </w:r>
            <w:r>
              <w:rPr>
                <w:rFonts w:ascii="Franklin Gothic Book;sans-serif" w:hAnsi="Franklin Gothic Book;sans-serif"/>
                <w:b w:val="false"/>
                <w:color w:val="000000"/>
                <w:sz w:val="20"/>
              </w:rPr>
              <w:t>C. K</w:t>
            </w:r>
            <w:r>
              <w:rPr>
                <w:rFonts w:ascii="Franklin Gothic Book;sans-serif" w:hAnsi="Franklin Gothic Book;sans-serif"/>
                <w:b w:val="false"/>
                <w:color w:val="000000"/>
                <w:sz w:val="18"/>
              </w:rPr>
              <w:t>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Robin C. Kramer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32.1</w:t>
      </w:r>
    </w:p>
    <w:p>
      <w:pPr>
        <w:pStyle w:val="TextBody"/>
        <w:bidi w:val="0"/>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PURSUANT TO SECTION 906 OF THE SARBANES-OXLEY ACT OF 2002</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Quarterly Report on Form 10-Q for the quarter ended June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180" w:after="283"/>
        <w:ind w:left="0" w:right="0" w:firstLine="495"/>
        <w:jc w:val="left"/>
        <w:rPr/>
      </w:pPr>
      <w:r>
        <w:rPr/>
      </w:r>
    </w:p>
    <w:tbl>
      <w:tblPr>
        <w:tblW w:w="6070"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1106"/>
        <w:gridCol w:w="1106"/>
        <w:gridCol w:w="1567"/>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C</w:t>
            </w:r>
            <w:r>
              <w:rPr>
                <w:rFonts w:ascii="Franklin Gothic Book;sans-serif" w:hAnsi="Franklin Gothic Book;sans-serif"/>
                <w:b w:val="false"/>
                <w:color w:val="000000"/>
                <w:sz w:val="18"/>
              </w:rPr>
              <w:t>HRISTOPHER</w:t>
            </w:r>
            <w:r>
              <w:rPr>
                <w:color w:val="000000"/>
              </w:rPr>
              <w:t xml:space="preserve"> </w:t>
            </w:r>
            <w:r>
              <w:rPr>
                <w:rFonts w:ascii="Franklin Gothic Book;sans-serif" w:hAnsi="Franklin Gothic Book;sans-serif"/>
                <w:b w:val="false"/>
                <w:color w:val="000000"/>
                <w:sz w:val="20"/>
              </w:rPr>
              <w:t>A. V</w:t>
            </w:r>
            <w:r>
              <w:rPr>
                <w:rFonts w:ascii="Franklin Gothic Book;sans-serif" w:hAnsi="Franklin Gothic Book;sans-serif"/>
                <w:b w:val="false"/>
                <w:color w:val="000000"/>
                <w:sz w:val="18"/>
              </w:rPr>
              <w:t>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Christopher A. Viehbacher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4990"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790"/>
        <w:gridCol w:w="790"/>
        <w:gridCol w:w="1119"/>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/s/ R</w:t>
            </w:r>
            <w:r>
              <w:rPr>
                <w:rFonts w:ascii="Franklin Gothic Book;sans-serif" w:hAnsi="Franklin Gothic Book;sans-serif"/>
                <w:b w:val="false"/>
                <w:color w:val="000000"/>
                <w:sz w:val="18"/>
              </w:rPr>
              <w:t>OBIN</w:t>
            </w:r>
            <w:r>
              <w:rPr>
                <w:color w:val="000000"/>
              </w:rPr>
              <w:t xml:space="preserve"> </w:t>
            </w:r>
            <w:r>
              <w:rPr>
                <w:rFonts w:ascii="Franklin Gothic Book;sans-serif" w:hAnsi="Franklin Gothic Book;sans-serif"/>
                <w:b w:val="false"/>
                <w:color w:val="000000"/>
                <w:sz w:val="20"/>
              </w:rPr>
              <w:t>C. K</w:t>
            </w:r>
            <w:r>
              <w:rPr>
                <w:rFonts w:ascii="Franklin Gothic Book;sans-serif" w:hAnsi="Franklin Gothic Book;sans-serif"/>
                <w:b w:val="false"/>
                <w:color w:val="000000"/>
                <w:sz w:val="18"/>
              </w:rPr>
              <w:t>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Robin C. Kramer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financial officer]</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anklin Gothic Book">
    <w:altName w:val="sans-serif"/>
    <w:charset w:val="01"/>
    <w:family w:val="auto"/>
    <w:pitch w:val="default"/>
  </w:font>
  <w:font w:name="Wingdings">
    <w:altName w:val="sans-serif"/>
    <w:charset w:val="02"/>
    <w:family w:val="auto"/>
    <w:pitch w:val="default"/>
  </w:font>
  <w:font w:name="Franklin Gothic Medium">
    <w:altName w:val="sans-serif"/>
    <w:charset w:val="01"/>
    <w:family w:val="auto"/>
    <w:pitch w:val="default"/>
  </w:font>
  <w:font w:name="Franklin Gothic Demi">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875045/000119312515320650/d78596dex41.htm" TargetMode="External"/><Relationship Id="rId15" Type="http://schemas.openxmlformats.org/officeDocument/2006/relationships/hyperlink" Target="https://www.sec.gov/Archives/edgar/data/875045/000119312525117854/d13940dex42.htm" TargetMode="External"/><Relationship Id="rId16" Type="http://schemas.openxmlformats.org/officeDocument/2006/relationships/hyperlink" Target="https://www.sec.gov/Archives/edgar/data/875045/000119312525117854/d13940dex42.htm" TargetMode="External"/><Relationship Id="rId17" Type="http://schemas.openxmlformats.org/officeDocument/2006/relationships/hyperlink" Target="https://www.sec.gov/Archives/edgar/data/875045/000119312525117854/d13940dex42.htm" TargetMode="External"/><Relationship Id="rId18" Type="http://schemas.openxmlformats.org/officeDocument/2006/relationships/hyperlink" Target="https://www.sec.gov/Archives/edgar/data/875045/000119312525117854/d13940dex42.htm" TargetMode="External"/><Relationship Id="rId19" Type="http://schemas.openxmlformats.org/officeDocument/2006/relationships/hyperlink" Target="https://www.sec.gov/Archives/edgar/data/875045/000119312525117854/d13940dex42.htm" TargetMode="External"/><Relationship Id="rId20" Type="http://schemas.openxmlformats.org/officeDocument/2006/relationships/hyperlink" Target="https://www.sec.gov/Archives/edgar/data/875045/000119312525117854/d13940dex42.htm" TargetMode="External"/><Relationship Id="rId21" Type="http://schemas.openxmlformats.org/officeDocument/2006/relationships/hyperlink" Target="https://www.sec.gov/Archives/edgar/data/875045/000119312525117854/d13940dex42.htm" TargetMode="External"/><Relationship Id="rId22" Type="http://schemas.openxmlformats.org/officeDocument/2006/relationships/image" Target="media/image13.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53967</Words>
  <Characters>305367</Characters>
  <CharactersWithSpaces>356142</CharactersWithSpaces>
  <Paragraphs>5697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