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862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86219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Sandrock Alfred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BIOGEN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225 BINNEY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BIOGEN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BIIB</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02/22/2016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343"/>
        <w:spacing w:after="0"/>
        <w:rPr>
          <w:sz w:val="20"/>
          <w:szCs w:val="20"/>
          <w:color w:val="auto"/>
        </w:rPr>
      </w:pPr>
      <w:r>
        <w:rPr>
          <w:rFonts w:ascii="Arial" w:cs="Arial" w:eastAsia="Arial" w:hAnsi="Arial"/>
          <w:sz w:val="16"/>
          <w:szCs w:val="16"/>
          <w:color w:val="0000FF"/>
        </w:rPr>
        <w:t>EVP CMO Neuro &amp; Neurodegenerat</w:t>
      </w:r>
    </w:p>
    <w:p>
      <w:pPr>
        <w:spacing w:after="0" w:line="429"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0" w:type="dxa"/>
            <w:vAlign w:val="bottom"/>
            <w:gridSpan w:val="8"/>
          </w:tcPr>
          <w:p>
            <w:pPr>
              <w:jc w:val="center"/>
              <w:spacing w:after="0" w:line="146" w:lineRule="exact"/>
              <w:rPr>
                <w:sz w:val="20"/>
                <w:szCs w:val="20"/>
                <w:color w:val="auto"/>
              </w:rPr>
            </w:pPr>
            <w:r>
              <w:rPr>
                <w:rFonts w:ascii="Arial" w:cs="Arial" w:eastAsia="Arial" w:hAnsi="Arial"/>
                <w:sz w:val="14"/>
                <w:szCs w:val="14"/>
                <w:color w:val="auto"/>
                <w:w w:val="95"/>
              </w:rPr>
              <w:t>4. If Amendment, Date of Original Filed (Month/Day/Year)</w:t>
            </w:r>
          </w:p>
        </w:tc>
        <w:tc>
          <w:tcPr>
            <w:tcW w:w="3800" w:type="dxa"/>
            <w:vAlign w:val="bottom"/>
            <w:gridSpan w:val="10"/>
          </w:tcPr>
          <w:p>
            <w:pPr>
              <w:ind w:left="3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gridSpan w:val="4"/>
          </w:tcPr>
          <w:p>
            <w:pPr>
              <w:ind w:left="34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0" w:type="dxa"/>
            <w:vAlign w:val="bottom"/>
            <w:gridSpan w:val="10"/>
            <w:vMerge w:val="restart"/>
          </w:tcPr>
          <w:p>
            <w:pPr>
              <w:ind w:left="5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20" w:type="dxa"/>
            <w:vAlign w:val="bottom"/>
            <w:gridSpan w:val="3"/>
            <w:vMerge w:val="restart"/>
          </w:tcPr>
          <w:p>
            <w:pPr>
              <w:spacing w:after="0"/>
              <w:rPr>
                <w:sz w:val="20"/>
                <w:szCs w:val="20"/>
                <w:color w:val="auto"/>
              </w:rPr>
            </w:pPr>
            <w:r>
              <w:rPr>
                <w:rFonts w:ascii="Arial" w:cs="Arial" w:eastAsia="Arial" w:hAnsi="Arial"/>
                <w:sz w:val="18"/>
                <w:szCs w:val="18"/>
                <w:color w:val="0000FF"/>
              </w:rPr>
              <w:t>CAMBRIDGE   MA</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02142</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80" w:type="dxa"/>
            <w:vAlign w:val="bottom"/>
            <w:gridSpan w:val="7"/>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vMerge w:val="restart"/>
          </w:tcPr>
          <w:p>
            <w:pPr>
              <w:spacing w:after="0"/>
              <w:rPr>
                <w:sz w:val="5"/>
                <w:szCs w:val="5"/>
                <w:color w:val="auto"/>
              </w:rPr>
            </w:pPr>
          </w:p>
        </w:tc>
        <w:tc>
          <w:tcPr>
            <w:tcW w:w="620" w:type="dxa"/>
            <w:vAlign w:val="bottom"/>
            <w:vMerge w:val="restart"/>
          </w:tcPr>
          <w:p>
            <w:pPr>
              <w:ind w:left="18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40" w:type="dxa"/>
            <w:vAlign w:val="bottom"/>
            <w:tcBorders>
              <w:bottom w:val="single" w:sz="8" w:color="2C2C2C"/>
            </w:tcBorders>
            <w:gridSpan w:val="5"/>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5"/>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4"/>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2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3"/>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7"/>
          </w:tcPr>
          <w:p>
            <w:pPr>
              <w:spacing w:after="0"/>
              <w:rPr>
                <w:sz w:val="8"/>
                <w:szCs w:val="8"/>
                <w:color w:val="auto"/>
              </w:rPr>
            </w:pPr>
          </w:p>
        </w:tc>
        <w:tc>
          <w:tcPr>
            <w:tcW w:w="264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5"/>
          </w:tcPr>
          <w:p>
            <w:pPr>
              <w:jc w:val="center"/>
              <w:ind w:left="82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2"/>
          </w:tcPr>
          <w:p>
            <w:pPr>
              <w:jc w:val="center"/>
              <w:ind w:left="49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080" w:type="dxa"/>
            <w:vAlign w:val="bottom"/>
          </w:tcPr>
          <w:p>
            <w:pPr>
              <w:ind w:left="260"/>
              <w:spacing w:after="0"/>
              <w:rPr>
                <w:sz w:val="20"/>
                <w:szCs w:val="20"/>
                <w:color w:val="auto"/>
              </w:rPr>
            </w:pPr>
            <w:r>
              <w:rPr>
                <w:rFonts w:ascii="Arial" w:cs="Arial" w:eastAsia="Arial" w:hAnsi="Arial"/>
                <w:sz w:val="14"/>
                <w:szCs w:val="14"/>
                <w:color w:val="0000FF"/>
              </w:rPr>
              <w:t>02/22/2016</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ind w:left="80"/>
              <w:spacing w:after="0"/>
              <w:rPr>
                <w:sz w:val="20"/>
                <w:szCs w:val="20"/>
                <w:color w:val="auto"/>
              </w:rPr>
            </w:pPr>
            <w:r>
              <w:rPr>
                <w:rFonts w:ascii="Arial" w:cs="Arial" w:eastAsia="Arial" w:hAnsi="Arial"/>
                <w:sz w:val="14"/>
                <w:szCs w:val="14"/>
                <w:color w:val="0000FF"/>
              </w:rPr>
              <w:t>A</w:t>
            </w:r>
          </w:p>
        </w:tc>
        <w:tc>
          <w:tcPr>
            <w:tcW w:w="600" w:type="dxa"/>
            <w:vAlign w:val="bottom"/>
          </w:tcPr>
          <w:p>
            <w:pPr>
              <w:ind w:left="200"/>
              <w:spacing w:after="0"/>
              <w:rPr>
                <w:sz w:val="20"/>
                <w:szCs w:val="20"/>
                <w:color w:val="auto"/>
              </w:rPr>
            </w:pPr>
            <w:r>
              <w:rPr>
                <w:rFonts w:ascii="Arial" w:cs="Arial" w:eastAsia="Arial" w:hAnsi="Arial"/>
                <w:sz w:val="14"/>
                <w:szCs w:val="14"/>
                <w:color w:val="0000FF"/>
              </w:rPr>
              <w:t>7,270</w:t>
            </w:r>
          </w:p>
        </w:tc>
        <w:tc>
          <w:tcPr>
            <w:tcW w:w="340" w:type="dxa"/>
            <w:vAlign w:val="bottom"/>
          </w:tcPr>
          <w:p>
            <w:pPr>
              <w:spacing w:after="0"/>
              <w:rPr>
                <w:sz w:val="21"/>
                <w:szCs w:val="21"/>
                <w:color w:val="auto"/>
              </w:rPr>
            </w:pPr>
          </w:p>
        </w:tc>
        <w:tc>
          <w:tcPr>
            <w:tcW w:w="78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60" w:type="dxa"/>
            <w:vAlign w:val="bottom"/>
            <w:gridSpan w:val="2"/>
          </w:tcPr>
          <w:p>
            <w:pPr>
              <w:ind w:left="60"/>
              <w:spacing w:after="0"/>
              <w:rPr>
                <w:sz w:val="20"/>
                <w:szCs w:val="20"/>
                <w:color w:val="auto"/>
              </w:rPr>
            </w:pPr>
            <w:r>
              <w:rPr>
                <w:rFonts w:ascii="Arial" w:cs="Arial" w:eastAsia="Arial" w:hAnsi="Arial"/>
                <w:sz w:val="14"/>
                <w:szCs w:val="14"/>
                <w:color w:val="0000FF"/>
                <w:w w:val="96"/>
              </w:rPr>
              <w:t>02/22/2019</w:t>
            </w:r>
          </w:p>
        </w:tc>
        <w:tc>
          <w:tcPr>
            <w:tcW w:w="680" w:type="dxa"/>
            <w:vAlign w:val="bottom"/>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tcPr>
          <w:p>
            <w:pPr>
              <w:ind w:left="60"/>
              <w:spacing w:after="0"/>
              <w:rPr>
                <w:sz w:val="20"/>
                <w:szCs w:val="20"/>
                <w:color w:val="auto"/>
              </w:rPr>
            </w:pPr>
            <w:r>
              <w:rPr>
                <w:rFonts w:ascii="Arial" w:cs="Arial" w:eastAsia="Arial" w:hAnsi="Arial"/>
                <w:sz w:val="18"/>
                <w:szCs w:val="18"/>
                <w:color w:val="0000FF"/>
              </w:rPr>
              <w:t>7,270</w:t>
            </w:r>
          </w:p>
        </w:tc>
        <w:tc>
          <w:tcPr>
            <w:tcW w:w="40" w:type="dxa"/>
            <w:vAlign w:val="bottom"/>
          </w:tcPr>
          <w:p>
            <w:pPr>
              <w:spacing w:after="0"/>
              <w:rPr>
                <w:sz w:val="21"/>
                <w:szCs w:val="21"/>
                <w:color w:val="auto"/>
              </w:rPr>
            </w:pPr>
          </w:p>
        </w:tc>
        <w:tc>
          <w:tcPr>
            <w:tcW w:w="74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80"/>
              <w:spacing w:after="0"/>
              <w:rPr>
                <w:sz w:val="20"/>
                <w:szCs w:val="20"/>
                <w:color w:val="auto"/>
              </w:rPr>
            </w:pPr>
            <w:r>
              <w:rPr>
                <w:rFonts w:ascii="Arial" w:cs="Arial" w:eastAsia="Arial" w:hAnsi="Arial"/>
                <w:sz w:val="14"/>
                <w:szCs w:val="14"/>
                <w:color w:val="0000FF"/>
                <w:w w:val="91"/>
              </w:rPr>
              <w:t>7,270</w:t>
            </w:r>
          </w:p>
        </w:tc>
        <w:tc>
          <w:tcPr>
            <w:tcW w:w="300" w:type="dxa"/>
            <w:vAlign w:val="bottom"/>
          </w:tcPr>
          <w:p>
            <w:pPr>
              <w:spacing w:after="0"/>
              <w:rPr>
                <w:sz w:val="21"/>
                <w:szCs w:val="21"/>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 Unit</w:t>
            </w: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ind w:left="140"/>
              <w:spacing w:after="0"/>
              <w:rPr>
                <w:sz w:val="20"/>
                <w:szCs w:val="20"/>
                <w:color w:val="auto"/>
              </w:rPr>
            </w:pPr>
            <w:r>
              <w:rPr>
                <w:rFonts w:ascii="Arial" w:cs="Arial" w:eastAsia="Arial" w:hAnsi="Arial"/>
                <w:sz w:val="14"/>
                <w:szCs w:val="14"/>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18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number of RSUs reported represents the maximum possible number of shares that are eligible for vesting, which is 200% of the number of shares at target payout. One-third of these RSUs are eligible to vest on each of the first three anniversaries of the grant date. The actual number of shares that will vest on each vesting date will be determined by comparing the price of Biogen common stock on such vesting date to the price on the grant date (i.e., number of vested shares = number of shares at target payout times [the 30-day average closing stock price ending on the vesting date divided by the 30-day average closing stock price on the grant date]).</w:t>
      </w:r>
    </w:p>
    <w:p>
      <w:pPr>
        <w:spacing w:after="0" w:line="6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Matthew S. Gilman,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284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842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 Fact for Alfred W. Sandrock, 02/24/2016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Jr.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022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223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77061" TargetMode="External"/><Relationship Id="rId13" Type="http://schemas.openxmlformats.org/officeDocument/2006/relationships/hyperlink" Target="http://www.sec.gov/cgi-bin/browse-edgar?action=getcompany&amp;CIK=00008750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2019-12-23T20:50:28Z</dcterms:created>
  <dcterms:modified xsi:type="dcterms:W3CDTF">2019-12-23T20:50:28Z</dcterms:modified>
</cp:coreProperties>
</file>