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9517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951730"/>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BIOGEN INC.</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440" w:type="dxa"/>
            <w:vAlign w:val="bottom"/>
            <w:tcBorders>
              <w:top w:val="single" w:sz="8" w:color="0000EE"/>
              <w:bottom w:val="single" w:sz="8" w:color="9A9A9A"/>
            </w:tcBorders>
          </w:tcPr>
          <w:p>
            <w:pPr>
              <w:spacing w:after="0"/>
              <w:rPr>
                <w:sz w:val="16"/>
                <w:szCs w:val="16"/>
                <w:color w:val="auto"/>
              </w:rPr>
            </w:pPr>
          </w:p>
        </w:tc>
        <w:tc>
          <w:tcPr>
            <w:tcW w:w="162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03/31/2026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Apellis Pharmaceuticals,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APLS</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9" w:lineRule="exact"/>
        <w:rPr>
          <w:sz w:val="24"/>
          <w:szCs w:val="24"/>
          <w:color w:val="auto"/>
        </w:rPr>
      </w:pPr>
    </w:p>
    <w:p>
      <w:pPr>
        <w:sectPr>
          <w:pgSz w:w="11900" w:h="16838" w:orient="portrait"/>
          <w:cols w:equalWidth="0" w:num="2">
            <w:col w:w="4720" w:space="280"/>
            <w:col w:w="5940"/>
          </w:cols>
          <w:pgMar w:left="480" w:top="230" w:right="479" w:bottom="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200" w:type="dxa"/>
            <w:vAlign w:val="bottom"/>
          </w:tcPr>
          <w:p>
            <w:pPr>
              <w:ind w:left="280"/>
              <w:spacing w:after="0"/>
              <w:rPr>
                <w:sz w:val="20"/>
                <w:szCs w:val="20"/>
                <w:color w:val="auto"/>
              </w:rPr>
            </w:pPr>
            <w:r>
              <w:rPr>
                <w:rFonts w:ascii="Arial" w:cs="Arial" w:eastAsia="Arial" w:hAnsi="Arial"/>
                <w:sz w:val="15"/>
                <w:szCs w:val="15"/>
                <w:color w:val="auto"/>
              </w:rPr>
              <w:t>(First)</w:t>
            </w:r>
          </w:p>
        </w:tc>
        <w:tc>
          <w:tcPr>
            <w:tcW w:w="1120" w:type="dxa"/>
            <w:vAlign w:val="bottom"/>
          </w:tcPr>
          <w:p>
            <w:pPr>
              <w:ind w:left="120"/>
              <w:spacing w:after="0"/>
              <w:rPr>
                <w:sz w:val="20"/>
                <w:szCs w:val="20"/>
                <w:color w:val="auto"/>
              </w:rPr>
            </w:pPr>
            <w:r>
              <w:rPr>
                <w:rFonts w:ascii="Arial" w:cs="Arial" w:eastAsia="Arial" w:hAnsi="Arial"/>
                <w:sz w:val="15"/>
                <w:szCs w:val="15"/>
                <w:color w:val="auto"/>
              </w:rPr>
              <w:t>(Middle)</w:t>
            </w:r>
          </w:p>
        </w:tc>
      </w:tr>
      <w:tr>
        <w:trPr>
          <w:trHeight w:val="310"/>
        </w:trPr>
        <w:tc>
          <w:tcPr>
            <w:tcW w:w="19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225 BINNEY STREET</w:t>
            </w:r>
          </w:p>
        </w:tc>
        <w:tc>
          <w:tcPr>
            <w:tcW w:w="1120" w:type="dxa"/>
            <w:vAlign w:val="bottom"/>
          </w:tcPr>
          <w:p>
            <w:pPr>
              <w:spacing w:after="0"/>
              <w:rPr>
                <w:sz w:val="24"/>
                <w:szCs w:val="24"/>
                <w:color w:val="auto"/>
              </w:rPr>
            </w:pPr>
          </w:p>
        </w:tc>
      </w:tr>
      <w:tr>
        <w:trPr>
          <w:trHeight w:val="237"/>
        </w:trPr>
        <w:tc>
          <w:tcPr>
            <w:tcW w:w="780" w:type="dxa"/>
            <w:vAlign w:val="bottom"/>
            <w:tcBorders>
              <w:bottom w:val="single" w:sz="8" w:color="9A9A9A"/>
            </w:tcBorders>
          </w:tcPr>
          <w:p>
            <w:pPr>
              <w:spacing w:after="0"/>
              <w:rPr>
                <w:sz w:val="20"/>
                <w:szCs w:val="20"/>
                <w:color w:val="auto"/>
              </w:rPr>
            </w:pPr>
          </w:p>
        </w:tc>
        <w:tc>
          <w:tcPr>
            <w:tcW w:w="1200" w:type="dxa"/>
            <w:vAlign w:val="bottom"/>
            <w:tcBorders>
              <w:bottom w:val="single" w:sz="8" w:color="9A9A9A"/>
            </w:tcBorders>
          </w:tcPr>
          <w:p>
            <w:pPr>
              <w:spacing w:after="0"/>
              <w:rPr>
                <w:sz w:val="20"/>
                <w:szCs w:val="20"/>
                <w:color w:val="auto"/>
              </w:rPr>
            </w:pPr>
          </w:p>
        </w:tc>
        <w:tc>
          <w:tcPr>
            <w:tcW w:w="1120" w:type="dxa"/>
            <w:vAlign w:val="bottom"/>
            <w:tcBorders>
              <w:bottom w:val="single" w:sz="8" w:color="9A9A9A"/>
            </w:tcBorders>
          </w:tcPr>
          <w:p>
            <w:pPr>
              <w:spacing w:after="0"/>
              <w:rPr>
                <w:sz w:val="20"/>
                <w:szCs w:val="20"/>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2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65"/>
        </w:trPr>
        <w:tc>
          <w:tcPr>
            <w:tcW w:w="19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CAMBRIDGE MA</w:t>
            </w:r>
          </w:p>
        </w:tc>
        <w:tc>
          <w:tcPr>
            <w:tcW w:w="1120" w:type="dxa"/>
            <w:vAlign w:val="bottom"/>
          </w:tcPr>
          <w:p>
            <w:pPr>
              <w:jc w:val="right"/>
              <w:ind w:right="357"/>
              <w:spacing w:after="0"/>
              <w:rPr>
                <w:sz w:val="20"/>
                <w:szCs w:val="20"/>
                <w:color w:val="auto"/>
              </w:rPr>
            </w:pPr>
            <w:r>
              <w:rPr>
                <w:rFonts w:ascii="Times New Roman" w:cs="Times New Roman" w:eastAsia="Times New Roman" w:hAnsi="Times New Roman"/>
                <w:sz w:val="20"/>
                <w:szCs w:val="20"/>
                <w:color w:val="0000FF"/>
              </w:rPr>
              <w:t>02142</w:t>
            </w:r>
          </w:p>
        </w:tc>
      </w:tr>
      <w:tr>
        <w:trPr>
          <w:trHeight w:val="177"/>
        </w:trPr>
        <w:tc>
          <w:tcPr>
            <w:tcW w:w="7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r>
      <w:tr>
        <w:trPr>
          <w:trHeight w:val="348"/>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200" w:type="dxa"/>
            <w:vAlign w:val="bottom"/>
          </w:tcPr>
          <w:p>
            <w:pPr>
              <w:ind w:left="280"/>
              <w:spacing w:after="0"/>
              <w:rPr>
                <w:sz w:val="20"/>
                <w:szCs w:val="20"/>
                <w:color w:val="auto"/>
              </w:rPr>
            </w:pPr>
            <w:r>
              <w:rPr>
                <w:rFonts w:ascii="Arial" w:cs="Arial" w:eastAsia="Arial" w:hAnsi="Arial"/>
                <w:sz w:val="15"/>
                <w:szCs w:val="15"/>
                <w:color w:val="auto"/>
              </w:rPr>
              <w:t>(State)</w:t>
            </w:r>
          </w:p>
        </w:tc>
        <w:tc>
          <w:tcPr>
            <w:tcW w:w="1120" w:type="dxa"/>
            <w:vAlign w:val="bottom"/>
          </w:tcPr>
          <w:p>
            <w:pPr>
              <w:ind w:left="12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1023"/>
        <w:spacing w:after="0"/>
        <w:rPr>
          <w:sz w:val="20"/>
          <w:szCs w:val="20"/>
          <w:color w:val="auto"/>
        </w:rPr>
      </w:pPr>
      <w:r>
        <w:rPr>
          <w:rFonts w:ascii="Times New Roman" w:cs="Times New Roman" w:eastAsia="Times New Roman" w:hAnsi="Times New Roman"/>
          <w:sz w:val="20"/>
          <w:szCs w:val="20"/>
          <w:color w:val="0000FF"/>
        </w:rPr>
        <w:t>See footnotes</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370"/>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700" w:type="dxa"/>
            <w:vAlign w:val="bottom"/>
          </w:tcPr>
          <w:p>
            <w:pPr>
              <w:jc w:val="center"/>
              <w:ind w:right="365"/>
              <w:spacing w:after="0" w:line="359" w:lineRule="exact"/>
              <w:rPr>
                <w:sz w:val="20"/>
                <w:szCs w:val="20"/>
                <w:color w:val="auto"/>
              </w:rPr>
            </w:pPr>
            <w:r>
              <w:rPr>
                <w:rFonts w:ascii="Times New Roman" w:cs="Times New Roman" w:eastAsia="Times New Roman" w:hAnsi="Times New Roman"/>
                <w:sz w:val="39"/>
                <w:szCs w:val="39"/>
                <w:color w:val="0000FF"/>
                <w:vertAlign w:val="subscript"/>
              </w:rPr>
              <w:t>0</w:t>
            </w:r>
            <w:r>
              <w:rPr>
                <w:rFonts w:ascii="Times New Roman" w:cs="Times New Roman" w:eastAsia="Times New Roman" w:hAnsi="Times New Roman"/>
                <w:sz w:val="13"/>
                <w:szCs w:val="13"/>
                <w:color w:val="008000"/>
              </w:rPr>
              <w:t>(1)(2)(3)</w:t>
            </w:r>
          </w:p>
        </w:tc>
        <w:tc>
          <w:tcPr>
            <w:tcW w:w="1580" w:type="dxa"/>
            <w:vAlign w:val="bottom"/>
            <w:gridSpan w:val="3"/>
          </w:tcPr>
          <w:p>
            <w:pPr>
              <w:jc w:val="center"/>
              <w:ind w:left="169"/>
              <w:spacing w:after="0" w:line="359" w:lineRule="exact"/>
              <w:rPr>
                <w:sz w:val="20"/>
                <w:szCs w:val="20"/>
                <w:color w:val="auto"/>
              </w:rPr>
            </w:pPr>
            <w:r>
              <w:rPr>
                <w:rFonts w:ascii="Times New Roman" w:cs="Times New Roman" w:eastAsia="Times New Roman" w:hAnsi="Times New Roman"/>
                <w:sz w:val="39"/>
                <w:szCs w:val="39"/>
                <w:color w:val="0000FF"/>
                <w:w w:val="92"/>
                <w:vertAlign w:val="subscript"/>
              </w:rPr>
              <w:t>I</w:t>
            </w:r>
            <w:r>
              <w:rPr>
                <w:rFonts w:ascii="Times New Roman" w:cs="Times New Roman" w:eastAsia="Times New Roman" w:hAnsi="Times New Roman"/>
                <w:sz w:val="13"/>
                <w:szCs w:val="13"/>
                <w:color w:val="008000"/>
                <w:w w:val="92"/>
              </w:rPr>
              <w:t>(1)(2)(3)</w:t>
            </w:r>
          </w:p>
        </w:tc>
        <w:tc>
          <w:tcPr>
            <w:tcW w:w="27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See footnotes</w:t>
            </w:r>
            <w:r>
              <w:rPr>
                <w:rFonts w:ascii="Times New Roman" w:cs="Times New Roman" w:eastAsia="Times New Roman" w:hAnsi="Times New Roman"/>
                <w:sz w:val="25"/>
                <w:szCs w:val="25"/>
                <w:color w:val="008000"/>
                <w:vertAlign w:val="superscript"/>
              </w:rPr>
              <w:t>(1)(2)(3)</w:t>
            </w: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2760" w:type="dxa"/>
            <w:vAlign w:val="bottom"/>
            <w:tcBorders>
              <w:top w:val="single" w:sz="8" w:color="2C2C2C"/>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220" w:type="dxa"/>
            <w:vAlign w:val="bottom"/>
            <w:tcBorders>
              <w:top w:val="single" w:sz="8" w:color="2C2C2C"/>
              <w:bottom w:val="single" w:sz="8" w:color="2C2C2C"/>
            </w:tcBorders>
          </w:tcPr>
          <w:p>
            <w:pPr>
              <w:spacing w:after="0"/>
              <w:rPr>
                <w:sz w:val="24"/>
                <w:szCs w:val="24"/>
                <w:color w:val="auto"/>
              </w:rPr>
            </w:pPr>
          </w:p>
        </w:tc>
        <w:tc>
          <w:tcPr>
            <w:tcW w:w="980" w:type="dxa"/>
            <w:vAlign w:val="bottom"/>
            <w:tcBorders>
              <w:top w:val="single" w:sz="8" w:color="2C2C2C"/>
              <w:bottom w:val="single" w:sz="8" w:color="2C2C2C"/>
            </w:tcBorders>
          </w:tcPr>
          <w:p>
            <w:pPr>
              <w:spacing w:after="0"/>
              <w:rPr>
                <w:sz w:val="24"/>
                <w:szCs w:val="24"/>
                <w:color w:val="auto"/>
              </w:rPr>
            </w:pPr>
          </w:p>
        </w:tc>
        <w:tc>
          <w:tcPr>
            <w:tcW w:w="900" w:type="dxa"/>
            <w:vAlign w:val="bottom"/>
            <w:tcBorders>
              <w:top w:val="single" w:sz="8" w:color="2C2C2C"/>
              <w:bottom w:val="single" w:sz="8" w:color="2C2C2C"/>
            </w:tcBorders>
          </w:tcPr>
          <w:p>
            <w:pPr>
              <w:spacing w:after="0"/>
              <w:rPr>
                <w:sz w:val="24"/>
                <w:szCs w:val="24"/>
                <w:color w:val="auto"/>
              </w:rPr>
            </w:pPr>
          </w:p>
        </w:tc>
        <w:tc>
          <w:tcPr>
            <w:tcW w:w="1700" w:type="dxa"/>
            <w:vAlign w:val="bottom"/>
            <w:tcBorders>
              <w:top w:val="single" w:sz="8" w:color="2C2C2C"/>
              <w:bottom w:val="single" w:sz="8" w:color="2C2C2C"/>
            </w:tcBorders>
          </w:tcPr>
          <w:p>
            <w:pPr>
              <w:jc w:val="center"/>
              <w:ind w:right="505"/>
              <w:spacing w:after="0" w:line="359" w:lineRule="exact"/>
              <w:rPr>
                <w:sz w:val="20"/>
                <w:szCs w:val="20"/>
                <w:color w:val="auto"/>
              </w:rPr>
            </w:pPr>
            <w:r>
              <w:rPr>
                <w:rFonts w:ascii="Times New Roman" w:cs="Times New Roman" w:eastAsia="Times New Roman" w:hAnsi="Times New Roman"/>
                <w:sz w:val="39"/>
                <w:szCs w:val="39"/>
                <w:color w:val="0000FF"/>
                <w:vertAlign w:val="subscript"/>
              </w:rPr>
              <w:t>0</w:t>
            </w:r>
            <w:r>
              <w:rPr>
                <w:rFonts w:ascii="Times New Roman" w:cs="Times New Roman" w:eastAsia="Times New Roman" w:hAnsi="Times New Roman"/>
                <w:sz w:val="13"/>
                <w:szCs w:val="13"/>
                <w:color w:val="008000"/>
              </w:rPr>
              <w:t>(4)</w:t>
            </w:r>
          </w:p>
        </w:tc>
        <w:tc>
          <w:tcPr>
            <w:tcW w:w="780" w:type="dxa"/>
            <w:vAlign w:val="bottom"/>
            <w:tcBorders>
              <w:top w:val="single" w:sz="8" w:color="2C2C2C"/>
              <w:bottom w:val="single" w:sz="8" w:color="2C2C2C"/>
            </w:tcBorders>
          </w:tcPr>
          <w:p>
            <w:pPr>
              <w:spacing w:after="0"/>
              <w:rPr>
                <w:sz w:val="24"/>
                <w:szCs w:val="24"/>
                <w:color w:val="auto"/>
              </w:rPr>
            </w:pPr>
          </w:p>
        </w:tc>
        <w:tc>
          <w:tcPr>
            <w:tcW w:w="800" w:type="dxa"/>
            <w:vAlign w:val="bottom"/>
            <w:tcBorders>
              <w:top w:val="single" w:sz="8" w:color="2C2C2C"/>
              <w:bottom w:val="single" w:sz="8" w:color="2C2C2C"/>
            </w:tcBorders>
            <w:gridSpan w:val="2"/>
          </w:tcPr>
          <w:p>
            <w:pPr>
              <w:jc w:val="center"/>
              <w:ind w:right="445"/>
              <w:spacing w:after="0" w:line="359" w:lineRule="exact"/>
              <w:rPr>
                <w:sz w:val="20"/>
                <w:szCs w:val="20"/>
                <w:color w:val="auto"/>
              </w:rPr>
            </w:pPr>
            <w:r>
              <w:rPr>
                <w:rFonts w:ascii="Times New Roman" w:cs="Times New Roman" w:eastAsia="Times New Roman" w:hAnsi="Times New Roman"/>
                <w:sz w:val="39"/>
                <w:szCs w:val="39"/>
                <w:color w:val="0000FF"/>
                <w:w w:val="83"/>
                <w:vertAlign w:val="subscript"/>
              </w:rPr>
              <w:t>I</w:t>
            </w:r>
            <w:r>
              <w:rPr>
                <w:rFonts w:ascii="Times New Roman" w:cs="Times New Roman" w:eastAsia="Times New Roman" w:hAnsi="Times New Roman"/>
                <w:sz w:val="13"/>
                <w:szCs w:val="13"/>
                <w:color w:val="008000"/>
                <w:w w:val="83"/>
              </w:rPr>
              <w:t>(4)</w:t>
            </w:r>
          </w:p>
        </w:tc>
        <w:tc>
          <w:tcPr>
            <w:tcW w:w="1220" w:type="dxa"/>
            <w:vAlign w:val="bottom"/>
            <w:tcBorders>
              <w:top w:val="single" w:sz="8" w:color="2C2C2C"/>
              <w:bottom w:val="single" w:sz="8" w:color="2C2C2C"/>
            </w:tcBorders>
            <w:gridSpan w:val="2"/>
          </w:tcPr>
          <w:p>
            <w:pPr>
              <w:spacing w:after="0"/>
              <w:rPr>
                <w:sz w:val="20"/>
                <w:szCs w:val="20"/>
                <w:color w:val="auto"/>
              </w:rPr>
            </w:pPr>
            <w:r>
              <w:rPr>
                <w:rFonts w:ascii="Times New Roman" w:cs="Times New Roman" w:eastAsia="Times New Roman" w:hAnsi="Times New Roman"/>
                <w:sz w:val="20"/>
                <w:szCs w:val="20"/>
                <w:color w:val="0000FF"/>
                <w:w w:val="93"/>
              </w:rPr>
              <w:t>See footnotes</w:t>
            </w:r>
            <w:r>
              <w:rPr>
                <w:rFonts w:ascii="Times New Roman" w:cs="Times New Roman" w:eastAsia="Times New Roman" w:hAnsi="Times New Roman"/>
                <w:sz w:val="25"/>
                <w:szCs w:val="25"/>
                <w:color w:val="008000"/>
                <w:w w:val="93"/>
                <w:vertAlign w:val="superscript"/>
              </w:rPr>
              <w:t>(4)</w:t>
            </w:r>
          </w:p>
        </w:tc>
        <w:tc>
          <w:tcPr>
            <w:tcW w:w="1540" w:type="dxa"/>
            <w:vAlign w:val="bottom"/>
            <w:tcBorders>
              <w:top w:val="single" w:sz="8" w:color="2C2C2C"/>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5160" w:type="dxa"/>
            <w:vAlign w:val="bottom"/>
            <w:tcBorders>
              <w:top w:val="single" w:sz="8" w:color="2C2C2C"/>
            </w:tcBorders>
            <w:gridSpan w:val="6"/>
          </w:tcPr>
          <w:p>
            <w:pPr>
              <w:ind w:left="18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240" w:type="dxa"/>
            <w:vAlign w:val="bottom"/>
            <w:tcBorders>
              <w:top w:val="single" w:sz="8" w:color="2C2C2C"/>
            </w:tcBorders>
          </w:tcPr>
          <w:p>
            <w:pPr>
              <w:spacing w:after="0"/>
              <w:rPr>
                <w:sz w:val="22"/>
                <w:szCs w:val="22"/>
                <w:color w:val="auto"/>
              </w:rPr>
            </w:pPr>
          </w:p>
        </w:tc>
        <w:tc>
          <w:tcPr>
            <w:tcW w:w="980" w:type="dxa"/>
            <w:vAlign w:val="bottom"/>
            <w:tcBorders>
              <w:top w:val="single" w:sz="8" w:color="2C2C2C"/>
            </w:tcBorders>
          </w:tcPr>
          <w:p>
            <w:pPr>
              <w:spacing w:after="0"/>
              <w:rPr>
                <w:sz w:val="22"/>
                <w:szCs w:val="22"/>
                <w:color w:val="auto"/>
              </w:rPr>
            </w:pPr>
          </w:p>
        </w:tc>
        <w:tc>
          <w:tcPr>
            <w:tcW w:w="15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380" w:type="dxa"/>
            <w:vAlign w:val="bottom"/>
            <w:gridSpan w:val="7"/>
          </w:tcPr>
          <w:p>
            <w:pPr>
              <w:jc w:val="right"/>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2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4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2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48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800" w:type="dxa"/>
            <w:vAlign w:val="bottom"/>
            <w:gridSpan w:val="2"/>
          </w:tcPr>
          <w:p>
            <w:pPr>
              <w:ind w:left="120"/>
              <w:spacing w:after="0"/>
              <w:rPr>
                <w:sz w:val="20"/>
                <w:szCs w:val="20"/>
                <w:color w:val="auto"/>
              </w:rPr>
            </w:pPr>
            <w:r>
              <w:rPr>
                <w:rFonts w:ascii="Arial" w:cs="Arial" w:eastAsia="Arial" w:hAnsi="Arial"/>
                <w:sz w:val="15"/>
                <w:szCs w:val="15"/>
                <w:b w:val="1"/>
                <w:bCs w:val="1"/>
                <w:color w:val="auto"/>
              </w:rPr>
              <w:t>4.</w:t>
            </w:r>
          </w:p>
        </w:tc>
        <w:tc>
          <w:tcPr>
            <w:tcW w:w="24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60" w:type="dxa"/>
            <w:vAlign w:val="bottom"/>
            <w:gridSpan w:val="2"/>
          </w:tcPr>
          <w:p>
            <w:pPr>
              <w:ind w:left="20"/>
              <w:spacing w:after="0"/>
              <w:rPr>
                <w:sz w:val="20"/>
                <w:szCs w:val="20"/>
                <w:color w:val="auto"/>
              </w:rPr>
            </w:pPr>
            <w:r>
              <w:rPr>
                <w:rFonts w:ascii="Arial" w:cs="Arial" w:eastAsia="Arial" w:hAnsi="Arial"/>
                <w:sz w:val="15"/>
                <w:szCs w:val="15"/>
                <w:b w:val="1"/>
                <w:bCs w:val="1"/>
                <w:color w:val="auto"/>
              </w:rPr>
              <w:t>6. Nature of Indirect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60" w:type="dxa"/>
            <w:vAlign w:val="bottom"/>
          </w:tcPr>
          <w:p>
            <w:pPr>
              <w:spacing w:after="0"/>
              <w:rPr>
                <w:sz w:val="14"/>
                <w:szCs w:val="14"/>
                <w:color w:val="auto"/>
              </w:rPr>
            </w:pPr>
          </w:p>
        </w:tc>
        <w:tc>
          <w:tcPr>
            <w:tcW w:w="9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6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6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4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240" w:type="dxa"/>
            <w:vAlign w:val="bottom"/>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5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00" w:type="dxa"/>
            <w:vAlign w:val="bottom"/>
          </w:tcPr>
          <w:p>
            <w:pPr>
              <w:spacing w:after="0"/>
              <w:rPr>
                <w:sz w:val="5"/>
                <w:szCs w:val="5"/>
                <w:color w:val="auto"/>
              </w:rPr>
            </w:pPr>
          </w:p>
        </w:tc>
        <w:tc>
          <w:tcPr>
            <w:tcW w:w="78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6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15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2"/>
          </w:tcPr>
          <w:p>
            <w:pPr>
              <w:ind w:left="60"/>
              <w:spacing w:after="0" w:line="150" w:lineRule="exact"/>
              <w:rPr>
                <w:sz w:val="20"/>
                <w:szCs w:val="20"/>
                <w:color w:val="auto"/>
              </w:rPr>
            </w:pPr>
            <w:r>
              <w:rPr>
                <w:rFonts w:ascii="Arial" w:cs="Arial" w:eastAsia="Arial" w:hAnsi="Arial"/>
                <w:sz w:val="15"/>
                <w:szCs w:val="15"/>
                <w:b w:val="1"/>
                <w:bCs w:val="1"/>
                <w:color w:val="auto"/>
              </w:rPr>
              <w:t>Derivative</w:t>
            </w: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78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60" w:type="dxa"/>
            <w:vAlign w:val="bottom"/>
          </w:tcPr>
          <w:p>
            <w:pPr>
              <w:spacing w:after="0"/>
              <w:rPr>
                <w:sz w:val="14"/>
                <w:szCs w:val="14"/>
                <w:color w:val="auto"/>
              </w:rPr>
            </w:pPr>
          </w:p>
        </w:tc>
        <w:tc>
          <w:tcPr>
            <w:tcW w:w="7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78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00" w:type="dxa"/>
            <w:vAlign w:val="bottom"/>
          </w:tcPr>
          <w:p>
            <w:pPr>
              <w:spacing w:after="0"/>
              <w:rPr>
                <w:sz w:val="14"/>
                <w:szCs w:val="14"/>
                <w:color w:val="auto"/>
              </w:rPr>
            </w:pPr>
          </w:p>
        </w:tc>
        <w:tc>
          <w:tcPr>
            <w:tcW w:w="78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0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78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Options</w:t>
            </w:r>
          </w:p>
        </w:tc>
        <w:tc>
          <w:tcPr>
            <w:tcW w:w="120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(5)</w:t>
            </w:r>
          </w:p>
        </w:tc>
        <w:tc>
          <w:tcPr>
            <w:tcW w:w="900" w:type="dxa"/>
            <w:vAlign w:val="bottom"/>
          </w:tcPr>
          <w:p>
            <w:pPr>
              <w:jc w:val="right"/>
              <w:ind w:right="309"/>
              <w:spacing w:after="0"/>
              <w:rPr>
                <w:sz w:val="20"/>
                <w:szCs w:val="20"/>
                <w:color w:val="auto"/>
              </w:rPr>
            </w:pPr>
            <w:r>
              <w:rPr>
                <w:rFonts w:ascii="Times New Roman" w:cs="Times New Roman" w:eastAsia="Times New Roman" w:hAnsi="Times New Roman"/>
                <w:sz w:val="13"/>
                <w:szCs w:val="13"/>
                <w:color w:val="008000"/>
              </w:rPr>
              <w:t>(5)</w:t>
            </w:r>
          </w:p>
        </w:tc>
        <w:tc>
          <w:tcPr>
            <w:tcW w:w="170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Common Stock</w:t>
            </w:r>
          </w:p>
        </w:tc>
        <w:tc>
          <w:tcPr>
            <w:tcW w:w="780" w:type="dxa"/>
            <w:vAlign w:val="bottom"/>
          </w:tcPr>
          <w:p>
            <w:pPr>
              <w:ind w:left="360"/>
              <w:spacing w:after="0" w:line="314" w:lineRule="exact"/>
              <w:rPr>
                <w:sz w:val="20"/>
                <w:szCs w:val="20"/>
                <w:color w:val="auto"/>
              </w:rPr>
            </w:pPr>
            <w:r>
              <w:rPr>
                <w:rFonts w:ascii="Times New Roman" w:cs="Times New Roman" w:eastAsia="Times New Roman" w:hAnsi="Times New Roman"/>
                <w:sz w:val="36"/>
                <w:szCs w:val="36"/>
                <w:color w:val="0000FF"/>
                <w:vertAlign w:val="subscript"/>
              </w:rPr>
              <w:t>0</w:t>
            </w:r>
            <w:r>
              <w:rPr>
                <w:rFonts w:ascii="Times New Roman" w:cs="Times New Roman" w:eastAsia="Times New Roman" w:hAnsi="Times New Roman"/>
                <w:sz w:val="12"/>
                <w:szCs w:val="12"/>
                <w:color w:val="008000"/>
              </w:rPr>
              <w:t>(5)</w:t>
            </w:r>
          </w:p>
        </w:tc>
        <w:tc>
          <w:tcPr>
            <w:tcW w:w="800" w:type="dxa"/>
            <w:vAlign w:val="bottom"/>
            <w:gridSpan w:val="2"/>
          </w:tcPr>
          <w:p>
            <w:pPr>
              <w:jc w:val="right"/>
              <w:ind w:right="125"/>
              <w:spacing w:after="0"/>
              <w:rPr>
                <w:sz w:val="20"/>
                <w:szCs w:val="20"/>
                <w:color w:val="auto"/>
              </w:rPr>
            </w:pPr>
            <w:r>
              <w:rPr>
                <w:rFonts w:ascii="Times New Roman" w:cs="Times New Roman" w:eastAsia="Times New Roman" w:hAnsi="Times New Roman"/>
                <w:sz w:val="20"/>
                <w:szCs w:val="20"/>
                <w:color w:val="0000FF"/>
              </w:rPr>
              <w:t>0</w:t>
            </w:r>
          </w:p>
        </w:tc>
        <w:tc>
          <w:tcPr>
            <w:tcW w:w="240" w:type="dxa"/>
            <w:vAlign w:val="bottom"/>
          </w:tcPr>
          <w:p>
            <w:pPr>
              <w:spacing w:after="0"/>
              <w:rPr>
                <w:sz w:val="24"/>
                <w:szCs w:val="24"/>
                <w:color w:val="auto"/>
              </w:rPr>
            </w:pPr>
          </w:p>
        </w:tc>
        <w:tc>
          <w:tcPr>
            <w:tcW w:w="980" w:type="dxa"/>
            <w:vAlign w:val="bottom"/>
          </w:tcPr>
          <w:p>
            <w:pPr>
              <w:ind w:left="140"/>
              <w:spacing w:after="0" w:line="314" w:lineRule="exact"/>
              <w:rPr>
                <w:sz w:val="20"/>
                <w:szCs w:val="20"/>
                <w:color w:val="auto"/>
              </w:rPr>
            </w:pPr>
            <w:r>
              <w:rPr>
                <w:rFonts w:ascii="Times New Roman" w:cs="Times New Roman" w:eastAsia="Times New Roman" w:hAnsi="Times New Roman"/>
                <w:sz w:val="36"/>
                <w:szCs w:val="36"/>
                <w:color w:val="0000FF"/>
                <w:vertAlign w:val="subscript"/>
              </w:rPr>
              <w:t>I</w:t>
            </w:r>
            <w:r>
              <w:rPr>
                <w:rFonts w:ascii="Times New Roman" w:cs="Times New Roman" w:eastAsia="Times New Roman" w:hAnsi="Times New Roman"/>
                <w:sz w:val="12"/>
                <w:szCs w:val="12"/>
                <w:color w:val="008000"/>
              </w:rPr>
              <w:t>(1)(2)(3)(5)</w:t>
            </w: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See footnotes</w:t>
            </w:r>
            <w:r>
              <w:rPr>
                <w:rFonts w:ascii="Times New Roman" w:cs="Times New Roman" w:eastAsia="Times New Roman" w:hAnsi="Times New Roman"/>
                <w:sz w:val="25"/>
                <w:szCs w:val="25"/>
                <w:color w:val="008000"/>
                <w:vertAlign w:val="superscript"/>
              </w:rPr>
              <w:t>(1)(2)</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540" w:type="dxa"/>
            <w:vAlign w:val="bottom"/>
          </w:tcPr>
          <w:p>
            <w:pPr>
              <w:ind w:left="20"/>
              <w:spacing w:after="0"/>
              <w:rPr>
                <w:sz w:val="20"/>
                <w:szCs w:val="20"/>
                <w:color w:val="auto"/>
              </w:rPr>
            </w:pPr>
            <w:r>
              <w:rPr>
                <w:rFonts w:ascii="Times New Roman" w:cs="Times New Roman" w:eastAsia="Times New Roman" w:hAnsi="Times New Roman"/>
                <w:sz w:val="13"/>
                <w:szCs w:val="13"/>
                <w:color w:val="008000"/>
              </w:rPr>
              <w:t>(3)(5)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07"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40" w:firstLine="5"/>
        <w:spacing w:after="0" w:line="244"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reporting person entered into a Tender and Support Agreement, dated March 31, 2026 (the "Tender and Support Agreement") with respect to the shares of common stock, par value $0.0001 per share (the "Common Stock"), of Apellis Pharmaceuticals, Inc. (the "Issuer") held by each of (i) Morningside Venture Investments, Ltd., (ii) Cedric Francois, (iii) Gerald Chan, (iv) Alec Machiels, and (v) Pascal Deschatelets (each, a "Holder" and, collectively, the "Holders").</w:t>
      </w:r>
    </w:p>
    <w:p>
      <w:pPr>
        <w:spacing w:after="0" w:line="29" w:lineRule="exact"/>
        <w:rPr>
          <w:rFonts w:ascii="Times New Roman" w:cs="Times New Roman" w:eastAsia="Times New Roman" w:hAnsi="Times New Roman"/>
          <w:sz w:val="15"/>
          <w:szCs w:val="15"/>
          <w:color w:val="008000"/>
        </w:rPr>
      </w:pPr>
    </w:p>
    <w:p>
      <w:pPr>
        <w:ind w:left="40" w:right="100" w:firstLine="5"/>
        <w:spacing w:after="0" w:line="236"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By virtue of entering into the Tender and Support Agreement, dated March 31, 2026, with each of the Holders, the reporting person on this Form 3 may be deemed to be a member of a "group" for purposes of Section 13(d) of the Securities and Exchange Act of 1934, as amended (the "Exchange Act") with respect to the securities held by parties who continue to be bound by the Tender and Support Agreement, which such "group" beneficially owns (as defined in Section 13(d) of the Exchange Act), in the aggregate, more than 10% of the outstanding Common Stock. Pursuant to the Tender and Support Agreement, the Holders agreed to irrevocably and unconditionally appoint the reporting person, or any person designated by the reporting person, as its proxy and attorney-in-fact to vote such Holders' Common Stock for certain matters as set forth in the Tender and Support Agreement.</w:t>
      </w:r>
    </w:p>
    <w:p>
      <w:pPr>
        <w:spacing w:after="0" w:line="32" w:lineRule="exact"/>
        <w:rPr>
          <w:rFonts w:ascii="Times New Roman" w:cs="Times New Roman" w:eastAsia="Times New Roman" w:hAnsi="Times New Roman"/>
          <w:sz w:val="15"/>
          <w:szCs w:val="15"/>
          <w:color w:val="008000"/>
        </w:rPr>
      </w:pPr>
    </w:p>
    <w:p>
      <w:pPr>
        <w:ind w:left="40" w:right="36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Tender and Support Agreement does not provide the reporting person with a pecuniary interest in the Common Stock and as such the reporting person is not a beneficial owner for purposes of Section 16 of the Exchange Act.</w:t>
      </w:r>
    </w:p>
    <w:p>
      <w:pPr>
        <w:spacing w:after="0" w:line="17" w:lineRule="exact"/>
        <w:rPr>
          <w:rFonts w:ascii="Times New Roman" w:cs="Times New Roman" w:eastAsia="Times New Roman" w:hAnsi="Times New Roman"/>
          <w:sz w:val="15"/>
          <w:szCs w:val="15"/>
          <w:color w:val="008000"/>
        </w:rPr>
      </w:pPr>
    </w:p>
    <w:p>
      <w:pPr>
        <w:jc w:val="both"/>
        <w:ind w:left="40" w:right="60" w:firstLine="5"/>
        <w:spacing w:after="0" w:line="270" w:lineRule="auto"/>
        <w:tabs>
          <w:tab w:leader="none" w:pos="190" w:val="left"/>
        </w:tabs>
        <w:numPr>
          <w:ilvl w:val="0"/>
          <w:numId w:val="3"/>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Each of Messrs Chan, Deschatelets, Francois and Machiels holds Restricted Stock Units ("RSUs") in the amount and on the terms reported on each of Messrs Chan, Deschatelets, Francois and Machiels' past and current Form 3 and Form 4 filings with respect to the Issuer, as amended. The Tender and Support Agreement does not provide the reporting person with a pecuniary interest in the Common Stock underlying such RSUs and as such the reporting person is not a beneficial owner for purposes of Section 16 of the Exchange Act.</w:t>
      </w:r>
    </w:p>
    <w:p>
      <w:pPr>
        <w:spacing w:after="0" w:line="11" w:lineRule="exact"/>
        <w:rPr>
          <w:rFonts w:ascii="Times New Roman" w:cs="Times New Roman" w:eastAsia="Times New Roman" w:hAnsi="Times New Roman"/>
          <w:sz w:val="14"/>
          <w:szCs w:val="14"/>
          <w:color w:val="008000"/>
        </w:rPr>
      </w:pPr>
    </w:p>
    <w:p>
      <w:pPr>
        <w:ind w:left="40" w:right="160" w:firstLine="5"/>
        <w:spacing w:after="0" w:line="23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of Messrs Chan, Deschatelets, Francois and Machiels holds options for Common Stock (the "Options"), which are currently outstanding and unexercised as of March 31, 2026, in the amount and on the terms reported on each of Messrs Chan, Deschatelets, Francois and Machiels' past and current Form 3 and Form 4 filings with respect to the Issuer, as amended. The Tender and Support Agreement does not provide the reporting person with a pecuniary interest in the Common Stock underlying such Options and as such the reporting person is not a beneficial owner for purposes of Section 16 of the Exchange Act.</w:t>
      </w:r>
    </w:p>
    <w:p>
      <w:pPr>
        <w:spacing w:after="0" w:line="43"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Wendell Taylor,</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04/06/2026</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Secretary, Biogen Inc.</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1720" w:type="dxa"/>
            <w:vAlign w:val="bottom"/>
            <w:tcBorders>
              <w:top w:val="single" w:sz="8" w:color="auto"/>
            </w:tcBorders>
            <w:gridSpan w:val="2"/>
          </w:tcPr>
          <w:p>
            <w:pPr>
              <w:spacing w:after="0"/>
              <w:rPr>
                <w:sz w:val="20"/>
                <w:szCs w:val="20"/>
                <w:color w:val="auto"/>
              </w:rPr>
            </w:pPr>
            <w:r>
              <w:rPr>
                <w:rFonts w:ascii="Arial" w:cs="Arial" w:eastAsia="Arial" w:hAnsi="Arial"/>
                <w:sz w:val="15"/>
                <w:szCs w:val="15"/>
                <w:color w:val="auto"/>
              </w:rPr>
              <w:t>** Signature of Reporting</w:t>
            </w:r>
          </w:p>
        </w:tc>
        <w:tc>
          <w:tcPr>
            <w:tcW w:w="460" w:type="dxa"/>
            <w:vAlign w:val="bottom"/>
          </w:tcPr>
          <w:p>
            <w:pPr>
              <w:spacing w:after="0"/>
              <w:rPr>
                <w:sz w:val="20"/>
                <w:szCs w:val="20"/>
                <w:color w:val="auto"/>
              </w:rPr>
            </w:pP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0" w:right="47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0875045" TargetMode="External"/><Relationship Id="rId11" Type="http://schemas.openxmlformats.org/officeDocument/2006/relationships/hyperlink" Target="http://www.sec.gov/cgi-bin/browse-edgar?action=getcompany&amp;CIK=00014924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2026-04-06T17:14:07Z</dcterms:created>
  <dcterms:modified xsi:type="dcterms:W3CDTF">2026-04-06T17:14:07Z</dcterms:modified>
</cp:coreProperties>
</file>