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18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984"/>
        <w:spacing w:after="0" w:line="235" w:lineRule="auto"/>
        <w:rPr>
          <w:sz w:val="20"/>
          <w:szCs w:val="20"/>
          <w:color w:val="auto"/>
        </w:rPr>
      </w:pPr>
      <w:r>
        <w:rPr>
          <w:rFonts w:ascii="Arial" w:cs="Arial" w:eastAsia="Arial" w:hAnsi="Arial"/>
          <w:sz w:val="22"/>
          <w:szCs w:val="22"/>
          <w:b w:val="1"/>
          <w:bCs w:val="1"/>
          <w:color w:val="auto"/>
        </w:rPr>
        <w:t>SECURITIES EXCHANGE ACT OF 1934</w:t>
      </w:r>
    </w:p>
    <w:p>
      <w:pPr>
        <w:ind w:left="4744"/>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4"/>
        <w:spacing w:after="0" w:line="207" w:lineRule="exact"/>
        <w:tabs>
          <w:tab w:leader="none" w:pos="296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86"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BIOGEN INC.</w:t>
      </w:r>
    </w:p>
    <w:p>
      <w:pPr>
        <w:spacing w:after="0" w:line="3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44" w:hanging="444"/>
        <w:spacing w:after="0"/>
        <w:tabs>
          <w:tab w:leader="none" w:pos="44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1058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105854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68580" cy="4718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471805"/>
                    </a:xfrm>
                    <a:prstGeom prst="rect">
                      <a:avLst/>
                    </a:prstGeom>
                    <a:noFill/>
                    <a:ln>
                      <a:noFill/>
                    </a:ln>
                  </pic:spPr>
                </pic:pic>
              </a:graphicData>
            </a:graphic>
          </wp:inline>
        </w:drawing>
      </w:r>
      <w:r>
        <w:rPr>
          <w:rFonts w:ascii="Arial" w:cs="Arial" w:eastAsia="Arial" w:hAnsi="Arial"/>
          <w:sz w:val="29"/>
          <w:szCs w:val="29"/>
          <w:color w:val="FFFFFF"/>
        </w:rPr>
        <w:t xml:space="preserve"> Letter from the Chair and Chair-Elect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-350520</wp:posOffset>
            </wp:positionV>
            <wp:extent cx="692658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47180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June 13, 2023</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Dear Stockholders,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Biogen Board of Directors values stockholder feedback and strives to be responsive to stockholder concerns. Following our 2022 Annual Meeting, a team of independent members of our Board of Directors and members of the management team contacted stockholders holding approximately 64% of our outstanding stock and met with holders of approximately 44% of the outstanding stock. After filing our Proxy Statement on April 28, 2023, we continued our outreach efforts, and met with a number of stockholders to solicit their views and respond to questions.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Based on the feedback we have received, the Board of Directors has unanimously determined that it is in the best interest of Biogen and its stockholders to significantly refresh the membership of the Board of Directors at this time. As a result, Alexander J. Denner, Ph.D., William D. Jones and Richard C. Mulligan, Ph.D., will not stand for election at the upcoming 2023 Annual Meeting. We thank Drs. Denner and Mulligan and Mr. Jones for their commitment to Biogen and the many valuable contributions they have made during their respective tenures on the Board of Directors.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Board of Directors has nominated for election the other Directors named in our Proxy Statement, as well as Susan K. Langer, a new candidate for the Board of Directors, whose biographical information and other information is described more fully in the revised proxy materials being filed today. We believe this group of nominees has the skills, experience, diversity and character to deliver significant long-term value to our stockholders and fulfil the duties of the Board of Directors.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 allow stockholders sufficient time to consider this revised slate of and the other matters to be considered at the Annual Meeting, we will convene the Annual Meeting virtually as scheduled on Wednesday, June 14, 2023 and will adjourn the Annual Meeting without conducting any business. We will reconvene the Annual Meeting virtually on Monday, June 26, 2023 at 9:00 a.m. Eastern Time. The April 20, 2023 record date for the Annual Meeting will remain unchanged.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continuing to engage with our stockholders to identify ways to improve Biogen’s performance and the Board of Directors’ function.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We thank you for your investment in Biogen and look forward to working with you during the year ahead.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10553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55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TELIOS</w:t>
      </w:r>
      <w:r>
        <w:rPr>
          <w:rFonts w:ascii="Arial" w:cs="Arial" w:eastAsia="Arial" w:hAnsi="Arial"/>
          <w:sz w:val="16"/>
          <w:szCs w:val="16"/>
          <w:color w:val="auto"/>
        </w:rPr>
        <w:t xml:space="preserve"> P</w:t>
      </w:r>
      <w:r>
        <w:rPr>
          <w:rFonts w:ascii="Arial" w:cs="Arial" w:eastAsia="Arial" w:hAnsi="Arial"/>
          <w:sz w:val="13"/>
          <w:szCs w:val="13"/>
          <w:color w:val="auto"/>
        </w:rPr>
        <w:t>APADOPOULOS</w:t>
      </w:r>
      <w:r>
        <w:rPr>
          <w:rFonts w:ascii="Arial" w:cs="Arial" w:eastAsia="Arial" w:hAnsi="Arial"/>
          <w:sz w:val="16"/>
          <w:szCs w:val="16"/>
          <w:color w:val="auto"/>
        </w:rPr>
        <w:t xml:space="preserve">, Ph.D., </w:t>
      </w: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154305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C</w:t>
      </w:r>
      <w:r>
        <w:rPr>
          <w:rFonts w:ascii="Arial" w:cs="Arial" w:eastAsia="Arial" w:hAnsi="Arial"/>
          <w:sz w:val="13"/>
          <w:szCs w:val="13"/>
          <w:color w:val="auto"/>
        </w:rPr>
        <w:t>AROLINE</w:t>
      </w:r>
      <w:r>
        <w:rPr>
          <w:rFonts w:ascii="Arial" w:cs="Arial" w:eastAsia="Arial" w:hAnsi="Arial"/>
          <w:sz w:val="16"/>
          <w:szCs w:val="16"/>
          <w:color w:val="auto"/>
        </w:rPr>
        <w:t xml:space="preserve"> D</w:t>
      </w:r>
      <w:r>
        <w:rPr>
          <w:rFonts w:ascii="Arial" w:cs="Arial" w:eastAsia="Arial" w:hAnsi="Arial"/>
          <w:sz w:val="13"/>
          <w:szCs w:val="13"/>
          <w:color w:val="auto"/>
        </w:rPr>
        <w:t>ORSA</w:t>
      </w:r>
      <w:r>
        <w:rPr>
          <w:rFonts w:ascii="Arial" w:cs="Arial" w:eastAsia="Arial" w:hAnsi="Arial"/>
          <w:sz w:val="16"/>
          <w:szCs w:val="16"/>
          <w:color w:val="auto"/>
        </w:rPr>
        <w:t xml:space="preserve">, </w:t>
      </w:r>
      <w:r>
        <w:rPr>
          <w:rFonts w:ascii="Arial" w:cs="Arial" w:eastAsia="Arial" w:hAnsi="Arial"/>
          <w:sz w:val="16"/>
          <w:szCs w:val="16"/>
          <w:i w:val="1"/>
          <w:iCs w:val="1"/>
          <w:color w:val="auto"/>
        </w:rPr>
        <w:t>Chair-elect</w:t>
      </w:r>
    </w:p>
    <w:p>
      <w:pPr>
        <w:sectPr>
          <w:pgSz w:w="11900" w:h="16838" w:orient="portrait"/>
          <w:cols w:equalWidth="0" w:num="1">
            <w:col w:w="11020"/>
          </w:cols>
          <w:pgMar w:left="440" w:top="1440" w:right="439" w:bottom="1440" w:gutter="0" w:footer="0" w:header="0"/>
        </w:sectPr>
      </w:pPr>
    </w:p>
    <w:bookmarkStart w:id="2" w:name="page3"/>
    <w:bookmarkEnd w:id="2"/>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1058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105854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68580" cy="4718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471805"/>
                    </a:xfrm>
                    <a:prstGeom prst="rect">
                      <a:avLst/>
                    </a:prstGeom>
                    <a:noFill/>
                    <a:ln>
                      <a:noFill/>
                    </a:ln>
                  </pic:spPr>
                </pic:pic>
              </a:graphicData>
            </a:graphic>
          </wp:inline>
        </w:drawing>
      </w:r>
      <w:r>
        <w:rPr>
          <w:rFonts w:ascii="Arial" w:cs="Arial" w:eastAsia="Arial" w:hAnsi="Arial"/>
          <w:sz w:val="29"/>
          <w:szCs w:val="29"/>
          <w:color w:val="FFFFFF"/>
        </w:rPr>
        <w:t xml:space="preserve"> 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-350520</wp:posOffset>
            </wp:positionV>
            <wp:extent cx="692658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47180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Amendment No. 1 (this “Amendment”) amends and supplements the Definitive Proxy Statement and related proxy card that were originally filed by Biogen Inc. (“Biogen”) with the Securities and Exchange Commission on April 28, 2023 (the “Proxy Statement”) in connection with Biogen’s 2023 Annual Meeting of Stockholders (the “Annual Meeting”).</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Amendment updates disclosures regarding an updated slate of director nominees and the adjournment of the Annual Meeting until Monday, June 26, 2023 at 9:00 a.m. Eastern Time.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Except as specifically described in this Explanatory Note, this Amendment does not modify or update any other disclosures presented in the Proxy Statement, nor does it reflect events occurring after the date of the Proxy Statement or modify or update disclosures that may have been affected by subsequent events.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The amended proxy card enclosed with this Amendment differs from the original proxy card previously furnished to you in that the amended proxy card includes the election of Susan K. Langer as a nominee for director and no longer includes Alexander J. Denner, Ph.D., William D. Jones and Richard C. Mulligan, Ph.D., as nominees. If you have already voted, we encourage you to resubmit your vote on all proposals by submitting the amended proxy card with this Amendment or by submitting a proxy by telephone or through the Internet by following the procedures on your amended proxy card or as previously provided to you on your Notice of Internet Availability of Proxy Materials. However, if you return, or have returned, an original proxy card, your proxy will remain valid for all of the other proposals, but will not be counted in the election of Ms. Langer because she is not listed as a nominee on the original proxy card.</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PLEASE NOTE THAT IF YOU SUBMIT A NEW PROXY CARD IT WILL REVOKE ALL PRIOR PROXY CARDS, SO IT IS IMPORTANT TO INDICATE YOUR VOTE ON EACH PROPOSAL ON THE NEW PROXY CARD.</w:t>
      </w:r>
    </w:p>
    <w:p>
      <w:pPr>
        <w:sectPr>
          <w:pgSz w:w="11900" w:h="16838" w:orient="portrait"/>
          <w:cols w:equalWidth="0" w:num="1">
            <w:col w:w="11020"/>
          </w:cols>
          <w:pgMar w:left="440" w:top="1440" w:right="439" w:bottom="1440" w:gutter="0" w:footer="0" w:header="0"/>
        </w:sectPr>
      </w:pPr>
    </w:p>
    <w:bookmarkStart w:id="3" w:name="page4"/>
    <w:bookmarkEnd w:id="3"/>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895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8953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68580" cy="4718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471805"/>
                    </a:xfrm>
                    <a:prstGeom prst="rect">
                      <a:avLst/>
                    </a:prstGeom>
                    <a:noFill/>
                    <a:ln>
                      <a:noFill/>
                    </a:ln>
                  </pic:spPr>
                </pic:pic>
              </a:graphicData>
            </a:graphic>
          </wp:inline>
        </w:drawing>
      </w:r>
      <w:r>
        <w:rPr>
          <w:rFonts w:ascii="Arial" w:cs="Arial" w:eastAsia="Arial" w:hAnsi="Arial"/>
          <w:sz w:val="29"/>
          <w:szCs w:val="29"/>
          <w:color w:val="FFFFFF"/>
        </w:rPr>
        <w:t xml:space="preserve"> Amended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-350520</wp:posOffset>
            </wp:positionV>
            <wp:extent cx="692658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80" w:type="dxa"/>
            <w:vAlign w:val="bottom"/>
          </w:tcPr>
          <w:p>
            <w:pPr>
              <w:ind w:left="20"/>
              <w:spacing w:after="0"/>
              <w:rPr>
                <w:sz w:val="20"/>
                <w:szCs w:val="20"/>
                <w:color w:val="auto"/>
              </w:rPr>
            </w:pPr>
            <w:r>
              <w:rPr>
                <w:rFonts w:ascii="Arial" w:cs="Arial" w:eastAsia="Arial" w:hAnsi="Arial"/>
                <w:sz w:val="16"/>
                <w:szCs w:val="16"/>
                <w:b w:val="1"/>
                <w:bCs w:val="1"/>
                <w:color w:val="1A6DBB"/>
              </w:rPr>
              <w:t>Original Meeting Date:</w:t>
            </w:r>
          </w:p>
        </w:tc>
        <w:tc>
          <w:tcPr>
            <w:tcW w:w="2300" w:type="dxa"/>
            <w:vAlign w:val="bottom"/>
            <w:gridSpan w:val="5"/>
          </w:tcPr>
          <w:p>
            <w:pPr>
              <w:spacing w:after="0"/>
              <w:rPr>
                <w:sz w:val="20"/>
                <w:szCs w:val="20"/>
                <w:color w:val="auto"/>
              </w:rPr>
            </w:pPr>
            <w:r>
              <w:rPr>
                <w:rFonts w:ascii="Arial" w:cs="Arial" w:eastAsia="Arial" w:hAnsi="Arial"/>
                <w:sz w:val="16"/>
                <w:szCs w:val="16"/>
                <w:color w:val="auto"/>
              </w:rPr>
              <w:t>Wednesday, June 14, 2023</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38"/>
        </w:trPr>
        <w:tc>
          <w:tcPr>
            <w:tcW w:w="3080" w:type="dxa"/>
            <w:vAlign w:val="bottom"/>
          </w:tcPr>
          <w:p>
            <w:pPr>
              <w:ind w:left="20"/>
              <w:spacing w:after="0"/>
              <w:rPr>
                <w:sz w:val="20"/>
                <w:szCs w:val="20"/>
                <w:color w:val="auto"/>
              </w:rPr>
            </w:pPr>
            <w:r>
              <w:rPr>
                <w:rFonts w:ascii="Arial" w:cs="Arial" w:eastAsia="Arial" w:hAnsi="Arial"/>
                <w:sz w:val="16"/>
                <w:szCs w:val="16"/>
                <w:b w:val="1"/>
                <w:bCs w:val="1"/>
                <w:color w:val="1A6DBB"/>
              </w:rPr>
              <w:t>Reconvened Meeting Date:</w:t>
            </w:r>
          </w:p>
        </w:tc>
        <w:tc>
          <w:tcPr>
            <w:tcW w:w="1800" w:type="dxa"/>
            <w:vAlign w:val="bottom"/>
            <w:gridSpan w:val="4"/>
          </w:tcPr>
          <w:p>
            <w:pPr>
              <w:spacing w:after="0"/>
              <w:rPr>
                <w:sz w:val="20"/>
                <w:szCs w:val="20"/>
                <w:color w:val="auto"/>
              </w:rPr>
            </w:pPr>
            <w:r>
              <w:rPr>
                <w:rFonts w:ascii="Arial" w:cs="Arial" w:eastAsia="Arial" w:hAnsi="Arial"/>
                <w:sz w:val="16"/>
                <w:szCs w:val="16"/>
                <w:color w:val="auto"/>
              </w:rPr>
              <w:t>Monday, June 26, 2023</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4"/>
        </w:trPr>
        <w:tc>
          <w:tcPr>
            <w:tcW w:w="3080" w:type="dxa"/>
            <w:vAlign w:val="bottom"/>
          </w:tcPr>
          <w:p>
            <w:pPr>
              <w:ind w:left="20"/>
              <w:spacing w:after="0"/>
              <w:rPr>
                <w:sz w:val="20"/>
                <w:szCs w:val="20"/>
                <w:color w:val="auto"/>
              </w:rPr>
            </w:pPr>
            <w:r>
              <w:rPr>
                <w:rFonts w:ascii="Arial" w:cs="Arial" w:eastAsia="Arial" w:hAnsi="Arial"/>
                <w:sz w:val="16"/>
                <w:szCs w:val="16"/>
                <w:b w:val="1"/>
                <w:bCs w:val="1"/>
                <w:color w:val="1A6DBB"/>
              </w:rPr>
              <w:t>Time:</w:t>
            </w:r>
          </w:p>
        </w:tc>
        <w:tc>
          <w:tcPr>
            <w:tcW w:w="1800" w:type="dxa"/>
            <w:vAlign w:val="bottom"/>
            <w:gridSpan w:val="4"/>
          </w:tcPr>
          <w:p>
            <w:pPr>
              <w:spacing w:after="0"/>
              <w:rPr>
                <w:sz w:val="20"/>
                <w:szCs w:val="20"/>
                <w:color w:val="auto"/>
              </w:rPr>
            </w:pPr>
            <w:r>
              <w:rPr>
                <w:rFonts w:ascii="Arial" w:cs="Arial" w:eastAsia="Arial" w:hAnsi="Arial"/>
                <w:sz w:val="16"/>
                <w:szCs w:val="16"/>
                <w:color w:val="auto"/>
              </w:rPr>
              <w:t>9:00 a.m. Eastern Time</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8"/>
        </w:trPr>
        <w:tc>
          <w:tcPr>
            <w:tcW w:w="3080" w:type="dxa"/>
            <w:vAlign w:val="bottom"/>
          </w:tcPr>
          <w:p>
            <w:pPr>
              <w:ind w:left="20"/>
              <w:spacing w:after="0"/>
              <w:rPr>
                <w:sz w:val="20"/>
                <w:szCs w:val="20"/>
                <w:color w:val="auto"/>
              </w:rPr>
            </w:pPr>
            <w:r>
              <w:rPr>
                <w:rFonts w:ascii="Arial" w:cs="Arial" w:eastAsia="Arial" w:hAnsi="Arial"/>
                <w:sz w:val="16"/>
                <w:szCs w:val="16"/>
                <w:b w:val="1"/>
                <w:bCs w:val="1"/>
                <w:color w:val="1A6DBB"/>
              </w:rPr>
              <w:t>Place:</w:t>
            </w:r>
          </w:p>
        </w:tc>
        <w:tc>
          <w:tcPr>
            <w:tcW w:w="4820" w:type="dxa"/>
            <w:vAlign w:val="bottom"/>
            <w:gridSpan w:val="10"/>
          </w:tcPr>
          <w:p>
            <w:pPr>
              <w:spacing w:after="0"/>
              <w:rPr>
                <w:sz w:val="20"/>
                <w:szCs w:val="20"/>
                <w:color w:val="auto"/>
              </w:rPr>
            </w:pPr>
            <w:r>
              <w:rPr>
                <w:rFonts w:ascii="Arial" w:cs="Arial" w:eastAsia="Arial" w:hAnsi="Arial"/>
                <w:sz w:val="16"/>
                <w:szCs w:val="16"/>
                <w:color w:val="auto"/>
              </w:rPr>
              <w:t>Online only at www.virtualshareholdermeeting.com/BIIB2023</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80" w:type="dxa"/>
            <w:vAlign w:val="bottom"/>
            <w:gridSpan w:val="5"/>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r>
      <w:tr>
        <w:trPr>
          <w:trHeight w:val="326"/>
        </w:trPr>
        <w:tc>
          <w:tcPr>
            <w:tcW w:w="3080" w:type="dxa"/>
            <w:vAlign w:val="bottom"/>
          </w:tcPr>
          <w:p>
            <w:pPr>
              <w:ind w:left="20"/>
              <w:spacing w:after="0"/>
              <w:rPr>
                <w:sz w:val="20"/>
                <w:szCs w:val="20"/>
                <w:color w:val="auto"/>
              </w:rPr>
            </w:pPr>
            <w:r>
              <w:rPr>
                <w:rFonts w:ascii="Arial" w:cs="Arial" w:eastAsia="Arial" w:hAnsi="Arial"/>
                <w:sz w:val="16"/>
                <w:szCs w:val="16"/>
                <w:b w:val="1"/>
                <w:bCs w:val="1"/>
                <w:color w:val="1A6DBB"/>
              </w:rPr>
              <w:t>Record Date:</w:t>
            </w:r>
          </w:p>
        </w:tc>
        <w:tc>
          <w:tcPr>
            <w:tcW w:w="7940" w:type="dxa"/>
            <w:vAlign w:val="bottom"/>
            <w:gridSpan w:val="15"/>
          </w:tcPr>
          <w:p>
            <w:pPr>
              <w:spacing w:after="0"/>
              <w:rPr>
                <w:sz w:val="20"/>
                <w:szCs w:val="20"/>
                <w:color w:val="auto"/>
              </w:rPr>
            </w:pPr>
            <w:r>
              <w:rPr>
                <w:rFonts w:ascii="Arial" w:cs="Arial" w:eastAsia="Arial" w:hAnsi="Arial"/>
                <w:sz w:val="17"/>
                <w:szCs w:val="17"/>
                <w:color w:val="auto"/>
              </w:rPr>
              <w:t>April 20, 2023. Only Biogen stockholders of record at the close of business on the record date are</w:t>
            </w:r>
          </w:p>
        </w:tc>
      </w:tr>
      <w:tr>
        <w:trPr>
          <w:trHeight w:val="217"/>
        </w:trPr>
        <w:tc>
          <w:tcPr>
            <w:tcW w:w="3080" w:type="dxa"/>
            <w:vAlign w:val="bottom"/>
          </w:tcPr>
          <w:p>
            <w:pPr>
              <w:spacing w:after="0"/>
              <w:rPr>
                <w:sz w:val="18"/>
                <w:szCs w:val="18"/>
                <w:color w:val="auto"/>
              </w:rPr>
            </w:pPr>
          </w:p>
        </w:tc>
        <w:tc>
          <w:tcPr>
            <w:tcW w:w="4820" w:type="dxa"/>
            <w:vAlign w:val="bottom"/>
            <w:gridSpan w:val="10"/>
          </w:tcPr>
          <w:p>
            <w:pPr>
              <w:spacing w:after="0"/>
              <w:rPr>
                <w:sz w:val="20"/>
                <w:szCs w:val="20"/>
                <w:color w:val="auto"/>
              </w:rPr>
            </w:pPr>
            <w:r>
              <w:rPr>
                <w:rFonts w:ascii="Arial" w:cs="Arial" w:eastAsia="Arial" w:hAnsi="Arial"/>
                <w:sz w:val="17"/>
                <w:szCs w:val="17"/>
                <w:color w:val="auto"/>
              </w:rPr>
              <w:t>entitled to receive notice of, and vote at, the annual meeting.</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83"/>
        </w:trPr>
        <w:tc>
          <w:tcPr>
            <w:tcW w:w="3080" w:type="dxa"/>
            <w:vAlign w:val="bottom"/>
          </w:tcPr>
          <w:p>
            <w:pPr>
              <w:spacing w:after="0"/>
              <w:rPr>
                <w:sz w:val="20"/>
                <w:szCs w:val="20"/>
                <w:color w:val="auto"/>
              </w:rPr>
            </w:pPr>
            <w:r>
              <w:rPr>
                <w:rFonts w:ascii="Arial" w:cs="Arial" w:eastAsia="Arial" w:hAnsi="Arial"/>
                <w:sz w:val="17"/>
                <w:szCs w:val="17"/>
                <w:b w:val="1"/>
                <w:bCs w:val="1"/>
                <w:color w:val="1A6DBB"/>
              </w:rPr>
              <w:t>Items of Business:</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7660" w:type="dxa"/>
            <w:vAlign w:val="bottom"/>
            <w:gridSpan w:val="14"/>
          </w:tcPr>
          <w:p>
            <w:pPr>
              <w:ind w:left="60"/>
              <w:spacing w:after="0"/>
              <w:rPr>
                <w:sz w:val="20"/>
                <w:szCs w:val="20"/>
                <w:color w:val="auto"/>
              </w:rPr>
            </w:pPr>
            <w:r>
              <w:rPr>
                <w:rFonts w:ascii="Arial" w:cs="Arial" w:eastAsia="Arial" w:hAnsi="Arial"/>
                <w:sz w:val="17"/>
                <w:szCs w:val="17"/>
                <w:color w:val="auto"/>
              </w:rPr>
              <w:t>To elect the 7 nominees identified in the accompanying amendment to the Proxy Statement to our</w:t>
            </w:r>
          </w:p>
        </w:tc>
      </w:tr>
      <w:tr>
        <w:trPr>
          <w:trHeight w:val="189"/>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60" w:type="dxa"/>
            <w:vAlign w:val="bottom"/>
            <w:gridSpan w:val="14"/>
          </w:tcPr>
          <w:p>
            <w:pPr>
              <w:ind w:left="60"/>
              <w:spacing w:after="0" w:line="189" w:lineRule="exact"/>
              <w:rPr>
                <w:sz w:val="20"/>
                <w:szCs w:val="20"/>
                <w:color w:val="auto"/>
              </w:rPr>
            </w:pPr>
            <w:r>
              <w:rPr>
                <w:rFonts w:ascii="Arial" w:cs="Arial" w:eastAsia="Arial" w:hAnsi="Arial"/>
                <w:sz w:val="17"/>
                <w:szCs w:val="17"/>
                <w:color w:val="auto"/>
              </w:rPr>
              <w:t>Board of Directors to serve for a one-year term extending until our 2024 annual meeting of</w:t>
            </w:r>
          </w:p>
        </w:tc>
      </w:tr>
      <w:tr>
        <w:trPr>
          <w:trHeight w:val="217"/>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gridSpan w:val="10"/>
          </w:tcPr>
          <w:p>
            <w:pPr>
              <w:ind w:left="60"/>
              <w:spacing w:after="0"/>
              <w:rPr>
                <w:sz w:val="20"/>
                <w:szCs w:val="20"/>
                <w:color w:val="auto"/>
              </w:rPr>
            </w:pPr>
            <w:r>
              <w:rPr>
                <w:rFonts w:ascii="Arial" w:cs="Arial" w:eastAsia="Arial" w:hAnsi="Arial"/>
                <w:sz w:val="17"/>
                <w:szCs w:val="17"/>
                <w:color w:val="auto"/>
              </w:rPr>
              <w:t>stockholders and their successors are duly elected and qualified.</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91"/>
        </w:trPr>
        <w:tc>
          <w:tcPr>
            <w:tcW w:w="3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7660" w:type="dxa"/>
            <w:vAlign w:val="bottom"/>
            <w:gridSpan w:val="14"/>
          </w:tcPr>
          <w:p>
            <w:pPr>
              <w:ind w:left="60"/>
              <w:spacing w:after="0"/>
              <w:rPr>
                <w:sz w:val="20"/>
                <w:szCs w:val="20"/>
                <w:color w:val="auto"/>
              </w:rPr>
            </w:pPr>
            <w:r>
              <w:rPr>
                <w:rFonts w:ascii="Arial" w:cs="Arial" w:eastAsia="Arial" w:hAnsi="Arial"/>
                <w:sz w:val="16"/>
                <w:szCs w:val="16"/>
                <w:color w:val="auto"/>
              </w:rPr>
              <w:t>To ratify the selection of PricewaterhouseCoopers LLP as our independent registered public accounting</w:t>
            </w:r>
          </w:p>
        </w:tc>
      </w:tr>
      <w:tr>
        <w:trPr>
          <w:trHeight w:val="207"/>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40" w:type="dxa"/>
            <w:vAlign w:val="bottom"/>
            <w:gridSpan w:val="7"/>
          </w:tcPr>
          <w:p>
            <w:pPr>
              <w:ind w:left="60"/>
              <w:spacing w:after="0"/>
              <w:rPr>
                <w:sz w:val="20"/>
                <w:szCs w:val="20"/>
                <w:color w:val="auto"/>
              </w:rPr>
            </w:pPr>
            <w:r>
              <w:rPr>
                <w:rFonts w:ascii="Arial" w:cs="Arial" w:eastAsia="Arial" w:hAnsi="Arial"/>
                <w:sz w:val="16"/>
                <w:szCs w:val="16"/>
                <w:color w:val="auto"/>
              </w:rPr>
              <w:t>firm for the fiscal year ending December 31, 2023.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11"/>
        </w:trPr>
        <w:tc>
          <w:tcPr>
            <w:tcW w:w="3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4540" w:type="dxa"/>
            <w:vAlign w:val="bottom"/>
            <w:gridSpan w:val="9"/>
          </w:tcPr>
          <w:p>
            <w:pPr>
              <w:ind w:left="60"/>
              <w:spacing w:after="0"/>
              <w:rPr>
                <w:sz w:val="20"/>
                <w:szCs w:val="20"/>
                <w:color w:val="auto"/>
              </w:rPr>
            </w:pPr>
            <w:r>
              <w:rPr>
                <w:rFonts w:ascii="Arial" w:cs="Arial" w:eastAsia="Arial" w:hAnsi="Arial"/>
                <w:sz w:val="16"/>
                <w:szCs w:val="16"/>
                <w:color w:val="auto"/>
              </w:rPr>
              <w:t>To hold an advisory vote on executive compensation.</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3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6580" w:type="dxa"/>
            <w:vAlign w:val="bottom"/>
            <w:gridSpan w:val="12"/>
          </w:tcPr>
          <w:p>
            <w:pPr>
              <w:ind w:left="60"/>
              <w:spacing w:after="0"/>
              <w:rPr>
                <w:sz w:val="20"/>
                <w:szCs w:val="20"/>
                <w:color w:val="auto"/>
              </w:rPr>
            </w:pPr>
            <w:r>
              <w:rPr>
                <w:rFonts w:ascii="Arial" w:cs="Arial" w:eastAsia="Arial" w:hAnsi="Arial"/>
                <w:sz w:val="16"/>
                <w:szCs w:val="16"/>
                <w:color w:val="auto"/>
              </w:rPr>
              <w:t>To hold an advisory vote on the frequency of the advisory vote on executive compensation.</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3"/>
        </w:trPr>
        <w:tc>
          <w:tcPr>
            <w:tcW w:w="3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7660" w:type="dxa"/>
            <w:vAlign w:val="bottom"/>
            <w:gridSpan w:val="14"/>
          </w:tcPr>
          <w:p>
            <w:pPr>
              <w:ind w:left="60"/>
              <w:spacing w:after="0"/>
              <w:rPr>
                <w:sz w:val="20"/>
                <w:szCs w:val="20"/>
                <w:color w:val="auto"/>
              </w:rPr>
            </w:pPr>
            <w:r>
              <w:rPr>
                <w:rFonts w:ascii="Arial" w:cs="Arial" w:eastAsia="Arial" w:hAnsi="Arial"/>
                <w:sz w:val="16"/>
                <w:szCs w:val="16"/>
                <w:color w:val="auto"/>
              </w:rPr>
              <w:t>To elect Susan K. Langer to our Board of Directors to serve for a one-year term extending until our 2024</w:t>
            </w:r>
          </w:p>
        </w:tc>
      </w:tr>
      <w:tr>
        <w:trPr>
          <w:trHeight w:val="207"/>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580" w:type="dxa"/>
            <w:vAlign w:val="bottom"/>
            <w:gridSpan w:val="12"/>
          </w:tcPr>
          <w:p>
            <w:pPr>
              <w:ind w:left="60"/>
              <w:spacing w:after="0"/>
              <w:rPr>
                <w:sz w:val="20"/>
                <w:szCs w:val="20"/>
                <w:color w:val="auto"/>
              </w:rPr>
            </w:pPr>
            <w:r>
              <w:rPr>
                <w:rFonts w:ascii="Arial" w:cs="Arial" w:eastAsia="Arial" w:hAnsi="Arial"/>
                <w:sz w:val="16"/>
                <w:szCs w:val="16"/>
                <w:color w:val="auto"/>
              </w:rPr>
              <w:t>annual meeting of stockholders and her successor is duly elected and qualified.</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93"/>
        </w:trPr>
        <w:tc>
          <w:tcPr>
            <w:tcW w:w="3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7660" w:type="dxa"/>
            <w:vAlign w:val="bottom"/>
            <w:gridSpan w:val="14"/>
          </w:tcPr>
          <w:p>
            <w:pPr>
              <w:ind w:left="60"/>
              <w:spacing w:after="0"/>
              <w:rPr>
                <w:sz w:val="20"/>
                <w:szCs w:val="20"/>
                <w:color w:val="auto"/>
              </w:rPr>
            </w:pPr>
            <w:r>
              <w:rPr>
                <w:rFonts w:ascii="Arial" w:cs="Arial" w:eastAsia="Arial" w:hAnsi="Arial"/>
                <w:sz w:val="16"/>
                <w:szCs w:val="16"/>
                <w:color w:val="auto"/>
              </w:rPr>
              <w:t>To transact such other business as may be properly brought before the annual meeting and any</w:t>
            </w:r>
          </w:p>
        </w:tc>
      </w:tr>
      <w:tr>
        <w:trPr>
          <w:trHeight w:val="207"/>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color w:val="auto"/>
              </w:rPr>
              <w:t>adjournments or postponements.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93"/>
        </w:trPr>
        <w:tc>
          <w:tcPr>
            <w:tcW w:w="3080" w:type="dxa"/>
            <w:vAlign w:val="bottom"/>
          </w:tcPr>
          <w:p>
            <w:pPr>
              <w:ind w:left="20"/>
              <w:spacing w:after="0"/>
              <w:rPr>
                <w:sz w:val="20"/>
                <w:szCs w:val="20"/>
                <w:color w:val="auto"/>
              </w:rPr>
            </w:pPr>
            <w:r>
              <w:rPr>
                <w:rFonts w:ascii="Arial" w:cs="Arial" w:eastAsia="Arial" w:hAnsi="Arial"/>
                <w:sz w:val="16"/>
                <w:szCs w:val="16"/>
                <w:b w:val="1"/>
                <w:bCs w:val="1"/>
                <w:color w:val="1A6DBB"/>
              </w:rPr>
              <w:t>Virtual Meeting:</w:t>
            </w:r>
          </w:p>
        </w:tc>
        <w:tc>
          <w:tcPr>
            <w:tcW w:w="280" w:type="dxa"/>
            <w:vAlign w:val="bottom"/>
          </w:tcPr>
          <w:p>
            <w:pPr>
              <w:spacing w:after="0"/>
              <w:rPr>
                <w:sz w:val="20"/>
                <w:szCs w:val="20"/>
                <w:color w:val="auto"/>
              </w:rPr>
            </w:pPr>
            <w:r>
              <w:rPr>
                <w:rFonts w:ascii="Arial" w:cs="Arial" w:eastAsia="Arial" w:hAnsi="Arial"/>
                <w:sz w:val="16"/>
                <w:szCs w:val="16"/>
                <w:color w:val="auto"/>
              </w:rPr>
              <w:t>To</w:t>
            </w: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participate</w:t>
            </w:r>
          </w:p>
        </w:tc>
        <w:tc>
          <w:tcPr>
            <w:tcW w:w="440" w:type="dxa"/>
            <w:vAlign w:val="bottom"/>
          </w:tcPr>
          <w:p>
            <w:pPr>
              <w:ind w:left="160"/>
              <w:spacing w:after="0"/>
              <w:rPr>
                <w:sz w:val="20"/>
                <w:szCs w:val="20"/>
                <w:color w:val="auto"/>
              </w:rPr>
            </w:pPr>
            <w:r>
              <w:rPr>
                <w:rFonts w:ascii="Arial" w:cs="Arial" w:eastAsia="Arial" w:hAnsi="Arial"/>
                <w:sz w:val="16"/>
                <w:szCs w:val="16"/>
                <w:color w:val="auto"/>
              </w:rPr>
              <w:t>in</w:t>
            </w:r>
          </w:p>
        </w:tc>
        <w:tc>
          <w:tcPr>
            <w:tcW w:w="500" w:type="dxa"/>
            <w:vAlign w:val="bottom"/>
          </w:tcPr>
          <w:p>
            <w:pPr>
              <w:ind w:left="140"/>
              <w:spacing w:after="0"/>
              <w:rPr>
                <w:sz w:val="20"/>
                <w:szCs w:val="20"/>
                <w:color w:val="auto"/>
              </w:rPr>
            </w:pPr>
            <w:r>
              <w:rPr>
                <w:rFonts w:ascii="Arial" w:cs="Arial" w:eastAsia="Arial" w:hAnsi="Arial"/>
                <w:sz w:val="16"/>
                <w:szCs w:val="16"/>
                <w:color w:val="auto"/>
              </w:rPr>
              <w:t>the</w:t>
            </w:r>
          </w:p>
        </w:tc>
        <w:tc>
          <w:tcPr>
            <w:tcW w:w="800" w:type="dxa"/>
            <w:vAlign w:val="bottom"/>
          </w:tcPr>
          <w:p>
            <w:pPr>
              <w:ind w:left="160"/>
              <w:spacing w:after="0"/>
              <w:rPr>
                <w:sz w:val="20"/>
                <w:szCs w:val="20"/>
                <w:color w:val="auto"/>
              </w:rPr>
            </w:pPr>
            <w:r>
              <w:rPr>
                <w:rFonts w:ascii="Arial" w:cs="Arial" w:eastAsia="Arial" w:hAnsi="Arial"/>
                <w:sz w:val="16"/>
                <w:szCs w:val="16"/>
                <w:color w:val="auto"/>
              </w:rPr>
              <w:t>annual</w:t>
            </w:r>
          </w:p>
        </w:tc>
        <w:tc>
          <w:tcPr>
            <w:tcW w:w="920" w:type="dxa"/>
            <w:vAlign w:val="bottom"/>
            <w:gridSpan w:val="2"/>
          </w:tcPr>
          <w:p>
            <w:pPr>
              <w:ind w:left="140"/>
              <w:spacing w:after="0"/>
              <w:rPr>
                <w:sz w:val="20"/>
                <w:szCs w:val="20"/>
                <w:color w:val="auto"/>
              </w:rPr>
            </w:pPr>
            <w:r>
              <w:rPr>
                <w:rFonts w:ascii="Arial" w:cs="Arial" w:eastAsia="Arial" w:hAnsi="Arial"/>
                <w:sz w:val="16"/>
                <w:szCs w:val="16"/>
                <w:color w:val="auto"/>
              </w:rPr>
              <w:t>meeting</w:t>
            </w:r>
          </w:p>
        </w:tc>
        <w:tc>
          <w:tcPr>
            <w:tcW w:w="800" w:type="dxa"/>
            <w:vAlign w:val="bottom"/>
            <w:gridSpan w:val="2"/>
          </w:tcPr>
          <w:p>
            <w:pPr>
              <w:ind w:left="100"/>
              <w:spacing w:after="0"/>
              <w:rPr>
                <w:sz w:val="20"/>
                <w:szCs w:val="20"/>
                <w:color w:val="auto"/>
              </w:rPr>
            </w:pPr>
            <w:r>
              <w:rPr>
                <w:rFonts w:ascii="Arial" w:cs="Arial" w:eastAsia="Arial" w:hAnsi="Arial"/>
                <w:sz w:val="16"/>
                <w:szCs w:val="16"/>
                <w:color w:val="auto"/>
              </w:rPr>
              <w:t>virtually</w:t>
            </w:r>
          </w:p>
        </w:tc>
        <w:tc>
          <w:tcPr>
            <w:tcW w:w="520" w:type="dxa"/>
            <w:vAlign w:val="bottom"/>
          </w:tcPr>
          <w:p>
            <w:pPr>
              <w:ind w:left="140"/>
              <w:spacing w:after="0"/>
              <w:rPr>
                <w:sz w:val="20"/>
                <w:szCs w:val="20"/>
                <w:color w:val="auto"/>
              </w:rPr>
            </w:pPr>
            <w:r>
              <w:rPr>
                <w:rFonts w:ascii="Arial" w:cs="Arial" w:eastAsia="Arial" w:hAnsi="Arial"/>
                <w:sz w:val="16"/>
                <w:szCs w:val="16"/>
                <w:color w:val="auto"/>
              </w:rPr>
              <w:t>via</w:t>
            </w:r>
          </w:p>
        </w:tc>
        <w:tc>
          <w:tcPr>
            <w:tcW w:w="500" w:type="dxa"/>
            <w:vAlign w:val="bottom"/>
          </w:tcPr>
          <w:p>
            <w:pPr>
              <w:ind w:left="120"/>
              <w:spacing w:after="0"/>
              <w:rPr>
                <w:sz w:val="20"/>
                <w:szCs w:val="20"/>
                <w:color w:val="auto"/>
              </w:rPr>
            </w:pPr>
            <w:r>
              <w:rPr>
                <w:rFonts w:ascii="Arial" w:cs="Arial" w:eastAsia="Arial" w:hAnsi="Arial"/>
                <w:sz w:val="16"/>
                <w:szCs w:val="16"/>
                <w:color w:val="auto"/>
              </w:rPr>
              <w:t>the</w:t>
            </w:r>
          </w:p>
        </w:tc>
        <w:tc>
          <w:tcPr>
            <w:tcW w:w="1020" w:type="dxa"/>
            <w:vAlign w:val="bottom"/>
          </w:tcPr>
          <w:p>
            <w:pPr>
              <w:ind w:left="140"/>
              <w:spacing w:after="0"/>
              <w:rPr>
                <w:sz w:val="20"/>
                <w:szCs w:val="20"/>
                <w:color w:val="auto"/>
              </w:rPr>
            </w:pPr>
            <w:r>
              <w:rPr>
                <w:rFonts w:ascii="Arial" w:cs="Arial" w:eastAsia="Arial" w:hAnsi="Arial"/>
                <w:sz w:val="16"/>
                <w:szCs w:val="16"/>
                <w:color w:val="auto"/>
              </w:rPr>
              <w:t>Internet,</w:t>
            </w:r>
          </w:p>
        </w:tc>
        <w:tc>
          <w:tcPr>
            <w:tcW w:w="640" w:type="dxa"/>
            <w:vAlign w:val="bottom"/>
          </w:tcPr>
          <w:p>
            <w:pPr>
              <w:ind w:left="20"/>
              <w:spacing w:after="0"/>
              <w:rPr>
                <w:sz w:val="20"/>
                <w:szCs w:val="20"/>
                <w:color w:val="auto"/>
              </w:rPr>
            </w:pPr>
            <w:r>
              <w:rPr>
                <w:rFonts w:ascii="Arial" w:cs="Arial" w:eastAsia="Arial" w:hAnsi="Arial"/>
                <w:sz w:val="16"/>
                <w:szCs w:val="16"/>
                <w:color w:val="auto"/>
              </w:rPr>
              <w:t>please</w:t>
            </w:r>
          </w:p>
        </w:tc>
        <w:tc>
          <w:tcPr>
            <w:tcW w:w="440" w:type="dxa"/>
            <w:vAlign w:val="bottom"/>
          </w:tcPr>
          <w:p>
            <w:pPr>
              <w:ind w:left="160"/>
              <w:spacing w:after="0"/>
              <w:rPr>
                <w:sz w:val="20"/>
                <w:szCs w:val="20"/>
                <w:color w:val="auto"/>
              </w:rPr>
            </w:pPr>
            <w:r>
              <w:rPr>
                <w:rFonts w:ascii="Arial" w:cs="Arial" w:eastAsia="Arial" w:hAnsi="Arial"/>
                <w:sz w:val="16"/>
                <w:szCs w:val="16"/>
                <w:color w:val="auto"/>
                <w:w w:val="94"/>
              </w:rPr>
              <w:t>visit</w:t>
            </w:r>
          </w:p>
        </w:tc>
      </w:tr>
      <w:tr>
        <w:trPr>
          <w:trHeight w:val="172"/>
        </w:trPr>
        <w:tc>
          <w:tcPr>
            <w:tcW w:w="3080" w:type="dxa"/>
            <w:vAlign w:val="bottom"/>
          </w:tcPr>
          <w:p>
            <w:pPr>
              <w:spacing w:after="0"/>
              <w:rPr>
                <w:sz w:val="14"/>
                <w:szCs w:val="14"/>
                <w:color w:val="auto"/>
              </w:rPr>
            </w:pPr>
          </w:p>
        </w:tc>
        <w:tc>
          <w:tcPr>
            <w:tcW w:w="7940" w:type="dxa"/>
            <w:vAlign w:val="bottom"/>
            <w:gridSpan w:val="15"/>
          </w:tcPr>
          <w:p>
            <w:pPr>
              <w:spacing w:after="0" w:line="172" w:lineRule="exact"/>
              <w:rPr>
                <w:sz w:val="20"/>
                <w:szCs w:val="20"/>
                <w:color w:val="auto"/>
              </w:rPr>
            </w:pPr>
            <w:r>
              <w:rPr>
                <w:rFonts w:ascii="Arial" w:cs="Arial" w:eastAsia="Arial" w:hAnsi="Arial"/>
                <w:sz w:val="16"/>
                <w:szCs w:val="16"/>
                <w:color w:val="auto"/>
              </w:rPr>
              <w:t>www.virtualshareholdermeeting.com/BIIB2023. You will need the 16-digit control number (Control Number)</w:t>
            </w:r>
          </w:p>
        </w:tc>
      </w:tr>
      <w:tr>
        <w:trPr>
          <w:trHeight w:val="20"/>
        </w:trPr>
        <w:tc>
          <w:tcPr>
            <w:tcW w:w="3080" w:type="dxa"/>
            <w:vAlign w:val="bottom"/>
          </w:tcPr>
          <w:p>
            <w:pPr>
              <w:spacing w:after="0" w:line="20" w:lineRule="exact"/>
              <w:rPr>
                <w:sz w:val="1"/>
                <w:szCs w:val="1"/>
                <w:color w:val="auto"/>
              </w:rPr>
            </w:pPr>
          </w:p>
        </w:tc>
        <w:tc>
          <w:tcPr>
            <w:tcW w:w="3320" w:type="dxa"/>
            <w:vAlign w:val="bottom"/>
            <w:gridSpan w:val="7"/>
            <w:shd w:val="clear" w:color="auto" w:fill="000000"/>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r>
      <w:tr>
        <w:trPr>
          <w:trHeight w:val="186"/>
        </w:trPr>
        <w:tc>
          <w:tcPr>
            <w:tcW w:w="3080" w:type="dxa"/>
            <w:vAlign w:val="bottom"/>
          </w:tcPr>
          <w:p>
            <w:pPr>
              <w:spacing w:after="0"/>
              <w:rPr>
                <w:sz w:val="16"/>
                <w:szCs w:val="16"/>
                <w:color w:val="auto"/>
              </w:rPr>
            </w:pPr>
          </w:p>
        </w:tc>
        <w:tc>
          <w:tcPr>
            <w:tcW w:w="7940" w:type="dxa"/>
            <w:vAlign w:val="bottom"/>
            <w:gridSpan w:val="15"/>
          </w:tcPr>
          <w:p>
            <w:pPr>
              <w:spacing w:after="0"/>
              <w:rPr>
                <w:sz w:val="20"/>
                <w:szCs w:val="20"/>
                <w:color w:val="auto"/>
              </w:rPr>
            </w:pPr>
            <w:r>
              <w:rPr>
                <w:rFonts w:ascii="Arial" w:cs="Arial" w:eastAsia="Arial" w:hAnsi="Arial"/>
                <w:sz w:val="16"/>
                <w:szCs w:val="16"/>
                <w:color w:val="auto"/>
              </w:rPr>
              <w:t>included on your Notice of Internet Availability of Proxy Materials (Notice) or your proxy card or voting</w:t>
            </w:r>
          </w:p>
        </w:tc>
      </w:tr>
      <w:tr>
        <w:trPr>
          <w:trHeight w:val="189"/>
        </w:trPr>
        <w:tc>
          <w:tcPr>
            <w:tcW w:w="3080" w:type="dxa"/>
            <w:vAlign w:val="bottom"/>
          </w:tcPr>
          <w:p>
            <w:pPr>
              <w:spacing w:after="0"/>
              <w:rPr>
                <w:sz w:val="16"/>
                <w:szCs w:val="16"/>
                <w:color w:val="auto"/>
              </w:rPr>
            </w:pPr>
          </w:p>
        </w:tc>
        <w:tc>
          <w:tcPr>
            <w:tcW w:w="7940" w:type="dxa"/>
            <w:vAlign w:val="bottom"/>
            <w:gridSpan w:val="15"/>
          </w:tcPr>
          <w:p>
            <w:pPr>
              <w:spacing w:after="0"/>
              <w:rPr>
                <w:sz w:val="20"/>
                <w:szCs w:val="20"/>
                <w:color w:val="auto"/>
              </w:rPr>
            </w:pPr>
            <w:r>
              <w:rPr>
                <w:rFonts w:ascii="Arial" w:cs="Arial" w:eastAsia="Arial" w:hAnsi="Arial"/>
                <w:sz w:val="16"/>
                <w:szCs w:val="16"/>
                <w:color w:val="auto"/>
              </w:rPr>
              <w:t>instruction form that accompanied your proxy materials. Stockholders will be able to vote and submit questions</w:t>
            </w:r>
          </w:p>
        </w:tc>
      </w:tr>
      <w:tr>
        <w:trPr>
          <w:trHeight w:val="207"/>
        </w:trPr>
        <w:tc>
          <w:tcPr>
            <w:tcW w:w="3080" w:type="dxa"/>
            <w:vAlign w:val="bottom"/>
          </w:tcPr>
          <w:p>
            <w:pPr>
              <w:spacing w:after="0"/>
              <w:rPr>
                <w:sz w:val="17"/>
                <w:szCs w:val="17"/>
                <w:color w:val="auto"/>
              </w:rPr>
            </w:pPr>
          </w:p>
        </w:tc>
        <w:tc>
          <w:tcPr>
            <w:tcW w:w="4020" w:type="dxa"/>
            <w:vAlign w:val="bottom"/>
            <w:gridSpan w:val="8"/>
          </w:tcPr>
          <w:p>
            <w:pPr>
              <w:spacing w:after="0"/>
              <w:rPr>
                <w:sz w:val="20"/>
                <w:szCs w:val="20"/>
                <w:color w:val="auto"/>
              </w:rPr>
            </w:pPr>
            <w:r>
              <w:rPr>
                <w:rFonts w:ascii="Arial" w:cs="Arial" w:eastAsia="Arial" w:hAnsi="Arial"/>
                <w:sz w:val="16"/>
                <w:szCs w:val="16"/>
                <w:color w:val="auto"/>
              </w:rPr>
              <w:t>during the annual meeting with the Control Number.</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23"/>
        </w:trPr>
        <w:tc>
          <w:tcPr>
            <w:tcW w:w="3080" w:type="dxa"/>
            <w:vAlign w:val="bottom"/>
          </w:tcPr>
          <w:p>
            <w:pPr>
              <w:spacing w:after="0"/>
              <w:rPr>
                <w:sz w:val="24"/>
                <w:szCs w:val="24"/>
                <w:color w:val="auto"/>
              </w:rPr>
            </w:pPr>
          </w:p>
        </w:tc>
        <w:tc>
          <w:tcPr>
            <w:tcW w:w="4820" w:type="dxa"/>
            <w:vAlign w:val="bottom"/>
            <w:gridSpan w:val="10"/>
          </w:tcPr>
          <w:p>
            <w:pPr>
              <w:spacing w:after="0"/>
              <w:rPr>
                <w:sz w:val="20"/>
                <w:szCs w:val="20"/>
                <w:color w:val="auto"/>
              </w:rPr>
            </w:pPr>
            <w:r>
              <w:rPr>
                <w:rFonts w:ascii="Arial" w:cs="Arial" w:eastAsia="Arial" w:hAnsi="Arial"/>
                <w:sz w:val="16"/>
                <w:szCs w:val="16"/>
                <w:b w:val="1"/>
                <w:bCs w:val="1"/>
                <w:color w:val="auto"/>
              </w:rPr>
              <w:t>You will not be able to attend the annual meeting in person.</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3"/>
        </w:trPr>
        <w:tc>
          <w:tcPr>
            <w:tcW w:w="3080" w:type="dxa"/>
            <w:vAlign w:val="bottom"/>
          </w:tcPr>
          <w:p>
            <w:pPr>
              <w:ind w:left="20"/>
              <w:spacing w:after="0"/>
              <w:rPr>
                <w:sz w:val="20"/>
                <w:szCs w:val="20"/>
                <w:color w:val="auto"/>
              </w:rPr>
            </w:pPr>
            <w:r>
              <w:rPr>
                <w:rFonts w:ascii="Arial" w:cs="Arial" w:eastAsia="Arial" w:hAnsi="Arial"/>
                <w:sz w:val="16"/>
                <w:szCs w:val="16"/>
                <w:b w:val="1"/>
                <w:bCs w:val="1"/>
                <w:color w:val="1A6DBB"/>
              </w:rPr>
              <w:t>Voting:</w:t>
            </w:r>
          </w:p>
        </w:tc>
        <w:tc>
          <w:tcPr>
            <w:tcW w:w="7940" w:type="dxa"/>
            <w:vAlign w:val="bottom"/>
            <w:gridSpan w:val="15"/>
          </w:tcPr>
          <w:p>
            <w:pPr>
              <w:spacing w:after="0"/>
              <w:rPr>
                <w:sz w:val="20"/>
                <w:szCs w:val="20"/>
                <w:color w:val="auto"/>
              </w:rPr>
            </w:pPr>
            <w:r>
              <w:rPr>
                <w:rFonts w:ascii="Arial" w:cs="Arial" w:eastAsia="Arial" w:hAnsi="Arial"/>
                <w:sz w:val="16"/>
                <w:szCs w:val="16"/>
                <w:b w:val="1"/>
                <w:bCs w:val="1"/>
                <w:color w:val="auto"/>
              </w:rPr>
              <w:t>Your vote is extremely important regardless of the number of shares you own. Whether or not you</w:t>
            </w:r>
          </w:p>
        </w:tc>
      </w:tr>
      <w:tr>
        <w:trPr>
          <w:trHeight w:val="189"/>
        </w:trPr>
        <w:tc>
          <w:tcPr>
            <w:tcW w:w="3080" w:type="dxa"/>
            <w:vAlign w:val="bottom"/>
          </w:tcPr>
          <w:p>
            <w:pPr>
              <w:spacing w:after="0"/>
              <w:rPr>
                <w:sz w:val="16"/>
                <w:szCs w:val="16"/>
                <w:color w:val="auto"/>
              </w:rPr>
            </w:pPr>
          </w:p>
        </w:tc>
        <w:tc>
          <w:tcPr>
            <w:tcW w:w="7940" w:type="dxa"/>
            <w:vAlign w:val="bottom"/>
            <w:gridSpan w:val="15"/>
          </w:tcPr>
          <w:p>
            <w:pPr>
              <w:spacing w:after="0"/>
              <w:rPr>
                <w:sz w:val="20"/>
                <w:szCs w:val="20"/>
                <w:color w:val="auto"/>
              </w:rPr>
            </w:pPr>
            <w:r>
              <w:rPr>
                <w:rFonts w:ascii="Arial" w:cs="Arial" w:eastAsia="Arial" w:hAnsi="Arial"/>
                <w:sz w:val="16"/>
                <w:szCs w:val="16"/>
                <w:b w:val="1"/>
                <w:bCs w:val="1"/>
                <w:color w:val="auto"/>
              </w:rPr>
              <w:t>expect to attend the annual meeting online, we urge you to vote as promptly as possible by telephone</w:t>
            </w:r>
          </w:p>
        </w:tc>
      </w:tr>
      <w:tr>
        <w:trPr>
          <w:trHeight w:val="189"/>
        </w:trPr>
        <w:tc>
          <w:tcPr>
            <w:tcW w:w="3080" w:type="dxa"/>
            <w:vAlign w:val="bottom"/>
          </w:tcPr>
          <w:p>
            <w:pPr>
              <w:spacing w:after="0"/>
              <w:rPr>
                <w:sz w:val="16"/>
                <w:szCs w:val="16"/>
                <w:color w:val="auto"/>
              </w:rPr>
            </w:pPr>
          </w:p>
        </w:tc>
        <w:tc>
          <w:tcPr>
            <w:tcW w:w="7940" w:type="dxa"/>
            <w:vAlign w:val="bottom"/>
            <w:gridSpan w:val="15"/>
          </w:tcPr>
          <w:p>
            <w:pPr>
              <w:spacing w:after="0"/>
              <w:rPr>
                <w:sz w:val="20"/>
                <w:szCs w:val="20"/>
                <w:color w:val="auto"/>
              </w:rPr>
            </w:pPr>
            <w:r>
              <w:rPr>
                <w:rFonts w:ascii="Arial" w:cs="Arial" w:eastAsia="Arial" w:hAnsi="Arial"/>
                <w:sz w:val="16"/>
                <w:szCs w:val="16"/>
                <w:b w:val="1"/>
                <w:bCs w:val="1"/>
                <w:color w:val="auto"/>
              </w:rPr>
              <w:t>or Internet or by signing, dating and returning a printed proxy card or voting instruction form, as</w:t>
            </w:r>
          </w:p>
        </w:tc>
      </w:tr>
      <w:tr>
        <w:trPr>
          <w:trHeight w:val="189"/>
        </w:trPr>
        <w:tc>
          <w:tcPr>
            <w:tcW w:w="3080" w:type="dxa"/>
            <w:vAlign w:val="bottom"/>
          </w:tcPr>
          <w:p>
            <w:pPr>
              <w:spacing w:after="0"/>
              <w:rPr>
                <w:sz w:val="16"/>
                <w:szCs w:val="16"/>
                <w:color w:val="auto"/>
              </w:rPr>
            </w:pPr>
          </w:p>
        </w:tc>
        <w:tc>
          <w:tcPr>
            <w:tcW w:w="7940" w:type="dxa"/>
            <w:vAlign w:val="bottom"/>
            <w:gridSpan w:val="15"/>
          </w:tcPr>
          <w:p>
            <w:pPr>
              <w:spacing w:after="0"/>
              <w:rPr>
                <w:sz w:val="20"/>
                <w:szCs w:val="20"/>
                <w:color w:val="auto"/>
              </w:rPr>
            </w:pPr>
            <w:r>
              <w:rPr>
                <w:rFonts w:ascii="Arial" w:cs="Arial" w:eastAsia="Arial" w:hAnsi="Arial"/>
                <w:sz w:val="16"/>
                <w:szCs w:val="16"/>
                <w:b w:val="1"/>
                <w:bCs w:val="1"/>
                <w:color w:val="auto"/>
              </w:rPr>
              <w:t>applicable. If you attend the annual meeting online, you may vote your shares during the annual</w:t>
            </w:r>
          </w:p>
        </w:tc>
      </w:tr>
      <w:tr>
        <w:trPr>
          <w:trHeight w:val="189"/>
        </w:trPr>
        <w:tc>
          <w:tcPr>
            <w:tcW w:w="3080" w:type="dxa"/>
            <w:vAlign w:val="bottom"/>
          </w:tcPr>
          <w:p>
            <w:pPr>
              <w:spacing w:after="0"/>
              <w:rPr>
                <w:sz w:val="16"/>
                <w:szCs w:val="16"/>
                <w:color w:val="auto"/>
              </w:rPr>
            </w:pPr>
          </w:p>
        </w:tc>
        <w:tc>
          <w:tcPr>
            <w:tcW w:w="7940" w:type="dxa"/>
            <w:vAlign w:val="bottom"/>
            <w:gridSpan w:val="15"/>
          </w:tcPr>
          <w:p>
            <w:pPr>
              <w:spacing w:after="0"/>
              <w:rPr>
                <w:sz w:val="20"/>
                <w:szCs w:val="20"/>
                <w:color w:val="auto"/>
              </w:rPr>
            </w:pPr>
            <w:r>
              <w:rPr>
                <w:rFonts w:ascii="Arial" w:cs="Arial" w:eastAsia="Arial" w:hAnsi="Arial"/>
                <w:sz w:val="16"/>
                <w:szCs w:val="16"/>
                <w:b w:val="1"/>
                <w:bCs w:val="1"/>
                <w:color w:val="auto"/>
              </w:rPr>
              <w:t>meeting virtually via the Internet even if you previously voted your proxy. Please vote as soon as</w:t>
            </w:r>
          </w:p>
        </w:tc>
      </w:tr>
      <w:tr>
        <w:trPr>
          <w:trHeight w:val="227"/>
        </w:trPr>
        <w:tc>
          <w:tcPr>
            <w:tcW w:w="3080" w:type="dxa"/>
            <w:vAlign w:val="bottom"/>
          </w:tcPr>
          <w:p>
            <w:pPr>
              <w:spacing w:after="0"/>
              <w:rPr>
                <w:sz w:val="19"/>
                <w:szCs w:val="19"/>
                <w:color w:val="auto"/>
              </w:rPr>
            </w:pPr>
          </w:p>
        </w:tc>
        <w:tc>
          <w:tcPr>
            <w:tcW w:w="7500" w:type="dxa"/>
            <w:vAlign w:val="bottom"/>
            <w:gridSpan w:val="14"/>
          </w:tcPr>
          <w:p>
            <w:pPr>
              <w:spacing w:after="0"/>
              <w:rPr>
                <w:sz w:val="20"/>
                <w:szCs w:val="20"/>
                <w:color w:val="auto"/>
              </w:rPr>
            </w:pPr>
            <w:r>
              <w:rPr>
                <w:rFonts w:ascii="Arial" w:cs="Arial" w:eastAsia="Arial" w:hAnsi="Arial"/>
                <w:sz w:val="16"/>
                <w:szCs w:val="16"/>
                <w:b w:val="1"/>
                <w:bCs w:val="1"/>
                <w:color w:val="auto"/>
              </w:rPr>
              <w:t>possible to ensure that your shares will be represented and counted at the annual meeting.</w:t>
            </w:r>
          </w:p>
        </w:tc>
        <w:tc>
          <w:tcPr>
            <w:tcW w:w="440" w:type="dxa"/>
            <w:vAlign w:val="bottom"/>
          </w:tcPr>
          <w:p>
            <w:pPr>
              <w:spacing w:after="0"/>
              <w:rPr>
                <w:sz w:val="19"/>
                <w:szCs w:val="19"/>
                <w:color w:val="auto"/>
              </w:rPr>
            </w:pPr>
          </w:p>
        </w:tc>
      </w:tr>
    </w:tbl>
    <w:p>
      <w:pPr>
        <w:spacing w:after="0" w:line="84" w:lineRule="exact"/>
        <w:rPr>
          <w:sz w:val="20"/>
          <w:szCs w:val="20"/>
          <w:color w:val="auto"/>
        </w:rPr>
      </w:pPr>
    </w:p>
    <w:p>
      <w:pPr>
        <w:jc w:val="both"/>
        <w:ind w:left="3080"/>
        <w:spacing w:after="0" w:line="252" w:lineRule="auto"/>
        <w:rPr>
          <w:sz w:val="20"/>
          <w:szCs w:val="20"/>
          <w:color w:val="auto"/>
        </w:rPr>
      </w:pPr>
      <w:r>
        <w:rPr>
          <w:rFonts w:ascii="Arial" w:cs="Arial" w:eastAsia="Arial" w:hAnsi="Arial"/>
          <w:sz w:val="16"/>
          <w:szCs w:val="16"/>
          <w:b w:val="1"/>
          <w:bCs w:val="1"/>
          <w:color w:val="auto"/>
        </w:rPr>
        <w:t>The amended proxy card enclosed with this revised proxy differs from the original proxy card previously furnished to you in that the amended proxy card includes the election of Susan K. Langer as a nominee for director and no longer includes Alexander J. Denner, Ph.D., William D. Jones and Richard C. Mulligan, Ph.D., as nominees. If you have already voted, we encourage you to resubmit your vote on all proposals by submitting the amended proxy card with this revised proxy or by submitting a proxy by telephone or through the Internet by following the procedures on your amended proxy card or as previously provided to you on your Notice of Internet Availability of Proxy Materials. However, if you return, or have returned, an original proxy card, your proxy will remain valid for all of the other proposals but will not be counted in the election of Ms. Langer because she is not listed as a nominee on the original proxy card.</w:t>
      </w:r>
    </w:p>
    <w:p>
      <w:pPr>
        <w:sectPr>
          <w:pgSz w:w="11900" w:h="16838" w:orient="portrait"/>
          <w:cols w:equalWidth="0" w:num="1">
            <w:col w:w="11020"/>
          </w:cols>
          <w:pgMar w:left="440" w:top="144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PLEASE NOTE THAT IF YOU SUBMIT A NEW PROXY CARD IT WILL REVOKE ALL PRIOR PROXY</w:t>
      </w:r>
    </w:p>
    <w:p>
      <w:pPr>
        <w:spacing w:after="0" w:line="25"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CARDS, SO IT IS IMPORTANT TO INDICATE YOUR VOTE ON EACH PROPOSAL ON THE NEW PROXY</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143510</wp:posOffset>
            </wp:positionV>
            <wp:extent cx="702056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0560" cy="4883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 for Annual Meeting of Stockholders:</w:t>
      </w:r>
    </w:p>
    <w:p>
      <w:pPr>
        <w:spacing w:after="0" w:line="81" w:lineRule="exact"/>
        <w:rPr>
          <w:sz w:val="20"/>
          <w:szCs w:val="20"/>
          <w:color w:val="auto"/>
        </w:rPr>
      </w:pPr>
    </w:p>
    <w:p>
      <w:pPr>
        <w:jc w:val="center"/>
        <w:spacing w:after="0" w:line="276" w:lineRule="auto"/>
        <w:rPr>
          <w:sz w:val="20"/>
          <w:szCs w:val="20"/>
          <w:color w:val="auto"/>
        </w:rPr>
      </w:pPr>
      <w:r>
        <w:rPr>
          <w:rFonts w:ascii="Arial" w:cs="Arial" w:eastAsia="Arial" w:hAnsi="Arial"/>
          <w:sz w:val="16"/>
          <w:szCs w:val="16"/>
          <w:color w:val="auto"/>
        </w:rPr>
        <w:t xml:space="preserve">The Notice of 2023 Annual Meeting of Stockholders, Amended Notice of 2023 Annual Meeting of Stockholders, Proxy Statement, Revised Proxy Statement and 2022 Annual Report on Form 10-K are available at the following website: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192024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USAN</w:t>
      </w:r>
      <w:r>
        <w:rPr>
          <w:rFonts w:ascii="Arial" w:cs="Arial" w:eastAsia="Arial" w:hAnsi="Arial"/>
          <w:sz w:val="16"/>
          <w:szCs w:val="16"/>
          <w:color w:val="auto"/>
        </w:rPr>
        <w:t xml:space="preserve"> H. A</w:t>
      </w:r>
      <w:r>
        <w:rPr>
          <w:rFonts w:ascii="Arial" w:cs="Arial" w:eastAsia="Arial" w:hAnsi="Arial"/>
          <w:sz w:val="13"/>
          <w:szCs w:val="13"/>
          <w:color w:val="auto"/>
        </w:rPr>
        <w:t>LEXANDER</w:t>
      </w:r>
      <w:r>
        <w:rPr>
          <w:rFonts w:ascii="Arial" w:cs="Arial" w:eastAsia="Arial" w:hAnsi="Arial"/>
          <w:sz w:val="16"/>
          <w:szCs w:val="16"/>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225 Binney Street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Cambridge, Massachusetts 02142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13, 2023</w:t>
      </w:r>
    </w:p>
    <w:p>
      <w:pPr>
        <w:sectPr>
          <w:pgSz w:w="11900" w:h="16838" w:orient="portrait"/>
          <w:cols w:equalWidth="0" w:num="1">
            <w:col w:w="11020"/>
          </w:cols>
          <w:pgMar w:left="440" w:top="486" w:right="439" w:bottom="1440" w:gutter="0" w:footer="0" w:header="0"/>
        </w:sectPr>
      </w:pPr>
    </w:p>
    <w:bookmarkStart w:id="5" w:name="page6"/>
    <w:bookmarkEnd w:id="5"/>
    <w:p>
      <w:pPr>
        <w:ind w:left="91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6011545</wp:posOffset>
            </wp:positionH>
            <wp:positionV relativeFrom="page">
              <wp:posOffset>320040</wp:posOffset>
            </wp:positionV>
            <wp:extent cx="1260475" cy="231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0475" cy="231140"/>
                    </a:xfrm>
                    <a:prstGeom prst="rect">
                      <a:avLst/>
                    </a:prstGeom>
                    <a:noFill/>
                  </pic:spPr>
                </pic:pic>
              </a:graphicData>
            </a:graphic>
          </wp:anchor>
        </w:drawing>
        <w:t>Revised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41"/>
          <w:szCs w:val="41"/>
          <w:color w:val="1A6DBB"/>
        </w:rPr>
        <w:t>Revised Proxy Statement Dated June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 w:type="dxa"/>
            <w:vAlign w:val="bottom"/>
            <w:tcBorders>
              <w:left w:val="single" w:sz="8" w:color="1A6DBB"/>
            </w:tcBorders>
            <w:shd w:val="clear" w:color="auto" w:fill="1A6DBB"/>
          </w:tcPr>
          <w:p>
            <w:pPr>
              <w:spacing w:after="0"/>
              <w:rPr>
                <w:sz w:val="16"/>
                <w:szCs w:val="16"/>
                <w:color w:val="auto"/>
              </w:rPr>
            </w:pPr>
          </w:p>
        </w:tc>
        <w:tc>
          <w:tcPr>
            <w:tcW w:w="2960" w:type="dxa"/>
            <w:vAlign w:val="bottom"/>
            <w:shd w:val="clear" w:color="auto" w:fill="1A6DBB"/>
          </w:tcPr>
          <w:p>
            <w:pPr>
              <w:spacing w:after="0"/>
              <w:rPr>
                <w:sz w:val="16"/>
                <w:szCs w:val="16"/>
                <w:color w:val="auto"/>
              </w:rPr>
            </w:pPr>
          </w:p>
        </w:tc>
        <w:tc>
          <w:tcPr>
            <w:tcW w:w="7840" w:type="dxa"/>
            <w:vAlign w:val="bottom"/>
            <w:gridSpan w:val="3"/>
            <w:vMerge w:val="restart"/>
            <w:shd w:val="clear" w:color="auto" w:fill="1A6DBB"/>
          </w:tcPr>
          <w:p>
            <w:pPr>
              <w:ind w:left="1180"/>
              <w:spacing w:after="0"/>
              <w:rPr>
                <w:sz w:val="20"/>
                <w:szCs w:val="20"/>
                <w:color w:val="auto"/>
              </w:rPr>
            </w:pPr>
            <w:r>
              <w:rPr>
                <w:rFonts w:ascii="Arial" w:cs="Arial" w:eastAsia="Arial" w:hAnsi="Arial"/>
                <w:sz w:val="22"/>
                <w:szCs w:val="22"/>
                <w:color w:val="FFFFFF"/>
              </w:rPr>
              <w:t>Annual Meeting Information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0" w:type="dxa"/>
            <w:vAlign w:val="bottom"/>
            <w:tcBorders>
              <w:left w:val="single" w:sz="8" w:color="1A6DBB"/>
            </w:tcBorders>
            <w:shd w:val="clear" w:color="auto" w:fill="1A6DBB"/>
          </w:tcPr>
          <w:p>
            <w:pPr>
              <w:spacing w:after="0"/>
              <w:rPr>
                <w:sz w:val="22"/>
                <w:szCs w:val="22"/>
                <w:color w:val="auto"/>
              </w:rPr>
            </w:pPr>
          </w:p>
        </w:tc>
        <w:tc>
          <w:tcPr>
            <w:tcW w:w="2960" w:type="dxa"/>
            <w:vAlign w:val="bottom"/>
            <w:shd w:val="clear" w:color="auto" w:fill="1A6DBB"/>
          </w:tcPr>
          <w:p>
            <w:pPr>
              <w:spacing w:after="0"/>
              <w:rPr>
                <w:sz w:val="22"/>
                <w:szCs w:val="22"/>
                <w:color w:val="auto"/>
              </w:rPr>
            </w:pPr>
          </w:p>
        </w:tc>
        <w:tc>
          <w:tcPr>
            <w:tcW w:w="7840" w:type="dxa"/>
            <w:vAlign w:val="bottom"/>
            <w:gridSpan w:val="3"/>
            <w:vMerge w:val="continue"/>
            <w:shd w:val="clear" w:color="auto" w:fill="1A6DBB"/>
          </w:tcPr>
          <w:p>
            <w:pPr>
              <w:spacing w:after="0"/>
              <w:rPr>
                <w:sz w:val="22"/>
                <w:szCs w:val="22"/>
                <w:color w:val="auto"/>
              </w:rPr>
            </w:pPr>
          </w:p>
        </w:tc>
        <w:tc>
          <w:tcPr>
            <w:tcW w:w="120" w:type="dxa"/>
            <w:vAlign w:val="bottom"/>
            <w:tcBorders>
              <w:right w:val="single" w:sz="8" w:color="7F7F7F"/>
            </w:tcBorders>
            <w:shd w:val="clear" w:color="auto" w:fill="7F7F7F"/>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100" w:type="dxa"/>
            <w:vAlign w:val="bottom"/>
            <w:tcBorders>
              <w:left w:val="single" w:sz="8" w:color="1A6DBB"/>
            </w:tcBorders>
            <w:shd w:val="clear" w:color="auto" w:fill="1A6DBB"/>
          </w:tcPr>
          <w:p>
            <w:pPr>
              <w:spacing w:after="0"/>
              <w:rPr>
                <w:sz w:val="10"/>
                <w:szCs w:val="10"/>
                <w:color w:val="auto"/>
              </w:rPr>
            </w:pPr>
          </w:p>
        </w:tc>
        <w:tc>
          <w:tcPr>
            <w:tcW w:w="2960" w:type="dxa"/>
            <w:vAlign w:val="bottom"/>
            <w:shd w:val="clear" w:color="auto" w:fill="1A6DBB"/>
          </w:tcPr>
          <w:p>
            <w:pPr>
              <w:spacing w:after="0"/>
              <w:rPr>
                <w:sz w:val="10"/>
                <w:szCs w:val="10"/>
                <w:color w:val="auto"/>
              </w:rPr>
            </w:pPr>
          </w:p>
        </w:tc>
        <w:tc>
          <w:tcPr>
            <w:tcW w:w="1380" w:type="dxa"/>
            <w:vAlign w:val="bottom"/>
            <w:shd w:val="clear" w:color="auto" w:fill="1A6DBB"/>
          </w:tcPr>
          <w:p>
            <w:pPr>
              <w:spacing w:after="0"/>
              <w:rPr>
                <w:sz w:val="10"/>
                <w:szCs w:val="10"/>
                <w:color w:val="auto"/>
              </w:rPr>
            </w:pPr>
          </w:p>
        </w:tc>
        <w:tc>
          <w:tcPr>
            <w:tcW w:w="2940" w:type="dxa"/>
            <w:vAlign w:val="bottom"/>
            <w:shd w:val="clear" w:color="auto" w:fill="1A6DBB"/>
          </w:tcPr>
          <w:p>
            <w:pPr>
              <w:spacing w:after="0"/>
              <w:rPr>
                <w:sz w:val="10"/>
                <w:szCs w:val="10"/>
                <w:color w:val="auto"/>
              </w:rPr>
            </w:pPr>
          </w:p>
        </w:tc>
        <w:tc>
          <w:tcPr>
            <w:tcW w:w="3520" w:type="dxa"/>
            <w:vAlign w:val="bottom"/>
            <w:shd w:val="clear" w:color="auto" w:fill="1A6DBB"/>
          </w:tcPr>
          <w:p>
            <w:pPr>
              <w:spacing w:after="0"/>
              <w:rPr>
                <w:sz w:val="10"/>
                <w:szCs w:val="10"/>
                <w:color w:val="auto"/>
              </w:rPr>
            </w:pPr>
          </w:p>
        </w:tc>
        <w:tc>
          <w:tcPr>
            <w:tcW w:w="120" w:type="dxa"/>
            <w:vAlign w:val="bottom"/>
            <w:tcBorders>
              <w:right w:val="single" w:sz="8" w:color="7F7F7F"/>
            </w:tcBorders>
            <w:shd w:val="clear" w:color="auto" w:fill="7F7F7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960" w:type="dxa"/>
            <w:vAlign w:val="bottom"/>
            <w:shd w:val="clear" w:color="auto" w:fill="7F7F7F"/>
          </w:tcPr>
          <w:p>
            <w:pPr>
              <w:spacing w:after="0"/>
              <w:rPr>
                <w:sz w:val="16"/>
                <w:szCs w:val="16"/>
                <w:color w:val="auto"/>
              </w:rPr>
            </w:pPr>
          </w:p>
        </w:tc>
        <w:tc>
          <w:tcPr>
            <w:tcW w:w="1380" w:type="dxa"/>
            <w:vAlign w:val="bottom"/>
            <w:shd w:val="clear" w:color="auto" w:fill="7F7F7F"/>
          </w:tcPr>
          <w:p>
            <w:pPr>
              <w:spacing w:after="0"/>
              <w:rPr>
                <w:sz w:val="16"/>
                <w:szCs w:val="16"/>
                <w:color w:val="auto"/>
              </w:rPr>
            </w:pPr>
          </w:p>
        </w:tc>
        <w:tc>
          <w:tcPr>
            <w:tcW w:w="2940" w:type="dxa"/>
            <w:vAlign w:val="bottom"/>
            <w:shd w:val="clear" w:color="auto" w:fill="7F7F7F"/>
          </w:tcPr>
          <w:p>
            <w:pPr>
              <w:spacing w:after="0"/>
              <w:rPr>
                <w:sz w:val="16"/>
                <w:szCs w:val="16"/>
                <w:color w:val="auto"/>
              </w:rPr>
            </w:pPr>
          </w:p>
        </w:tc>
        <w:tc>
          <w:tcPr>
            <w:tcW w:w="3520" w:type="dxa"/>
            <w:vAlign w:val="bottom"/>
            <w:shd w:val="clear" w:color="auto" w:fill="7F7F7F"/>
          </w:tcPr>
          <w:p>
            <w:pPr>
              <w:spacing w:after="0"/>
              <w:rPr>
                <w:sz w:val="16"/>
                <w:szCs w:val="16"/>
                <w:color w:val="auto"/>
              </w:rPr>
            </w:pPr>
          </w:p>
        </w:tc>
        <w:tc>
          <w:tcPr>
            <w:tcW w:w="120" w:type="dxa"/>
            <w:vAlign w:val="bottom"/>
            <w:tcBorders>
              <w:right w:val="single" w:sz="8" w:color="7F7F7F"/>
            </w:tcBorders>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0" w:type="dxa"/>
            <w:vAlign w:val="bottom"/>
            <w:tcBorders>
              <w:left w:val="single" w:sz="8" w:color="auto"/>
            </w:tcBorders>
            <w:shd w:val="clear" w:color="auto" w:fill="E8F0F8"/>
          </w:tcPr>
          <w:p>
            <w:pPr>
              <w:spacing w:after="0"/>
              <w:rPr>
                <w:sz w:val="14"/>
                <w:szCs w:val="14"/>
                <w:color w:val="auto"/>
              </w:rPr>
            </w:pPr>
          </w:p>
        </w:tc>
        <w:tc>
          <w:tcPr>
            <w:tcW w:w="2960" w:type="dxa"/>
            <w:vAlign w:val="bottom"/>
            <w:shd w:val="clear" w:color="auto" w:fill="E8F0F8"/>
          </w:tcPr>
          <w:p>
            <w:pPr>
              <w:ind w:left="60"/>
              <w:spacing w:after="0" w:line="165" w:lineRule="exact"/>
              <w:rPr>
                <w:sz w:val="20"/>
                <w:szCs w:val="20"/>
                <w:color w:val="auto"/>
              </w:rPr>
            </w:pPr>
            <w:r>
              <w:rPr>
                <w:rFonts w:ascii="Arial" w:cs="Arial" w:eastAsia="Arial" w:hAnsi="Arial"/>
                <w:sz w:val="16"/>
                <w:szCs w:val="16"/>
                <w:b w:val="1"/>
                <w:bCs w:val="1"/>
                <w:color w:val="auto"/>
              </w:rPr>
              <w:t>ORIGINAL MEETING DATE:</w:t>
            </w:r>
          </w:p>
        </w:tc>
        <w:tc>
          <w:tcPr>
            <w:tcW w:w="7840" w:type="dxa"/>
            <w:vAlign w:val="bottom"/>
            <w:gridSpan w:val="3"/>
            <w:shd w:val="clear" w:color="auto" w:fill="E8F0F8"/>
          </w:tcPr>
          <w:p>
            <w:pPr>
              <w:ind w:left="460"/>
              <w:spacing w:after="0" w:line="165" w:lineRule="exact"/>
              <w:rPr>
                <w:sz w:val="20"/>
                <w:szCs w:val="20"/>
                <w:color w:val="auto"/>
              </w:rPr>
            </w:pPr>
            <w:r>
              <w:rPr>
                <w:rFonts w:ascii="Arial" w:cs="Arial" w:eastAsia="Arial" w:hAnsi="Arial"/>
                <w:sz w:val="16"/>
                <w:szCs w:val="16"/>
                <w:color w:val="auto"/>
              </w:rPr>
              <w:t>Wednesday, June 14, 2023</w:t>
            </w:r>
          </w:p>
        </w:tc>
        <w:tc>
          <w:tcPr>
            <w:tcW w:w="120" w:type="dxa"/>
            <w:vAlign w:val="bottom"/>
            <w:tcBorders>
              <w:right w:val="single" w:sz="8" w:color="auto"/>
            </w:tcBorders>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shd w:val="clear" w:color="auto" w:fill="E8F0F8"/>
          </w:tcPr>
          <w:p>
            <w:pPr>
              <w:spacing w:after="0"/>
              <w:rPr>
                <w:sz w:val="18"/>
                <w:szCs w:val="18"/>
                <w:color w:val="auto"/>
              </w:rPr>
            </w:pPr>
          </w:p>
        </w:tc>
        <w:tc>
          <w:tcPr>
            <w:tcW w:w="2960" w:type="dxa"/>
            <w:vAlign w:val="bottom"/>
            <w:shd w:val="clear" w:color="auto" w:fill="E8F0F8"/>
          </w:tcPr>
          <w:p>
            <w:pPr>
              <w:ind w:left="60"/>
              <w:spacing w:after="0"/>
              <w:rPr>
                <w:sz w:val="20"/>
                <w:szCs w:val="20"/>
                <w:color w:val="auto"/>
              </w:rPr>
            </w:pPr>
            <w:r>
              <w:rPr>
                <w:rFonts w:ascii="Arial" w:cs="Arial" w:eastAsia="Arial" w:hAnsi="Arial"/>
                <w:sz w:val="16"/>
                <w:szCs w:val="16"/>
                <w:b w:val="1"/>
                <w:bCs w:val="1"/>
                <w:color w:val="auto"/>
              </w:rPr>
              <w:t>RECONVENED MEETING DATE:</w:t>
            </w:r>
          </w:p>
        </w:tc>
        <w:tc>
          <w:tcPr>
            <w:tcW w:w="7840" w:type="dxa"/>
            <w:vAlign w:val="bottom"/>
            <w:gridSpan w:val="3"/>
            <w:shd w:val="clear" w:color="auto" w:fill="E8F0F8"/>
          </w:tcPr>
          <w:p>
            <w:pPr>
              <w:ind w:left="460"/>
              <w:spacing w:after="0"/>
              <w:rPr>
                <w:sz w:val="20"/>
                <w:szCs w:val="20"/>
                <w:color w:val="auto"/>
              </w:rPr>
            </w:pPr>
            <w:r>
              <w:rPr>
                <w:rFonts w:ascii="Arial" w:cs="Arial" w:eastAsia="Arial" w:hAnsi="Arial"/>
                <w:sz w:val="16"/>
                <w:szCs w:val="16"/>
                <w:color w:val="auto"/>
              </w:rPr>
              <w:t>Monday, June 26, 2023</w:t>
            </w:r>
          </w:p>
        </w:tc>
        <w:tc>
          <w:tcPr>
            <w:tcW w:w="120" w:type="dxa"/>
            <w:vAlign w:val="bottom"/>
            <w:tcBorders>
              <w:right w:val="single" w:sz="8" w:color="auto"/>
            </w:tcBorders>
            <w:shd w:val="clear" w:color="auto" w:fill="E8F0F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shd w:val="clear" w:color="auto" w:fill="E8F0F8"/>
          </w:tcPr>
          <w:p>
            <w:pPr>
              <w:spacing w:after="0"/>
              <w:rPr>
                <w:sz w:val="16"/>
                <w:szCs w:val="16"/>
                <w:color w:val="auto"/>
              </w:rPr>
            </w:pPr>
          </w:p>
        </w:tc>
        <w:tc>
          <w:tcPr>
            <w:tcW w:w="2960" w:type="dxa"/>
            <w:vAlign w:val="bottom"/>
            <w:shd w:val="clear" w:color="auto" w:fill="E8F0F8"/>
          </w:tcPr>
          <w:p>
            <w:pPr>
              <w:ind w:left="60"/>
              <w:spacing w:after="0"/>
              <w:rPr>
                <w:sz w:val="20"/>
                <w:szCs w:val="20"/>
                <w:color w:val="auto"/>
              </w:rPr>
            </w:pPr>
            <w:r>
              <w:rPr>
                <w:rFonts w:ascii="Arial" w:cs="Arial" w:eastAsia="Arial" w:hAnsi="Arial"/>
                <w:sz w:val="16"/>
                <w:szCs w:val="16"/>
                <w:b w:val="1"/>
                <w:bCs w:val="1"/>
                <w:color w:val="auto"/>
              </w:rPr>
              <w:t>TIME:</w:t>
            </w:r>
          </w:p>
        </w:tc>
        <w:tc>
          <w:tcPr>
            <w:tcW w:w="7840" w:type="dxa"/>
            <w:vAlign w:val="bottom"/>
            <w:gridSpan w:val="3"/>
            <w:shd w:val="clear" w:color="auto" w:fill="E8F0F8"/>
          </w:tcPr>
          <w:p>
            <w:pPr>
              <w:ind w:left="460"/>
              <w:spacing w:after="0"/>
              <w:rPr>
                <w:sz w:val="20"/>
                <w:szCs w:val="20"/>
                <w:color w:val="auto"/>
              </w:rPr>
            </w:pPr>
            <w:r>
              <w:rPr>
                <w:rFonts w:ascii="Arial" w:cs="Arial" w:eastAsia="Arial" w:hAnsi="Arial"/>
                <w:sz w:val="16"/>
                <w:szCs w:val="16"/>
                <w:color w:val="auto"/>
              </w:rPr>
              <w:t>9:00 a.m. Eastern Time</w:t>
            </w:r>
          </w:p>
        </w:tc>
        <w:tc>
          <w:tcPr>
            <w:tcW w:w="120" w:type="dxa"/>
            <w:vAlign w:val="bottom"/>
            <w:tcBorders>
              <w:right w:val="single" w:sz="8" w:color="auto"/>
            </w:tcBorders>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Borders>
              <w:left w:val="single" w:sz="8" w:color="auto"/>
            </w:tcBorders>
            <w:shd w:val="clear" w:color="auto" w:fill="E8F0F8"/>
          </w:tcPr>
          <w:p>
            <w:pPr>
              <w:spacing w:after="0"/>
              <w:rPr>
                <w:sz w:val="14"/>
                <w:szCs w:val="14"/>
                <w:color w:val="auto"/>
              </w:rPr>
            </w:pPr>
          </w:p>
        </w:tc>
        <w:tc>
          <w:tcPr>
            <w:tcW w:w="2960" w:type="dxa"/>
            <w:vAlign w:val="bottom"/>
            <w:shd w:val="clear" w:color="auto" w:fill="E8F0F8"/>
          </w:tcPr>
          <w:p>
            <w:pPr>
              <w:ind w:left="60"/>
              <w:spacing w:after="0" w:line="147" w:lineRule="exact"/>
              <w:rPr>
                <w:sz w:val="20"/>
                <w:szCs w:val="20"/>
                <w:color w:val="auto"/>
              </w:rPr>
            </w:pPr>
            <w:r>
              <w:rPr>
                <w:rFonts w:ascii="Arial" w:cs="Arial" w:eastAsia="Arial" w:hAnsi="Arial"/>
                <w:sz w:val="16"/>
                <w:szCs w:val="16"/>
                <w:b w:val="1"/>
                <w:bCs w:val="1"/>
                <w:color w:val="auto"/>
              </w:rPr>
              <w:t>LOCATION:</w:t>
            </w:r>
          </w:p>
        </w:tc>
        <w:tc>
          <w:tcPr>
            <w:tcW w:w="7840" w:type="dxa"/>
            <w:vAlign w:val="bottom"/>
            <w:gridSpan w:val="3"/>
            <w:shd w:val="clear" w:color="auto" w:fill="E8F0F8"/>
          </w:tcPr>
          <w:p>
            <w:pPr>
              <w:ind w:left="460"/>
              <w:spacing w:after="0" w:line="147" w:lineRule="exact"/>
              <w:rPr>
                <w:sz w:val="20"/>
                <w:szCs w:val="20"/>
                <w:color w:val="auto"/>
              </w:rPr>
            </w:pPr>
            <w:r>
              <w:rPr>
                <w:rFonts w:ascii="Arial" w:cs="Arial" w:eastAsia="Arial" w:hAnsi="Arial"/>
                <w:sz w:val="14"/>
                <w:szCs w:val="14"/>
                <w:color w:val="auto"/>
              </w:rPr>
              <w:t>Online only at www.virtualshareholdermeeting.com/BIIB2023</w:t>
            </w:r>
          </w:p>
        </w:tc>
        <w:tc>
          <w:tcPr>
            <w:tcW w:w="120" w:type="dxa"/>
            <w:vAlign w:val="bottom"/>
            <w:tcBorders>
              <w:right w:val="single" w:sz="8" w:color="auto"/>
            </w:tcBorders>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shd w:val="clear" w:color="auto" w:fill="E8F0F8"/>
          </w:tcPr>
          <w:p>
            <w:pPr>
              <w:spacing w:after="0" w:line="20" w:lineRule="exact"/>
              <w:rPr>
                <w:sz w:val="1"/>
                <w:szCs w:val="1"/>
                <w:color w:val="auto"/>
              </w:rPr>
            </w:pPr>
          </w:p>
        </w:tc>
        <w:tc>
          <w:tcPr>
            <w:tcW w:w="2960" w:type="dxa"/>
            <w:vAlign w:val="bottom"/>
            <w:shd w:val="clear" w:color="auto" w:fill="E8F0F8"/>
          </w:tcPr>
          <w:p>
            <w:pPr>
              <w:spacing w:after="0" w:line="20" w:lineRule="exact"/>
              <w:rPr>
                <w:sz w:val="1"/>
                <w:szCs w:val="1"/>
                <w:color w:val="auto"/>
              </w:rPr>
            </w:pPr>
          </w:p>
        </w:tc>
        <w:tc>
          <w:tcPr>
            <w:tcW w:w="1380" w:type="dxa"/>
            <w:vAlign w:val="bottom"/>
            <w:shd w:val="clear" w:color="auto" w:fill="E8F0F8"/>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520" w:type="dxa"/>
            <w:vAlign w:val="bottom"/>
            <w:shd w:val="clear" w:color="auto" w:fill="E8F0F8"/>
          </w:tcPr>
          <w:p>
            <w:pPr>
              <w:spacing w:after="0" w:line="20" w:lineRule="exact"/>
              <w:rPr>
                <w:sz w:val="1"/>
                <w:szCs w:val="1"/>
                <w:color w:val="auto"/>
              </w:rPr>
            </w:pPr>
          </w:p>
        </w:tc>
        <w:tc>
          <w:tcPr>
            <w:tcW w:w="120" w:type="dxa"/>
            <w:vAlign w:val="bottom"/>
            <w:tcBorders>
              <w:right w:val="single" w:sz="8" w:color="auto"/>
            </w:tcBorders>
            <w:shd w:val="clear" w:color="auto" w:fill="E8F0F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00" w:type="dxa"/>
            <w:vAlign w:val="bottom"/>
            <w:tcBorders>
              <w:left w:val="single" w:sz="8" w:color="auto"/>
            </w:tcBorders>
            <w:shd w:val="clear" w:color="auto" w:fill="E8F0F8"/>
          </w:tcPr>
          <w:p>
            <w:pPr>
              <w:spacing w:after="0"/>
              <w:rPr>
                <w:sz w:val="24"/>
                <w:szCs w:val="24"/>
                <w:color w:val="auto"/>
              </w:rPr>
            </w:pPr>
          </w:p>
        </w:tc>
        <w:tc>
          <w:tcPr>
            <w:tcW w:w="2960" w:type="dxa"/>
            <w:vAlign w:val="bottom"/>
            <w:vMerge w:val="restart"/>
            <w:shd w:val="clear" w:color="auto" w:fill="E8F0F8"/>
          </w:tcPr>
          <w:p>
            <w:pPr>
              <w:ind w:left="60"/>
              <w:spacing w:after="0"/>
              <w:rPr>
                <w:sz w:val="20"/>
                <w:szCs w:val="20"/>
                <w:color w:val="auto"/>
              </w:rPr>
            </w:pPr>
            <w:r>
              <w:rPr>
                <w:rFonts w:ascii="Arial" w:cs="Arial" w:eastAsia="Arial" w:hAnsi="Arial"/>
                <w:sz w:val="16"/>
                <w:szCs w:val="16"/>
                <w:b w:val="1"/>
                <w:bCs w:val="1"/>
                <w:color w:val="auto"/>
              </w:rPr>
              <w:t>RECORD DATE:</w:t>
            </w:r>
          </w:p>
        </w:tc>
        <w:tc>
          <w:tcPr>
            <w:tcW w:w="7840" w:type="dxa"/>
            <w:vAlign w:val="bottom"/>
            <w:gridSpan w:val="3"/>
            <w:shd w:val="clear" w:color="auto" w:fill="E8F0F8"/>
          </w:tcPr>
          <w:p>
            <w:pPr>
              <w:ind w:left="460"/>
              <w:spacing w:after="0"/>
              <w:rPr>
                <w:sz w:val="20"/>
                <w:szCs w:val="20"/>
                <w:color w:val="auto"/>
              </w:rPr>
            </w:pPr>
            <w:r>
              <w:rPr>
                <w:rFonts w:ascii="Arial" w:cs="Arial" w:eastAsia="Arial" w:hAnsi="Arial"/>
                <w:sz w:val="16"/>
                <w:szCs w:val="16"/>
                <w:b w:val="1"/>
                <w:bCs w:val="1"/>
                <w:color w:val="auto"/>
              </w:rPr>
              <w:t>You will not be able to attend the annual meeting in person.</w:t>
            </w:r>
          </w:p>
        </w:tc>
        <w:tc>
          <w:tcPr>
            <w:tcW w:w="120" w:type="dxa"/>
            <w:vAlign w:val="bottom"/>
            <w:tcBorders>
              <w:right w:val="single" w:sz="8" w:color="auto"/>
            </w:tcBorders>
            <w:shd w:val="clear" w:color="auto" w:fill="E8F0F8"/>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Borders>
              <w:left w:val="single" w:sz="8" w:color="auto"/>
            </w:tcBorders>
            <w:shd w:val="clear" w:color="auto" w:fill="E8F0F8"/>
          </w:tcPr>
          <w:p>
            <w:pPr>
              <w:spacing w:after="0"/>
              <w:rPr>
                <w:sz w:val="19"/>
                <w:szCs w:val="19"/>
                <w:color w:val="auto"/>
              </w:rPr>
            </w:pPr>
          </w:p>
        </w:tc>
        <w:tc>
          <w:tcPr>
            <w:tcW w:w="2960" w:type="dxa"/>
            <w:vAlign w:val="bottom"/>
            <w:vMerge w:val="continue"/>
            <w:shd w:val="clear" w:color="auto" w:fill="E8F0F8"/>
          </w:tcPr>
          <w:p>
            <w:pPr>
              <w:spacing w:after="0"/>
              <w:rPr>
                <w:sz w:val="19"/>
                <w:szCs w:val="19"/>
                <w:color w:val="auto"/>
              </w:rPr>
            </w:pPr>
          </w:p>
        </w:tc>
        <w:tc>
          <w:tcPr>
            <w:tcW w:w="7840" w:type="dxa"/>
            <w:vAlign w:val="bottom"/>
            <w:gridSpan w:val="3"/>
            <w:shd w:val="clear" w:color="auto" w:fill="E8F0F8"/>
          </w:tcPr>
          <w:p>
            <w:pPr>
              <w:ind w:left="460"/>
              <w:spacing w:after="0"/>
              <w:rPr>
                <w:sz w:val="20"/>
                <w:szCs w:val="20"/>
                <w:color w:val="auto"/>
              </w:rPr>
            </w:pPr>
            <w:r>
              <w:rPr>
                <w:rFonts w:ascii="Arial" w:cs="Arial" w:eastAsia="Arial" w:hAnsi="Arial"/>
                <w:sz w:val="16"/>
                <w:szCs w:val="16"/>
                <w:color w:val="auto"/>
              </w:rPr>
              <w:t>April 20, 2023</w:t>
            </w:r>
          </w:p>
        </w:tc>
        <w:tc>
          <w:tcPr>
            <w:tcW w:w="120" w:type="dxa"/>
            <w:vAlign w:val="bottom"/>
            <w:tcBorders>
              <w:right w:val="single" w:sz="8" w:color="auto"/>
            </w:tcBorders>
            <w:shd w:val="clear" w:color="auto" w:fill="E8F0F8"/>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0" w:type="dxa"/>
            <w:vAlign w:val="bottom"/>
            <w:tcBorders>
              <w:left w:val="single" w:sz="8" w:color="auto"/>
              <w:bottom w:val="single" w:sz="8" w:color="auto"/>
            </w:tcBorders>
            <w:shd w:val="clear" w:color="auto" w:fill="E8F0F8"/>
          </w:tcPr>
          <w:p>
            <w:pPr>
              <w:spacing w:after="0"/>
              <w:rPr>
                <w:sz w:val="10"/>
                <w:szCs w:val="10"/>
                <w:color w:val="auto"/>
              </w:rPr>
            </w:pPr>
          </w:p>
        </w:tc>
        <w:tc>
          <w:tcPr>
            <w:tcW w:w="2960" w:type="dxa"/>
            <w:vAlign w:val="bottom"/>
            <w:tcBorders>
              <w:bottom w:val="single" w:sz="8" w:color="auto"/>
            </w:tcBorders>
            <w:shd w:val="clear" w:color="auto" w:fill="E8F0F8"/>
          </w:tcPr>
          <w:p>
            <w:pPr>
              <w:spacing w:after="0"/>
              <w:rPr>
                <w:sz w:val="10"/>
                <w:szCs w:val="10"/>
                <w:color w:val="auto"/>
              </w:rPr>
            </w:pPr>
          </w:p>
        </w:tc>
        <w:tc>
          <w:tcPr>
            <w:tcW w:w="1380" w:type="dxa"/>
            <w:vAlign w:val="bottom"/>
            <w:tcBorders>
              <w:bottom w:val="single" w:sz="8" w:color="auto"/>
            </w:tcBorders>
            <w:shd w:val="clear" w:color="auto" w:fill="E8F0F8"/>
          </w:tcPr>
          <w:p>
            <w:pPr>
              <w:spacing w:after="0"/>
              <w:rPr>
                <w:sz w:val="10"/>
                <w:szCs w:val="10"/>
                <w:color w:val="auto"/>
              </w:rPr>
            </w:pPr>
          </w:p>
        </w:tc>
        <w:tc>
          <w:tcPr>
            <w:tcW w:w="2940" w:type="dxa"/>
            <w:vAlign w:val="bottom"/>
            <w:tcBorders>
              <w:bottom w:val="single" w:sz="8" w:color="auto"/>
            </w:tcBorders>
            <w:shd w:val="clear" w:color="auto" w:fill="E8F0F8"/>
          </w:tcPr>
          <w:p>
            <w:pPr>
              <w:spacing w:after="0"/>
              <w:rPr>
                <w:sz w:val="10"/>
                <w:szCs w:val="10"/>
                <w:color w:val="auto"/>
              </w:rPr>
            </w:pPr>
          </w:p>
        </w:tc>
        <w:tc>
          <w:tcPr>
            <w:tcW w:w="3520" w:type="dxa"/>
            <w:vAlign w:val="bottom"/>
            <w:tcBorders>
              <w:bottom w:val="single" w:sz="8" w:color="auto"/>
            </w:tcBorders>
            <w:shd w:val="clear" w:color="auto" w:fill="E8F0F8"/>
          </w:tcPr>
          <w:p>
            <w:pPr>
              <w:spacing w:after="0"/>
              <w:rPr>
                <w:sz w:val="10"/>
                <w:szCs w:val="10"/>
                <w:color w:val="auto"/>
              </w:rPr>
            </w:pPr>
          </w:p>
        </w:tc>
        <w:tc>
          <w:tcPr>
            <w:tcW w:w="120" w:type="dxa"/>
            <w:vAlign w:val="bottom"/>
            <w:tcBorders>
              <w:bottom w:val="single" w:sz="8" w:color="auto"/>
              <w:right w:val="single" w:sz="8" w:color="auto"/>
            </w:tcBorders>
            <w:shd w:val="clear" w:color="auto" w:fill="E8F0F8"/>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amendment no. 1 (this “Revised Proxy”) is an amendment to the proxy statement we previously filed with the Securities and Exchange Commission on April 28, 2023 (the “Proxy Statement”) for the 2023 annual meeting of stockholders (the “Annual Meeting”) of Biogen Inc. (the “Company”). This Revised Proxy is being provided to our stockholders to revise our slate of nominees for election to the Board of Directors (the “Board”) at the Annual Meeting by removing Alexander J. Denner, Ph.D., William D. Jones, and Richard C. Mulligan, Ph.D., as director nominees, and adding a new proposal to elect Susan K. Langer as a director.</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For those stockholders who had not previously requested paper proxy materials, and in lieu of paper proxy materials, we mailed a Notice of Internet Availability of Proxy Materials containing instructions on how to access the Proxy Statement and our annual report online and how to vote online. This Revised Proxy is mailed to our stockholders of record as of April 20, 2023, the record date for the Annual Meeting, and will also be made available on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An amended proxy card is also being mailed together with this Revised Proxy.</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Except as supplemented or amended by the information contained in this Revised Proxy, all information set forth in the Proxy Statement remains unchanged. We urge you to read this Revised Proxy carefully in its entirety together with the Proxy Statement.</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The amended proxy card enclosed with this Revised Proxy differs from the original proxy card previously furnished to you in that the amended proxy card includes the election of Susan K. Langer as a nominee for director and no longer includes Alexander J. Denner, Ph.D., William D. Jones and Richard C. Mulligan, Ph.D., as nominees. If you have already voted, we encourage you to resubmit your vote on all proposals by submitting the amended proxy card with this Revised Proxy or by submitting a proxy by telephone or through the Internet by following the procedures on your amended proxy card or as previously provided to you on your Notice of Internet Availability of Proxy Materials. However, if you return, or have returned, an original proxy card, your proxy will remain valid for all of the other proposals but will not be counted in the election of Ms. Langer because she is not listed as a nominee on the original proxy card.</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PLEASE NOTE THAT IF YOU SUBMIT A NEW PROXY CARD IT WILL REVOKE ALL PRIOR PROXY CARDS, SO IT IS IMPORTANT TO INDICATE YOUR VOTE ON EACH PROPOSAL ON THE NEW PROXY CARD.</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Proxy Statement is hereby amended to remove Alexander J. Denner, Ph.D., William D. Jones, and Richard C. Mulligan, Ph.D., as director nominees in Proposal 1. The other nominees under Proposal 1 remain unchanged. In addition, a new Proposal 5 has been added to elect Susan K. Langer as a director for a term expiring at the 2024 annual meeting of stockholders and until her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79375</wp:posOffset>
            </wp:positionV>
            <wp:extent cx="41973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pacing w:after="0" w:line="146" w:lineRule="exact"/>
        <w:rPr>
          <w:sz w:val="20"/>
          <w:szCs w:val="20"/>
          <w:color w:val="auto"/>
        </w:rPr>
      </w:pPr>
    </w:p>
    <w:p>
      <w:pPr>
        <w:ind w:left="8980"/>
        <w:spacing w:after="0"/>
        <w:rPr>
          <w:sz w:val="20"/>
          <w:szCs w:val="20"/>
          <w:color w:val="auto"/>
        </w:rPr>
      </w:pPr>
      <w:r>
        <w:rPr>
          <w:rFonts w:ascii="Arial" w:cs="Arial" w:eastAsia="Arial" w:hAnsi="Arial"/>
          <w:sz w:val="18"/>
          <w:szCs w:val="18"/>
          <w:color w:val="1A6DBB"/>
        </w:rPr>
        <w:t>2023 Proxy Statement -i-</w:t>
      </w:r>
    </w:p>
    <w:p>
      <w:pPr>
        <w:sectPr>
          <w:pgSz w:w="11900" w:h="16838" w:orient="portrait"/>
          <w:cols w:equalWidth="0" w:num="1">
            <w:col w:w="11020"/>
          </w:cols>
          <w:pgMar w:left="440" w:top="585" w:right="439" w:bottom="1440" w:gutter="0" w:footer="0" w:header="0"/>
        </w:sectPr>
      </w:pPr>
    </w:p>
    <w:bookmarkStart w:id="6" w:name="page7"/>
    <w:bookmarkEnd w:id="6"/>
    <w:p>
      <w:pPr>
        <w:ind w:left="4"/>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You are being asked to vote on the election of 8 nominees for director as set forth in this Revised Proxy. All directors are elected annually by the affirmative vote of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85800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FFFFFF"/>
        </w:rPr>
        <w:t>Nominees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-145415</wp:posOffset>
            </wp:positionV>
            <wp:extent cx="692658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3600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202"/>
        </w:trPr>
        <w:tc>
          <w:tcPr>
            <w:tcW w:w="2340" w:type="dxa"/>
            <w:vAlign w:val="bottom"/>
            <w:shd w:val="clear" w:color="auto" w:fill="1A6DBB"/>
          </w:tcPr>
          <w:p>
            <w:pPr>
              <w:spacing w:after="0"/>
              <w:rPr>
                <w:sz w:val="17"/>
                <w:szCs w:val="17"/>
                <w:color w:val="auto"/>
              </w:rPr>
            </w:pPr>
          </w:p>
        </w:tc>
        <w:tc>
          <w:tcPr>
            <w:tcW w:w="910" w:type="dxa"/>
            <w:vAlign w:val="bottom"/>
            <w:shd w:val="clear" w:color="auto" w:fill="1A6DBB"/>
          </w:tcPr>
          <w:p>
            <w:pPr>
              <w:spacing w:after="0"/>
              <w:rPr>
                <w:sz w:val="17"/>
                <w:szCs w:val="17"/>
                <w:color w:val="auto"/>
              </w:rPr>
            </w:pPr>
          </w:p>
        </w:tc>
        <w:tc>
          <w:tcPr>
            <w:tcW w:w="1410" w:type="dxa"/>
            <w:vAlign w:val="bottom"/>
            <w:shd w:val="clear" w:color="auto" w:fill="1A6DBB"/>
          </w:tcPr>
          <w:p>
            <w:pPr>
              <w:spacing w:after="0"/>
              <w:rPr>
                <w:sz w:val="17"/>
                <w:szCs w:val="17"/>
                <w:color w:val="auto"/>
              </w:rPr>
            </w:pPr>
          </w:p>
        </w:tc>
        <w:tc>
          <w:tcPr>
            <w:tcW w:w="1260" w:type="dxa"/>
            <w:vAlign w:val="bottom"/>
            <w:shd w:val="clear" w:color="auto" w:fill="1A6DBB"/>
          </w:tcPr>
          <w:p>
            <w:pPr>
              <w:spacing w:after="0"/>
              <w:rPr>
                <w:sz w:val="17"/>
                <w:szCs w:val="17"/>
                <w:color w:val="auto"/>
              </w:rPr>
            </w:pPr>
          </w:p>
        </w:tc>
        <w:tc>
          <w:tcPr>
            <w:tcW w:w="4180" w:type="dxa"/>
            <w:vAlign w:val="bottom"/>
            <w:gridSpan w:val="2"/>
            <w:shd w:val="clear" w:color="auto" w:fill="1A6DBB"/>
          </w:tcPr>
          <w:p>
            <w:pPr>
              <w:ind w:left="1300"/>
              <w:spacing w:after="0"/>
              <w:rPr>
                <w:sz w:val="20"/>
                <w:szCs w:val="20"/>
                <w:color w:val="auto"/>
              </w:rPr>
            </w:pPr>
            <w:r>
              <w:rPr>
                <w:rFonts w:ascii="Arial" w:cs="Arial" w:eastAsia="Arial" w:hAnsi="Arial"/>
                <w:sz w:val="14"/>
                <w:szCs w:val="14"/>
                <w:color w:val="FFFFFF"/>
              </w:rPr>
              <w:t>Committee Memberships*</w:t>
            </w:r>
          </w:p>
        </w:tc>
        <w:tc>
          <w:tcPr>
            <w:tcW w:w="920" w:type="dxa"/>
            <w:vAlign w:val="bottom"/>
            <w:shd w:val="clear" w:color="auto" w:fill="1A6DBB"/>
          </w:tcPr>
          <w:p>
            <w:pPr>
              <w:spacing w:after="0"/>
              <w:rPr>
                <w:sz w:val="17"/>
                <w:szCs w:val="17"/>
                <w:color w:val="auto"/>
              </w:rPr>
            </w:pPr>
          </w:p>
        </w:tc>
      </w:tr>
      <w:tr>
        <w:trPr>
          <w:trHeight w:val="171"/>
        </w:trPr>
        <w:tc>
          <w:tcPr>
            <w:tcW w:w="2340" w:type="dxa"/>
            <w:vAlign w:val="bottom"/>
            <w:shd w:val="clear" w:color="auto" w:fill="1A6DBB"/>
          </w:tcPr>
          <w:p>
            <w:pPr>
              <w:spacing w:after="0"/>
              <w:rPr>
                <w:sz w:val="14"/>
                <w:szCs w:val="14"/>
                <w:color w:val="auto"/>
              </w:rPr>
            </w:pPr>
          </w:p>
        </w:tc>
        <w:tc>
          <w:tcPr>
            <w:tcW w:w="910" w:type="dxa"/>
            <w:vAlign w:val="bottom"/>
            <w:shd w:val="clear" w:color="auto" w:fill="1A6DBB"/>
          </w:tcPr>
          <w:p>
            <w:pPr>
              <w:spacing w:after="0"/>
              <w:rPr>
                <w:sz w:val="14"/>
                <w:szCs w:val="14"/>
                <w:color w:val="auto"/>
              </w:rPr>
            </w:pPr>
          </w:p>
        </w:tc>
        <w:tc>
          <w:tcPr>
            <w:tcW w:w="1410" w:type="dxa"/>
            <w:vAlign w:val="bottom"/>
            <w:shd w:val="clear" w:color="auto" w:fill="1A6DBB"/>
          </w:tcPr>
          <w:p>
            <w:pPr>
              <w:spacing w:after="0"/>
              <w:rPr>
                <w:sz w:val="14"/>
                <w:szCs w:val="14"/>
                <w:color w:val="auto"/>
              </w:rPr>
            </w:pPr>
          </w:p>
        </w:tc>
        <w:tc>
          <w:tcPr>
            <w:tcW w:w="1260" w:type="dxa"/>
            <w:vAlign w:val="bottom"/>
            <w:shd w:val="clear" w:color="auto" w:fill="1A6DBB"/>
          </w:tcPr>
          <w:p>
            <w:pPr>
              <w:spacing w:after="0"/>
              <w:rPr>
                <w:sz w:val="14"/>
                <w:szCs w:val="14"/>
                <w:color w:val="auto"/>
              </w:rPr>
            </w:pPr>
          </w:p>
        </w:tc>
        <w:tc>
          <w:tcPr>
            <w:tcW w:w="1980" w:type="dxa"/>
            <w:vAlign w:val="bottom"/>
            <w:shd w:val="clear" w:color="auto" w:fill="1A6DBB"/>
          </w:tcPr>
          <w:p>
            <w:pPr>
              <w:jc w:val="center"/>
              <w:ind w:right="88"/>
              <w:spacing w:after="0"/>
              <w:rPr>
                <w:sz w:val="20"/>
                <w:szCs w:val="20"/>
                <w:color w:val="auto"/>
              </w:rPr>
            </w:pPr>
            <w:r>
              <w:rPr>
                <w:rFonts w:ascii="Arial" w:cs="Arial" w:eastAsia="Arial" w:hAnsi="Arial"/>
                <w:sz w:val="14"/>
                <w:szCs w:val="14"/>
                <w:color w:val="FFFFFF"/>
              </w:rPr>
              <w:t>Compensation and</w:t>
            </w:r>
          </w:p>
        </w:tc>
        <w:tc>
          <w:tcPr>
            <w:tcW w:w="2200" w:type="dxa"/>
            <w:vAlign w:val="bottom"/>
            <w:shd w:val="clear" w:color="auto" w:fill="1A6DBB"/>
          </w:tcPr>
          <w:p>
            <w:pPr>
              <w:spacing w:after="0"/>
              <w:rPr>
                <w:sz w:val="14"/>
                <w:szCs w:val="14"/>
                <w:color w:val="auto"/>
              </w:rPr>
            </w:pPr>
          </w:p>
        </w:tc>
        <w:tc>
          <w:tcPr>
            <w:tcW w:w="920" w:type="dxa"/>
            <w:vAlign w:val="bottom"/>
            <w:shd w:val="clear" w:color="auto" w:fill="1A6DBB"/>
          </w:tcPr>
          <w:p>
            <w:pPr>
              <w:jc w:val="center"/>
              <w:ind w:left="48"/>
              <w:spacing w:after="0"/>
              <w:rPr>
                <w:sz w:val="20"/>
                <w:szCs w:val="20"/>
                <w:color w:val="auto"/>
              </w:rPr>
            </w:pPr>
            <w:r>
              <w:rPr>
                <w:rFonts w:ascii="Arial" w:cs="Arial" w:eastAsia="Arial" w:hAnsi="Arial"/>
                <w:sz w:val="14"/>
                <w:szCs w:val="14"/>
                <w:color w:val="FFFFFF"/>
              </w:rPr>
              <w:t>Other</w:t>
            </w:r>
          </w:p>
        </w:tc>
      </w:tr>
      <w:tr>
        <w:trPr>
          <w:trHeight w:val="162"/>
        </w:trPr>
        <w:tc>
          <w:tcPr>
            <w:tcW w:w="2340" w:type="dxa"/>
            <w:vAlign w:val="bottom"/>
            <w:shd w:val="clear" w:color="auto" w:fill="1A6DBB"/>
          </w:tcPr>
          <w:p>
            <w:pPr>
              <w:spacing w:after="0"/>
              <w:rPr>
                <w:sz w:val="14"/>
                <w:szCs w:val="14"/>
                <w:color w:val="auto"/>
              </w:rPr>
            </w:pPr>
          </w:p>
        </w:tc>
        <w:tc>
          <w:tcPr>
            <w:tcW w:w="910" w:type="dxa"/>
            <w:vAlign w:val="bottom"/>
            <w:shd w:val="clear" w:color="auto" w:fill="1A6DBB"/>
          </w:tcPr>
          <w:p>
            <w:pPr>
              <w:spacing w:after="0"/>
              <w:rPr>
                <w:sz w:val="14"/>
                <w:szCs w:val="14"/>
                <w:color w:val="auto"/>
              </w:rPr>
            </w:pPr>
          </w:p>
        </w:tc>
        <w:tc>
          <w:tcPr>
            <w:tcW w:w="1410" w:type="dxa"/>
            <w:vAlign w:val="bottom"/>
            <w:shd w:val="clear" w:color="auto" w:fill="1A6DBB"/>
          </w:tcPr>
          <w:p>
            <w:pPr>
              <w:spacing w:after="0"/>
              <w:rPr>
                <w:sz w:val="14"/>
                <w:szCs w:val="14"/>
                <w:color w:val="auto"/>
              </w:rPr>
            </w:pPr>
          </w:p>
        </w:tc>
        <w:tc>
          <w:tcPr>
            <w:tcW w:w="1260" w:type="dxa"/>
            <w:vAlign w:val="bottom"/>
            <w:shd w:val="clear" w:color="auto" w:fill="1A6DBB"/>
          </w:tcPr>
          <w:p>
            <w:pPr>
              <w:jc w:val="center"/>
              <w:ind w:right="8"/>
              <w:spacing w:after="0"/>
              <w:rPr>
                <w:sz w:val="20"/>
                <w:szCs w:val="20"/>
                <w:color w:val="auto"/>
              </w:rPr>
            </w:pPr>
            <w:r>
              <w:rPr>
                <w:rFonts w:ascii="Arial" w:cs="Arial" w:eastAsia="Arial" w:hAnsi="Arial"/>
                <w:sz w:val="14"/>
                <w:szCs w:val="14"/>
                <w:color w:val="FFFFFF"/>
              </w:rPr>
              <w:t>Audit</w:t>
            </w:r>
          </w:p>
        </w:tc>
        <w:tc>
          <w:tcPr>
            <w:tcW w:w="1980" w:type="dxa"/>
            <w:vAlign w:val="bottom"/>
            <w:shd w:val="clear" w:color="auto" w:fill="1A6DBB"/>
          </w:tcPr>
          <w:p>
            <w:pPr>
              <w:jc w:val="center"/>
              <w:ind w:right="68"/>
              <w:spacing w:after="0"/>
              <w:rPr>
                <w:sz w:val="20"/>
                <w:szCs w:val="20"/>
                <w:color w:val="auto"/>
              </w:rPr>
            </w:pPr>
            <w:r>
              <w:rPr>
                <w:rFonts w:ascii="Arial" w:cs="Arial" w:eastAsia="Arial" w:hAnsi="Arial"/>
                <w:sz w:val="14"/>
                <w:szCs w:val="14"/>
                <w:color w:val="FFFFFF"/>
              </w:rPr>
              <w:t>Management</w:t>
            </w:r>
          </w:p>
        </w:tc>
        <w:tc>
          <w:tcPr>
            <w:tcW w:w="2200" w:type="dxa"/>
            <w:vAlign w:val="bottom"/>
            <w:shd w:val="clear" w:color="auto" w:fill="1A6DBB"/>
          </w:tcPr>
          <w:p>
            <w:pPr>
              <w:jc w:val="center"/>
              <w:ind w:left="108"/>
              <w:spacing w:after="0"/>
              <w:rPr>
                <w:sz w:val="20"/>
                <w:szCs w:val="20"/>
                <w:color w:val="auto"/>
              </w:rPr>
            </w:pPr>
            <w:r>
              <w:rPr>
                <w:rFonts w:ascii="Arial" w:cs="Arial" w:eastAsia="Arial" w:hAnsi="Arial"/>
                <w:sz w:val="14"/>
                <w:szCs w:val="14"/>
                <w:color w:val="FFFFFF"/>
              </w:rPr>
              <w:t>Corporate Governance</w:t>
            </w:r>
          </w:p>
        </w:tc>
        <w:tc>
          <w:tcPr>
            <w:tcW w:w="920" w:type="dxa"/>
            <w:vAlign w:val="bottom"/>
            <w:shd w:val="clear" w:color="auto" w:fill="1A6DBB"/>
          </w:tcPr>
          <w:p>
            <w:pPr>
              <w:jc w:val="center"/>
              <w:ind w:left="48"/>
              <w:spacing w:after="0"/>
              <w:rPr>
                <w:sz w:val="20"/>
                <w:szCs w:val="20"/>
                <w:color w:val="auto"/>
              </w:rPr>
            </w:pPr>
            <w:r>
              <w:rPr>
                <w:rFonts w:ascii="Arial" w:cs="Arial" w:eastAsia="Arial" w:hAnsi="Arial"/>
                <w:sz w:val="14"/>
                <w:szCs w:val="14"/>
                <w:color w:val="FFFFFF"/>
              </w:rPr>
              <w:t>Public</w:t>
            </w:r>
          </w:p>
        </w:tc>
      </w:tr>
      <w:tr>
        <w:trPr>
          <w:trHeight w:val="182"/>
        </w:trPr>
        <w:tc>
          <w:tcPr>
            <w:tcW w:w="2340" w:type="dxa"/>
            <w:vAlign w:val="bottom"/>
            <w:shd w:val="clear" w:color="auto" w:fill="1A6DBB"/>
          </w:tcPr>
          <w:p>
            <w:pPr>
              <w:ind w:left="980"/>
              <w:spacing w:after="0"/>
              <w:rPr>
                <w:sz w:val="20"/>
                <w:szCs w:val="20"/>
                <w:color w:val="auto"/>
              </w:rPr>
            </w:pPr>
            <w:r>
              <w:rPr>
                <w:rFonts w:ascii="Arial" w:cs="Arial" w:eastAsia="Arial" w:hAnsi="Arial"/>
                <w:sz w:val="14"/>
                <w:szCs w:val="14"/>
                <w:color w:val="FFFFFF"/>
              </w:rPr>
              <w:t>Name</w:t>
            </w:r>
          </w:p>
        </w:tc>
        <w:tc>
          <w:tcPr>
            <w:tcW w:w="910" w:type="dxa"/>
            <w:vAlign w:val="bottom"/>
            <w:shd w:val="clear" w:color="auto" w:fill="1A6DBB"/>
          </w:tcPr>
          <w:p>
            <w:pPr>
              <w:jc w:val="center"/>
              <w:ind w:left="278"/>
              <w:spacing w:after="0"/>
              <w:rPr>
                <w:sz w:val="20"/>
                <w:szCs w:val="20"/>
                <w:color w:val="auto"/>
              </w:rPr>
            </w:pPr>
            <w:r>
              <w:rPr>
                <w:rFonts w:ascii="Arial" w:cs="Arial" w:eastAsia="Arial" w:hAnsi="Arial"/>
                <w:sz w:val="14"/>
                <w:szCs w:val="14"/>
                <w:color w:val="FFFFFF"/>
                <w:w w:val="98"/>
              </w:rPr>
              <w:t>Age*</w:t>
            </w:r>
          </w:p>
        </w:tc>
        <w:tc>
          <w:tcPr>
            <w:tcW w:w="1410" w:type="dxa"/>
            <w:vAlign w:val="bottom"/>
            <w:shd w:val="clear" w:color="auto" w:fill="1A6DBB"/>
          </w:tcPr>
          <w:p>
            <w:pPr>
              <w:jc w:val="center"/>
              <w:ind w:left="58"/>
              <w:spacing w:after="0"/>
              <w:rPr>
                <w:sz w:val="20"/>
                <w:szCs w:val="20"/>
                <w:color w:val="auto"/>
              </w:rPr>
            </w:pPr>
            <w:r>
              <w:rPr>
                <w:rFonts w:ascii="Arial" w:cs="Arial" w:eastAsia="Arial" w:hAnsi="Arial"/>
                <w:sz w:val="14"/>
                <w:szCs w:val="14"/>
                <w:color w:val="FFFFFF"/>
              </w:rPr>
              <w:t>Independent</w:t>
            </w:r>
          </w:p>
        </w:tc>
        <w:tc>
          <w:tcPr>
            <w:tcW w:w="1260" w:type="dxa"/>
            <w:vAlign w:val="bottom"/>
            <w:shd w:val="clear" w:color="auto" w:fill="1A6DBB"/>
          </w:tcPr>
          <w:p>
            <w:pPr>
              <w:jc w:val="center"/>
              <w:ind w:right="8"/>
              <w:spacing w:after="0"/>
              <w:rPr>
                <w:sz w:val="20"/>
                <w:szCs w:val="20"/>
                <w:color w:val="auto"/>
              </w:rPr>
            </w:pPr>
            <w:r>
              <w:rPr>
                <w:rFonts w:ascii="Arial" w:cs="Arial" w:eastAsia="Arial" w:hAnsi="Arial"/>
                <w:sz w:val="14"/>
                <w:szCs w:val="14"/>
                <w:color w:val="FFFFFF"/>
              </w:rPr>
              <w:t>Committee</w:t>
            </w:r>
          </w:p>
        </w:tc>
        <w:tc>
          <w:tcPr>
            <w:tcW w:w="1980" w:type="dxa"/>
            <w:vAlign w:val="bottom"/>
            <w:shd w:val="clear" w:color="auto" w:fill="1A6DBB"/>
          </w:tcPr>
          <w:p>
            <w:pPr>
              <w:jc w:val="center"/>
              <w:ind w:right="88"/>
              <w:spacing w:after="0"/>
              <w:rPr>
                <w:sz w:val="20"/>
                <w:szCs w:val="20"/>
                <w:color w:val="auto"/>
              </w:rPr>
            </w:pPr>
            <w:r>
              <w:rPr>
                <w:rFonts w:ascii="Arial" w:cs="Arial" w:eastAsia="Arial" w:hAnsi="Arial"/>
                <w:sz w:val="14"/>
                <w:szCs w:val="14"/>
                <w:color w:val="FFFFFF"/>
              </w:rPr>
              <w:t>Development</w:t>
            </w:r>
          </w:p>
        </w:tc>
        <w:tc>
          <w:tcPr>
            <w:tcW w:w="2200" w:type="dxa"/>
            <w:vAlign w:val="bottom"/>
            <w:shd w:val="clear" w:color="auto" w:fill="1A6DBB"/>
          </w:tcPr>
          <w:p>
            <w:pPr>
              <w:jc w:val="center"/>
              <w:ind w:left="88"/>
              <w:spacing w:after="0"/>
              <w:rPr>
                <w:sz w:val="20"/>
                <w:szCs w:val="20"/>
                <w:color w:val="auto"/>
              </w:rPr>
            </w:pPr>
            <w:r>
              <w:rPr>
                <w:rFonts w:ascii="Arial" w:cs="Arial" w:eastAsia="Arial" w:hAnsi="Arial"/>
                <w:sz w:val="14"/>
                <w:szCs w:val="14"/>
                <w:color w:val="FFFFFF"/>
              </w:rPr>
              <w:t>Committee</w:t>
            </w:r>
          </w:p>
        </w:tc>
        <w:tc>
          <w:tcPr>
            <w:tcW w:w="920" w:type="dxa"/>
            <w:vAlign w:val="bottom"/>
            <w:shd w:val="clear" w:color="auto" w:fill="1A6DBB"/>
          </w:tcPr>
          <w:p>
            <w:pPr>
              <w:jc w:val="center"/>
              <w:ind w:left="68"/>
              <w:spacing w:after="0"/>
              <w:rPr>
                <w:sz w:val="20"/>
                <w:szCs w:val="20"/>
                <w:color w:val="auto"/>
              </w:rPr>
            </w:pPr>
            <w:r>
              <w:rPr>
                <w:rFonts w:ascii="Arial" w:cs="Arial" w:eastAsia="Arial" w:hAnsi="Arial"/>
                <w:sz w:val="14"/>
                <w:szCs w:val="14"/>
                <w:color w:val="FFFFFF"/>
              </w:rPr>
              <w:t>Boards</w:t>
            </w:r>
          </w:p>
        </w:tc>
      </w:tr>
      <w:tr>
        <w:trPr>
          <w:trHeight w:val="66"/>
        </w:trPr>
        <w:tc>
          <w:tcPr>
            <w:tcW w:w="2340" w:type="dxa"/>
            <w:vAlign w:val="bottom"/>
            <w:shd w:val="clear" w:color="auto" w:fill="1A6DBB"/>
          </w:tcPr>
          <w:p>
            <w:pPr>
              <w:spacing w:after="0"/>
              <w:rPr>
                <w:sz w:val="5"/>
                <w:szCs w:val="5"/>
                <w:color w:val="auto"/>
              </w:rPr>
            </w:pPr>
          </w:p>
        </w:tc>
        <w:tc>
          <w:tcPr>
            <w:tcW w:w="910" w:type="dxa"/>
            <w:vAlign w:val="bottom"/>
            <w:shd w:val="clear" w:color="auto" w:fill="1A6DBB"/>
          </w:tcPr>
          <w:p>
            <w:pPr>
              <w:spacing w:after="0"/>
              <w:rPr>
                <w:sz w:val="5"/>
                <w:szCs w:val="5"/>
                <w:color w:val="auto"/>
              </w:rPr>
            </w:pPr>
          </w:p>
        </w:tc>
        <w:tc>
          <w:tcPr>
            <w:tcW w:w="1410" w:type="dxa"/>
            <w:vAlign w:val="bottom"/>
            <w:shd w:val="clear" w:color="auto" w:fill="1A6DBB"/>
          </w:tcPr>
          <w:p>
            <w:pPr>
              <w:spacing w:after="0"/>
              <w:rPr>
                <w:sz w:val="5"/>
                <w:szCs w:val="5"/>
                <w:color w:val="auto"/>
              </w:rPr>
            </w:pPr>
          </w:p>
        </w:tc>
        <w:tc>
          <w:tcPr>
            <w:tcW w:w="1260" w:type="dxa"/>
            <w:vAlign w:val="bottom"/>
            <w:shd w:val="clear" w:color="auto" w:fill="1A6DBB"/>
          </w:tcPr>
          <w:p>
            <w:pPr>
              <w:spacing w:after="0"/>
              <w:rPr>
                <w:sz w:val="5"/>
                <w:szCs w:val="5"/>
                <w:color w:val="auto"/>
              </w:rPr>
            </w:pPr>
          </w:p>
        </w:tc>
        <w:tc>
          <w:tcPr>
            <w:tcW w:w="1980" w:type="dxa"/>
            <w:vAlign w:val="bottom"/>
            <w:shd w:val="clear" w:color="auto" w:fill="1A6DBB"/>
          </w:tcPr>
          <w:p>
            <w:pPr>
              <w:spacing w:after="0"/>
              <w:rPr>
                <w:sz w:val="5"/>
                <w:szCs w:val="5"/>
                <w:color w:val="auto"/>
              </w:rPr>
            </w:pPr>
          </w:p>
        </w:tc>
        <w:tc>
          <w:tcPr>
            <w:tcW w:w="2200" w:type="dxa"/>
            <w:vAlign w:val="bottom"/>
            <w:shd w:val="clear" w:color="auto" w:fill="1A6DBB"/>
          </w:tcPr>
          <w:p>
            <w:pPr>
              <w:spacing w:after="0"/>
              <w:rPr>
                <w:sz w:val="5"/>
                <w:szCs w:val="5"/>
                <w:color w:val="auto"/>
              </w:rPr>
            </w:pPr>
          </w:p>
        </w:tc>
        <w:tc>
          <w:tcPr>
            <w:tcW w:w="920" w:type="dxa"/>
            <w:vAlign w:val="bottom"/>
            <w:shd w:val="clear" w:color="auto" w:fill="1A6DBB"/>
          </w:tcPr>
          <w:p>
            <w:pPr>
              <w:spacing w:after="0"/>
              <w:rPr>
                <w:sz w:val="5"/>
                <w:szCs w:val="5"/>
                <w:color w:val="auto"/>
              </w:rPr>
            </w:pPr>
          </w:p>
        </w:tc>
      </w:tr>
      <w:tr>
        <w:trPr>
          <w:trHeight w:val="255"/>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Caroline Dorsa**</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63</w:t>
            </w:r>
          </w:p>
        </w:tc>
        <w:tc>
          <w:tcPr>
            <w:tcW w:w="1410" w:type="dxa"/>
            <w:vAlign w:val="bottom"/>
          </w:tcPr>
          <w:p>
            <w:pPr>
              <w:jc w:val="center"/>
              <w:ind w:left="5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w w:val="98"/>
              </w:rPr>
              <w:t>C</w:t>
            </w:r>
          </w:p>
        </w:tc>
        <w:tc>
          <w:tcPr>
            <w:tcW w:w="19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3***</w:t>
            </w:r>
          </w:p>
        </w:tc>
      </w:tr>
      <w:tr>
        <w:trPr>
          <w:trHeight w:val="29"/>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r>
        <w:trPr>
          <w:trHeight w:val="235"/>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Maria C. Freire, Ph.D.</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69</w:t>
            </w:r>
          </w:p>
        </w:tc>
        <w:tc>
          <w:tcPr>
            <w:tcW w:w="1410" w:type="dxa"/>
            <w:vAlign w:val="bottom"/>
          </w:tcPr>
          <w:p>
            <w:pPr>
              <w:jc w:val="center"/>
              <w:ind w:left="5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spacing w:after="0"/>
              <w:rPr>
                <w:sz w:val="20"/>
                <w:szCs w:val="20"/>
                <w:color w:val="auto"/>
              </w:rPr>
            </w:pPr>
          </w:p>
        </w:tc>
        <w:tc>
          <w:tcPr>
            <w:tcW w:w="1980" w:type="dxa"/>
            <w:vAlign w:val="bottom"/>
          </w:tcPr>
          <w:p>
            <w:pPr>
              <w:jc w:val="center"/>
              <w:ind w:right="68"/>
              <w:spacing w:after="0"/>
              <w:rPr>
                <w:sz w:val="20"/>
                <w:szCs w:val="20"/>
                <w:color w:val="auto"/>
              </w:rPr>
            </w:pPr>
            <w:r>
              <w:rPr>
                <w:rFonts w:ascii="Arial" w:cs="Arial" w:eastAsia="Arial" w:hAnsi="Arial"/>
                <w:sz w:val="14"/>
                <w:szCs w:val="14"/>
                <w:color w:val="auto"/>
              </w:rPr>
              <w:t>M</w:t>
            </w:r>
          </w:p>
        </w:tc>
        <w:tc>
          <w:tcPr>
            <w:tcW w:w="2200" w:type="dxa"/>
            <w:vAlign w:val="bottom"/>
          </w:tcPr>
          <w:p>
            <w:pPr>
              <w:spacing w:after="0"/>
              <w:rPr>
                <w:sz w:val="20"/>
                <w:szCs w:val="20"/>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color w:val="auto"/>
              </w:rPr>
              <w:t>2</w:t>
            </w:r>
          </w:p>
        </w:tc>
      </w:tr>
      <w:tr>
        <w:trPr>
          <w:trHeight w:val="28"/>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r>
        <w:trPr>
          <w:trHeight w:val="248"/>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William A. Hawkins</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69</w:t>
            </w:r>
          </w:p>
        </w:tc>
        <w:tc>
          <w:tcPr>
            <w:tcW w:w="1410" w:type="dxa"/>
            <w:vAlign w:val="bottom"/>
          </w:tcPr>
          <w:p>
            <w:pPr>
              <w:jc w:val="center"/>
              <w:ind w:left="5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spacing w:after="0"/>
              <w:rPr>
                <w:sz w:val="21"/>
                <w:szCs w:val="21"/>
                <w:color w:val="auto"/>
              </w:rPr>
            </w:pPr>
          </w:p>
        </w:tc>
        <w:tc>
          <w:tcPr>
            <w:tcW w:w="1980" w:type="dxa"/>
            <w:vAlign w:val="bottom"/>
          </w:tcPr>
          <w:p>
            <w:pPr>
              <w:jc w:val="center"/>
              <w:ind w:right="68"/>
              <w:spacing w:after="0"/>
              <w:rPr>
                <w:sz w:val="20"/>
                <w:szCs w:val="20"/>
                <w:color w:val="auto"/>
              </w:rPr>
            </w:pPr>
            <w:r>
              <w:rPr>
                <w:rFonts w:ascii="Arial" w:cs="Arial" w:eastAsia="Arial" w:hAnsi="Arial"/>
                <w:sz w:val="14"/>
                <w:szCs w:val="14"/>
                <w:color w:val="auto"/>
              </w:rPr>
              <w:t>M</w:t>
            </w:r>
          </w:p>
        </w:tc>
        <w:tc>
          <w:tcPr>
            <w:tcW w:w="2200" w:type="dxa"/>
            <w:vAlign w:val="bottom"/>
          </w:tcPr>
          <w:p>
            <w:pPr>
              <w:spacing w:after="0"/>
              <w:rPr>
                <w:sz w:val="21"/>
                <w:szCs w:val="21"/>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color w:val="auto"/>
              </w:rPr>
              <w:t>2</w:t>
            </w:r>
          </w:p>
        </w:tc>
      </w:tr>
      <w:tr>
        <w:trPr>
          <w:trHeight w:val="28"/>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r>
        <w:trPr>
          <w:trHeight w:val="235"/>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Susan K. Langer</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32</w:t>
            </w:r>
          </w:p>
        </w:tc>
        <w:tc>
          <w:tcPr>
            <w:tcW w:w="1410" w:type="dxa"/>
            <w:vAlign w:val="bottom"/>
          </w:tcPr>
          <w:p>
            <w:pPr>
              <w:jc w:val="center"/>
              <w:ind w:left="5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2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r>
      <w:tr>
        <w:trPr>
          <w:trHeight w:val="28"/>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r>
        <w:trPr>
          <w:trHeight w:val="248"/>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Jesus B. Mantas</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54</w:t>
            </w:r>
          </w:p>
        </w:tc>
        <w:tc>
          <w:tcPr>
            <w:tcW w:w="1410" w:type="dxa"/>
            <w:vAlign w:val="bottom"/>
          </w:tcPr>
          <w:p>
            <w:pPr>
              <w:jc w:val="center"/>
              <w:ind w:left="5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M</w:t>
            </w:r>
          </w:p>
        </w:tc>
        <w:tc>
          <w:tcPr>
            <w:tcW w:w="1980" w:type="dxa"/>
            <w:vAlign w:val="bottom"/>
          </w:tcPr>
          <w:p>
            <w:pPr>
              <w:spacing w:after="0"/>
              <w:rPr>
                <w:sz w:val="21"/>
                <w:szCs w:val="21"/>
                <w:color w:val="auto"/>
              </w:rPr>
            </w:pPr>
          </w:p>
        </w:tc>
        <w:tc>
          <w:tcPr>
            <w:tcW w:w="2200" w:type="dxa"/>
            <w:vAlign w:val="bottom"/>
          </w:tcPr>
          <w:p>
            <w:pPr>
              <w:jc w:val="center"/>
              <w:ind w:left="88"/>
              <w:spacing w:after="0"/>
              <w:rPr>
                <w:sz w:val="20"/>
                <w:szCs w:val="20"/>
                <w:color w:val="auto"/>
              </w:rPr>
            </w:pPr>
            <w:r>
              <w:rPr>
                <w:rFonts w:ascii="Arial" w:cs="Arial" w:eastAsia="Arial" w:hAnsi="Arial"/>
                <w:sz w:val="14"/>
                <w:szCs w:val="14"/>
                <w:color w:val="auto"/>
              </w:rPr>
              <w:t>M</w:t>
            </w:r>
          </w:p>
        </w:tc>
        <w:tc>
          <w:tcPr>
            <w:tcW w:w="92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r>
      <w:tr>
        <w:trPr>
          <w:trHeight w:val="29"/>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r>
        <w:trPr>
          <w:trHeight w:val="221"/>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Christopher A. Viehbacher</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63</w:t>
            </w:r>
          </w:p>
        </w:tc>
        <w:tc>
          <w:tcPr>
            <w:tcW w:w="141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Arial" w:cs="Arial" w:eastAsia="Arial" w:hAnsi="Arial"/>
                <w:sz w:val="14"/>
                <w:szCs w:val="14"/>
                <w:color w:val="auto"/>
              </w:rPr>
              <w:t>1****</w:t>
            </w:r>
          </w:p>
        </w:tc>
      </w:tr>
      <w:tr>
        <w:trPr>
          <w:trHeight w:val="29"/>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r>
        <w:trPr>
          <w:trHeight w:val="248"/>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Eric K. Rowinsky, M.D.</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66</w:t>
            </w:r>
          </w:p>
        </w:tc>
        <w:tc>
          <w:tcPr>
            <w:tcW w:w="1410" w:type="dxa"/>
            <w:vAlign w:val="bottom"/>
          </w:tcPr>
          <w:p>
            <w:pPr>
              <w:jc w:val="center"/>
              <w:ind w:left="5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200" w:type="dxa"/>
            <w:vAlign w:val="bottom"/>
          </w:tcPr>
          <w:p>
            <w:pPr>
              <w:jc w:val="center"/>
              <w:ind w:left="88"/>
              <w:spacing w:after="0"/>
              <w:rPr>
                <w:sz w:val="20"/>
                <w:szCs w:val="20"/>
                <w:color w:val="auto"/>
              </w:rPr>
            </w:pPr>
            <w:r>
              <w:rPr>
                <w:rFonts w:ascii="Arial" w:cs="Arial" w:eastAsia="Arial" w:hAnsi="Arial"/>
                <w:sz w:val="14"/>
                <w:szCs w:val="14"/>
                <w:color w:val="auto"/>
              </w:rPr>
              <w:t>M</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rPr>
              <w:t>3</w:t>
            </w:r>
          </w:p>
        </w:tc>
      </w:tr>
      <w:tr>
        <w:trPr>
          <w:trHeight w:val="28"/>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r>
        <w:trPr>
          <w:trHeight w:val="235"/>
        </w:trPr>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Stephen A. Sherwin, M.D.</w:t>
            </w:r>
          </w:p>
        </w:tc>
        <w:tc>
          <w:tcPr>
            <w:tcW w:w="910" w:type="dxa"/>
            <w:vAlign w:val="bottom"/>
          </w:tcPr>
          <w:p>
            <w:pPr>
              <w:jc w:val="center"/>
              <w:ind w:left="298"/>
              <w:spacing w:after="0"/>
              <w:rPr>
                <w:sz w:val="20"/>
                <w:szCs w:val="20"/>
                <w:color w:val="auto"/>
              </w:rPr>
            </w:pPr>
            <w:r>
              <w:rPr>
                <w:rFonts w:ascii="Arial" w:cs="Arial" w:eastAsia="Arial" w:hAnsi="Arial"/>
                <w:sz w:val="14"/>
                <w:szCs w:val="14"/>
                <w:color w:val="auto"/>
              </w:rPr>
              <w:t>74</w:t>
            </w:r>
          </w:p>
        </w:tc>
        <w:tc>
          <w:tcPr>
            <w:tcW w:w="1410" w:type="dxa"/>
            <w:vAlign w:val="bottom"/>
          </w:tcPr>
          <w:p>
            <w:pPr>
              <w:jc w:val="center"/>
              <w:ind w:left="5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M</w:t>
            </w:r>
          </w:p>
        </w:tc>
        <w:tc>
          <w:tcPr>
            <w:tcW w:w="1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color w:val="auto"/>
              </w:rPr>
              <w:t>2</w:t>
            </w:r>
          </w:p>
        </w:tc>
      </w:tr>
      <w:tr>
        <w:trPr>
          <w:trHeight w:val="28"/>
        </w:trPr>
        <w:tc>
          <w:tcPr>
            <w:tcW w:w="2340" w:type="dxa"/>
            <w:vAlign w:val="bottom"/>
            <w:tcBorders>
              <w:bottom w:val="single" w:sz="8" w:color="1A6DBB"/>
            </w:tcBorders>
          </w:tcPr>
          <w:p>
            <w:pPr>
              <w:spacing w:after="0"/>
              <w:rPr>
                <w:sz w:val="2"/>
                <w:szCs w:val="2"/>
                <w:color w:val="auto"/>
              </w:rPr>
            </w:pPr>
          </w:p>
        </w:tc>
        <w:tc>
          <w:tcPr>
            <w:tcW w:w="910" w:type="dxa"/>
            <w:vAlign w:val="bottom"/>
            <w:tcBorders>
              <w:bottom w:val="single" w:sz="8" w:color="1A6DBB"/>
            </w:tcBorders>
          </w:tcPr>
          <w:p>
            <w:pPr>
              <w:spacing w:after="0"/>
              <w:rPr>
                <w:sz w:val="2"/>
                <w:szCs w:val="2"/>
                <w:color w:val="auto"/>
              </w:rPr>
            </w:pPr>
          </w:p>
        </w:tc>
        <w:tc>
          <w:tcPr>
            <w:tcW w:w="1410" w:type="dxa"/>
            <w:vAlign w:val="bottom"/>
            <w:tcBorders>
              <w:bottom w:val="single" w:sz="8" w:color="1A6DBB"/>
            </w:tcBorders>
          </w:tcPr>
          <w:p>
            <w:pPr>
              <w:spacing w:after="0"/>
              <w:rPr>
                <w:sz w:val="2"/>
                <w:szCs w:val="2"/>
                <w:color w:val="auto"/>
              </w:rPr>
            </w:pPr>
          </w:p>
        </w:tc>
        <w:tc>
          <w:tcPr>
            <w:tcW w:w="1260" w:type="dxa"/>
            <w:vAlign w:val="bottom"/>
            <w:tcBorders>
              <w:bottom w:val="single" w:sz="8" w:color="1A6DBB"/>
            </w:tcBorders>
          </w:tcPr>
          <w:p>
            <w:pPr>
              <w:spacing w:after="0"/>
              <w:rPr>
                <w:sz w:val="2"/>
                <w:szCs w:val="2"/>
                <w:color w:val="auto"/>
              </w:rPr>
            </w:pPr>
          </w:p>
        </w:tc>
        <w:tc>
          <w:tcPr>
            <w:tcW w:w="1980" w:type="dxa"/>
            <w:vAlign w:val="bottom"/>
            <w:tcBorders>
              <w:bottom w:val="single" w:sz="8" w:color="1A6DBB"/>
            </w:tcBorders>
          </w:tcPr>
          <w:p>
            <w:pPr>
              <w:spacing w:after="0"/>
              <w:rPr>
                <w:sz w:val="2"/>
                <w:szCs w:val="2"/>
                <w:color w:val="auto"/>
              </w:rPr>
            </w:pPr>
          </w:p>
        </w:tc>
        <w:tc>
          <w:tcPr>
            <w:tcW w:w="2200" w:type="dxa"/>
            <w:vAlign w:val="bottom"/>
            <w:tcBorders>
              <w:bottom w:val="single" w:sz="8" w:color="1A6DBB"/>
            </w:tcBorders>
          </w:tcPr>
          <w:p>
            <w:pPr>
              <w:spacing w:after="0"/>
              <w:rPr>
                <w:sz w:val="2"/>
                <w:szCs w:val="2"/>
                <w:color w:val="auto"/>
              </w:rPr>
            </w:pPr>
          </w:p>
        </w:tc>
        <w:tc>
          <w:tcPr>
            <w:tcW w:w="920" w:type="dxa"/>
            <w:vAlign w:val="bottom"/>
            <w:tcBorders>
              <w:bottom w:val="single" w:sz="8" w:color="1A6DBB"/>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-1859280</wp:posOffset>
            </wp:positionV>
            <wp:extent cx="2294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94255" cy="8255"/>
                    </a:xfrm>
                    <a:prstGeom prst="rect">
                      <a:avLst/>
                    </a:prstGeom>
                    <a:noFill/>
                  </pic:spPr>
                </pic:pic>
              </a:graphicData>
            </a:graphic>
          </wp:anchor>
        </w:drawing>
      </w:r>
    </w:p>
    <w:p>
      <w:pPr>
        <w:spacing w:after="0" w:line="68" w:lineRule="exact"/>
        <w:rPr>
          <w:sz w:val="20"/>
          <w:szCs w:val="20"/>
          <w:color w:val="auto"/>
        </w:rPr>
      </w:pPr>
    </w:p>
    <w:p>
      <w:pPr>
        <w:ind w:left="4"/>
        <w:spacing w:after="0"/>
        <w:rPr>
          <w:sz w:val="20"/>
          <w:szCs w:val="20"/>
          <w:color w:val="auto"/>
        </w:rPr>
      </w:pPr>
      <w:r>
        <w:rPr>
          <w:rFonts w:ascii="Arial" w:cs="Arial" w:eastAsia="Arial" w:hAnsi="Arial"/>
          <w:sz w:val="13"/>
          <w:szCs w:val="13"/>
          <w:color w:val="auto"/>
        </w:rPr>
        <w:t>* Age and Committee memberships are as of June 13, 2023.</w:t>
      </w:r>
    </w:p>
    <w:p>
      <w:pPr>
        <w:ind w:left="124" w:hanging="124"/>
        <w:spacing w:after="0" w:line="216" w:lineRule="auto"/>
        <w:tabs>
          <w:tab w:leader="none" w:pos="124" w:val="left"/>
        </w:tabs>
        <w:numPr>
          <w:ilvl w:val="0"/>
          <w:numId w:val="6"/>
        </w:numPr>
        <w:rPr>
          <w:rFonts w:ascii="Arial" w:cs="Arial" w:eastAsia="Arial" w:hAnsi="Arial"/>
          <w:sz w:val="13"/>
          <w:szCs w:val="13"/>
          <w:color w:val="auto"/>
        </w:rPr>
      </w:pPr>
      <w:r>
        <w:rPr>
          <w:rFonts w:ascii="Arial" w:cs="Arial" w:eastAsia="Arial" w:hAnsi="Arial"/>
          <w:sz w:val="13"/>
          <w:szCs w:val="13"/>
          <w:color w:val="auto"/>
        </w:rPr>
        <w:t>Dr. Papadopoulos is not standing for reelection at the 2023 Annual Meeting. Effective immediately after the 2023 Annual Meeting, Ms. Dorsa will become Chair of the Board.</w:t>
      </w:r>
    </w:p>
    <w:p>
      <w:pPr>
        <w:ind w:left="184" w:hanging="184"/>
        <w:spacing w:after="0" w:line="216" w:lineRule="auto"/>
        <w:tabs>
          <w:tab w:leader="none" w:pos="184" w:val="left"/>
        </w:tabs>
        <w:numPr>
          <w:ilvl w:val="0"/>
          <w:numId w:val="7"/>
        </w:numPr>
        <w:rPr>
          <w:rFonts w:ascii="Arial" w:cs="Arial" w:eastAsia="Arial" w:hAnsi="Arial"/>
          <w:sz w:val="13"/>
          <w:szCs w:val="13"/>
          <w:color w:val="auto"/>
        </w:rPr>
      </w:pPr>
      <w:r>
        <w:rPr>
          <w:rFonts w:ascii="Arial" w:cs="Arial" w:eastAsia="Arial" w:hAnsi="Arial"/>
          <w:sz w:val="13"/>
          <w:szCs w:val="13"/>
          <w:color w:val="auto"/>
        </w:rPr>
        <w:t>Ms. Dorsa resigned from the Board of Directors of Intellia Therapeutics, Inc. The resignation will be effective on June 15, 2023.</w:t>
      </w:r>
    </w:p>
    <w:p>
      <w:pPr>
        <w:ind w:left="224" w:hanging="224"/>
        <w:spacing w:after="0" w:line="216" w:lineRule="auto"/>
        <w:tabs>
          <w:tab w:leader="none" w:pos="224" w:val="left"/>
        </w:tabs>
        <w:numPr>
          <w:ilvl w:val="0"/>
          <w:numId w:val="8"/>
        </w:numPr>
        <w:rPr>
          <w:rFonts w:ascii="Arial" w:cs="Arial" w:eastAsia="Arial" w:hAnsi="Arial"/>
          <w:sz w:val="13"/>
          <w:szCs w:val="13"/>
          <w:color w:val="auto"/>
        </w:rPr>
      </w:pPr>
      <w:r>
        <w:rPr>
          <w:rFonts w:ascii="Arial" w:cs="Arial" w:eastAsia="Arial" w:hAnsi="Arial"/>
          <w:sz w:val="13"/>
          <w:szCs w:val="13"/>
          <w:color w:val="auto"/>
        </w:rPr>
        <w:t>Mr. Viehbacher is not standing for reelection for the Board of Directors of Puretech plc and will depart the Puretech plc Board on June 13, 2023.</w:t>
      </w:r>
    </w:p>
    <w:p>
      <w:pPr>
        <w:ind w:left="4"/>
        <w:spacing w:after="0" w:line="217" w:lineRule="auto"/>
        <w:rPr>
          <w:sz w:val="20"/>
          <w:szCs w:val="20"/>
          <w:color w:val="auto"/>
        </w:rPr>
      </w:pPr>
      <w:r>
        <w:rPr>
          <w:rFonts w:ascii="Arial" w:cs="Arial" w:eastAsia="Arial" w:hAnsi="Arial"/>
          <w:sz w:val="13"/>
          <w:szCs w:val="13"/>
          <w:color w:val="auto"/>
        </w:rPr>
        <w:t>“C” indicates Chair of the committee.</w:t>
      </w:r>
    </w:p>
    <w:p>
      <w:pPr>
        <w:ind w:left="4"/>
        <w:spacing w:after="0"/>
        <w:rPr>
          <w:sz w:val="20"/>
          <w:szCs w:val="20"/>
          <w:color w:val="auto"/>
        </w:rPr>
      </w:pPr>
      <w:r>
        <w:rPr>
          <w:rFonts w:ascii="Arial" w:cs="Arial" w:eastAsia="Arial" w:hAnsi="Arial"/>
          <w:sz w:val="13"/>
          <w:szCs w:val="13"/>
          <w:color w:val="auto"/>
        </w:rPr>
        <w:t>“M” indicates member of the committee.</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A6DBB"/>
        </w:rPr>
        <w:t>Director Skills and Qualifications</w:t>
      </w:r>
    </w:p>
    <w:p>
      <w:pPr>
        <w:spacing w:after="0" w:line="116" w:lineRule="exact"/>
        <w:rPr>
          <w:sz w:val="20"/>
          <w:szCs w:val="20"/>
          <w:color w:val="auto"/>
        </w:rPr>
      </w:pPr>
    </w:p>
    <w:p>
      <w:pPr>
        <w:ind w:left="4"/>
        <w:spacing w:after="0" w:line="276" w:lineRule="auto"/>
        <w:rPr>
          <w:sz w:val="20"/>
          <w:szCs w:val="20"/>
          <w:color w:val="auto"/>
        </w:rPr>
      </w:pPr>
      <w:r>
        <w:rPr>
          <w:rFonts w:ascii="Arial" w:cs="Arial" w:eastAsia="Arial" w:hAnsi="Arial"/>
          <w:sz w:val="16"/>
          <w:szCs w:val="16"/>
          <w:color w:val="auto"/>
        </w:rPr>
        <w:t>The Corporate Governance Committee believes that the 8 director nominees collectively have the skills, experience, diversity and character to execute the Board of Directors’ responsibilities. The following is a summary of those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5160" cy="3505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505835"/>
                    </a:xfrm>
                    <a:prstGeom prst="rect">
                      <a:avLst/>
                    </a:prstGeom>
                    <a:noFill/>
                  </pic:spPr>
                </pic:pic>
              </a:graphicData>
            </a:graphic>
          </wp:anchor>
        </w:drawing>
      </w:r>
    </w:p>
    <w:p>
      <w:pPr>
        <w:spacing w:after="0" w:line="46" w:lineRule="exact"/>
        <w:rPr>
          <w:sz w:val="20"/>
          <w:szCs w:val="20"/>
          <w:color w:val="auto"/>
        </w:rPr>
      </w:pPr>
    </w:p>
    <w:tbl>
      <w:tblPr>
        <w:tblLayout w:type="fixed"/>
        <w:tblInd w:w="4" w:type="dxa"/>
        <w:tblCellMar>
          <w:top w:w="0" w:type="dxa"/>
          <w:left w:w="0" w:type="dxa"/>
          <w:bottom w:w="0" w:type="dxa"/>
          <w:right w:w="0" w:type="dxa"/>
        </w:tblCellMar>
      </w:tblPr>
      <w:tr>
        <w:trPr>
          <w:trHeight w:val="1951"/>
        </w:trPr>
        <w:tc>
          <w:tcPr>
            <w:tcW w:w="6900" w:type="dxa"/>
            <w:vAlign w:val="bottom"/>
            <w:tcBorders>
              <w:top w:val="single" w:sz="8" w:color="1A6DBB"/>
              <w:bottom w:val="single" w:sz="8" w:color="1A6DBB"/>
            </w:tcBorders>
            <w:shd w:val="clear" w:color="auto" w:fill="1A6DBB"/>
          </w:tcPr>
          <w:p>
            <w:pPr>
              <w:ind w:left="80"/>
              <w:spacing w:after="0"/>
              <w:rPr>
                <w:sz w:val="20"/>
                <w:szCs w:val="20"/>
                <w:color w:val="auto"/>
              </w:rPr>
            </w:pPr>
            <w:r>
              <w:rPr>
                <w:rFonts w:ascii="Arial" w:cs="Arial" w:eastAsia="Arial" w:hAnsi="Arial"/>
                <w:sz w:val="14"/>
                <w:szCs w:val="14"/>
                <w:color w:val="FFFFFF"/>
              </w:rPr>
              <w:t>Attributes, Experience and Skills</w:t>
            </w:r>
          </w:p>
        </w:tc>
        <w:tc>
          <w:tcPr>
            <w:tcW w:w="520" w:type="dxa"/>
            <w:vAlign w:val="bottom"/>
            <w:tcBorders>
              <w:top w:val="single" w:sz="8" w:color="1A6DBB"/>
              <w:bottom w:val="single" w:sz="8" w:color="1A6DBB"/>
              <w:right w:val="single" w:sz="8" w:color="FCFCFC"/>
            </w:tcBorders>
            <w:shd w:val="clear" w:color="auto" w:fill="1A6DBB"/>
          </w:tcPr>
          <w:p>
            <w:pPr>
              <w:spacing w:after="0"/>
              <w:rPr>
                <w:sz w:val="24"/>
                <w:szCs w:val="24"/>
                <w:color w:val="auto"/>
              </w:rPr>
            </w:pPr>
          </w:p>
        </w:tc>
        <w:tc>
          <w:tcPr>
            <w:tcW w:w="520" w:type="dxa"/>
            <w:vAlign w:val="bottom"/>
            <w:tcBorders>
              <w:top w:val="single" w:sz="8" w:color="1A6DBB"/>
              <w:bottom w:val="single" w:sz="8" w:color="1A6DBB"/>
              <w:right w:val="single" w:sz="8" w:color="FCFCFC"/>
            </w:tcBorders>
            <w:shd w:val="clear" w:color="auto" w:fill="1A6DBB"/>
          </w:tcPr>
          <w:p>
            <w:pPr>
              <w:spacing w:after="0"/>
              <w:rPr>
                <w:sz w:val="24"/>
                <w:szCs w:val="24"/>
                <w:color w:val="auto"/>
              </w:rPr>
            </w:pPr>
          </w:p>
        </w:tc>
        <w:tc>
          <w:tcPr>
            <w:tcW w:w="500" w:type="dxa"/>
            <w:vAlign w:val="bottom"/>
            <w:tcBorders>
              <w:top w:val="single" w:sz="8" w:color="1A6DBB"/>
              <w:bottom w:val="single" w:sz="8" w:color="1A6DBB"/>
            </w:tcBorders>
            <w:shd w:val="clear" w:color="auto" w:fill="1A6DBB"/>
          </w:tcPr>
          <w:p>
            <w:pPr>
              <w:spacing w:after="0"/>
              <w:rPr>
                <w:sz w:val="24"/>
                <w:szCs w:val="24"/>
                <w:color w:val="auto"/>
              </w:rPr>
            </w:pPr>
          </w:p>
        </w:tc>
        <w:tc>
          <w:tcPr>
            <w:tcW w:w="520" w:type="dxa"/>
            <w:vAlign w:val="bottom"/>
            <w:tcBorders>
              <w:top w:val="single" w:sz="8" w:color="1A6DBB"/>
              <w:bottom w:val="single" w:sz="8" w:color="1A6DBB"/>
              <w:right w:val="single" w:sz="8" w:color="FCFCFC"/>
            </w:tcBorders>
            <w:shd w:val="clear" w:color="auto" w:fill="1A6DBB"/>
          </w:tcPr>
          <w:p>
            <w:pPr>
              <w:spacing w:after="0"/>
              <w:rPr>
                <w:sz w:val="24"/>
                <w:szCs w:val="24"/>
                <w:color w:val="auto"/>
              </w:rPr>
            </w:pPr>
          </w:p>
        </w:tc>
        <w:tc>
          <w:tcPr>
            <w:tcW w:w="500" w:type="dxa"/>
            <w:vAlign w:val="bottom"/>
            <w:tcBorders>
              <w:top w:val="single" w:sz="8" w:color="1A6DBB"/>
              <w:bottom w:val="single" w:sz="8" w:color="1A6DBB"/>
            </w:tcBorders>
            <w:shd w:val="clear" w:color="auto" w:fill="1A6DBB"/>
          </w:tcPr>
          <w:p>
            <w:pPr>
              <w:spacing w:after="0"/>
              <w:rPr>
                <w:sz w:val="24"/>
                <w:szCs w:val="24"/>
                <w:color w:val="auto"/>
              </w:rPr>
            </w:pPr>
          </w:p>
        </w:tc>
        <w:tc>
          <w:tcPr>
            <w:tcW w:w="520" w:type="dxa"/>
            <w:vAlign w:val="bottom"/>
            <w:tcBorders>
              <w:top w:val="single" w:sz="8" w:color="1A6DBB"/>
              <w:bottom w:val="single" w:sz="8" w:color="1A6DBB"/>
            </w:tcBorders>
            <w:shd w:val="clear" w:color="auto" w:fill="1A6DBB"/>
          </w:tcPr>
          <w:p>
            <w:pPr>
              <w:spacing w:after="0"/>
              <w:rPr>
                <w:sz w:val="24"/>
                <w:szCs w:val="24"/>
                <w:color w:val="auto"/>
              </w:rPr>
            </w:pPr>
          </w:p>
        </w:tc>
        <w:tc>
          <w:tcPr>
            <w:tcW w:w="500" w:type="dxa"/>
            <w:vAlign w:val="bottom"/>
            <w:tcBorders>
              <w:top w:val="single" w:sz="8" w:color="1A6DBB"/>
              <w:bottom w:val="single" w:sz="8" w:color="1A6DBB"/>
            </w:tcBorders>
            <w:shd w:val="clear" w:color="auto" w:fill="1A6DBB"/>
          </w:tcPr>
          <w:p>
            <w:pPr>
              <w:spacing w:after="0"/>
              <w:rPr>
                <w:sz w:val="24"/>
                <w:szCs w:val="24"/>
                <w:color w:val="auto"/>
              </w:rPr>
            </w:pPr>
          </w:p>
        </w:tc>
        <w:tc>
          <w:tcPr>
            <w:tcW w:w="540" w:type="dxa"/>
            <w:vAlign w:val="bottom"/>
            <w:tcBorders>
              <w:top w:val="single" w:sz="8" w:color="1A6DBB"/>
              <w:bottom w:val="single" w:sz="8" w:color="1A6DBB"/>
            </w:tcBorders>
            <w:shd w:val="clear" w:color="auto" w:fill="1A6DBB"/>
          </w:tcPr>
          <w:p>
            <w:pPr>
              <w:spacing w:after="0"/>
              <w:rPr>
                <w:sz w:val="24"/>
                <w:szCs w:val="24"/>
                <w:color w:val="auto"/>
              </w:rPr>
            </w:pPr>
          </w:p>
        </w:tc>
      </w:tr>
      <w:tr>
        <w:trPr>
          <w:trHeight w:val="256"/>
        </w:trPr>
        <w:tc>
          <w:tcPr>
            <w:tcW w:w="6900" w:type="dxa"/>
            <w:vAlign w:val="bottom"/>
            <w:shd w:val="clear" w:color="auto" w:fill="E8F0F8"/>
          </w:tcPr>
          <w:p>
            <w:pPr>
              <w:ind w:left="80"/>
              <w:spacing w:after="0"/>
              <w:rPr>
                <w:sz w:val="20"/>
                <w:szCs w:val="20"/>
                <w:color w:val="auto"/>
              </w:rPr>
            </w:pPr>
            <w:r>
              <w:rPr>
                <w:rFonts w:ascii="Arial" w:cs="Arial" w:eastAsia="Arial" w:hAnsi="Arial"/>
                <w:sz w:val="16"/>
                <w:szCs w:val="16"/>
                <w:color w:val="auto"/>
              </w:rPr>
              <w:t>General Management Experience</w:t>
            </w:r>
          </w:p>
        </w:tc>
        <w:tc>
          <w:tcPr>
            <w:tcW w:w="520" w:type="dxa"/>
            <w:vAlign w:val="bottom"/>
            <w:tcBorders>
              <w:right w:val="single" w:sz="8" w:color="FCFCFC"/>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43"/>
        </w:trPr>
        <w:tc>
          <w:tcPr>
            <w:tcW w:w="6900" w:type="dxa"/>
            <w:vAlign w:val="bottom"/>
            <w:shd w:val="clear" w:color="auto" w:fill="BAD3EA"/>
          </w:tcPr>
          <w:p>
            <w:pPr>
              <w:ind w:left="80"/>
              <w:spacing w:after="0"/>
              <w:rPr>
                <w:sz w:val="20"/>
                <w:szCs w:val="20"/>
                <w:color w:val="auto"/>
              </w:rPr>
            </w:pPr>
            <w:r>
              <w:rPr>
                <w:rFonts w:ascii="Arial" w:cs="Arial" w:eastAsia="Arial" w:hAnsi="Arial"/>
                <w:sz w:val="16"/>
                <w:szCs w:val="16"/>
                <w:color w:val="auto"/>
              </w:rPr>
              <w:t>Financial Experience</w:t>
            </w:r>
          </w:p>
        </w:tc>
        <w:tc>
          <w:tcPr>
            <w:tcW w:w="520" w:type="dxa"/>
            <w:vAlign w:val="bottom"/>
            <w:tcBorders>
              <w:right w:val="single" w:sz="8" w:color="FCFCFC"/>
            </w:tcBorders>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1"/>
                <w:szCs w:val="21"/>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1"/>
                <w:szCs w:val="21"/>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6900" w:type="dxa"/>
            <w:vAlign w:val="bottom"/>
            <w:shd w:val="clear" w:color="auto" w:fill="E8F0F8"/>
          </w:tcPr>
          <w:p>
            <w:pPr>
              <w:ind w:left="80"/>
              <w:spacing w:after="0"/>
              <w:rPr>
                <w:sz w:val="20"/>
                <w:szCs w:val="20"/>
                <w:color w:val="auto"/>
              </w:rPr>
            </w:pPr>
            <w:r>
              <w:rPr>
                <w:rFonts w:ascii="Arial" w:cs="Arial" w:eastAsia="Arial" w:hAnsi="Arial"/>
                <w:sz w:val="16"/>
                <w:szCs w:val="16"/>
                <w:color w:val="auto"/>
              </w:rPr>
              <w:t>Audit Committee Financial Expertise</w:t>
            </w:r>
          </w:p>
        </w:tc>
        <w:tc>
          <w:tcPr>
            <w:tcW w:w="520" w:type="dxa"/>
            <w:vAlign w:val="bottom"/>
            <w:tcBorders>
              <w:right w:val="single" w:sz="8" w:color="FCFCFC"/>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spacing w:after="0"/>
              <w:rPr>
                <w:sz w:val="22"/>
                <w:szCs w:val="22"/>
                <w:color w:val="auto"/>
              </w:rPr>
            </w:pPr>
          </w:p>
        </w:tc>
      </w:tr>
      <w:tr>
        <w:trPr>
          <w:trHeight w:val="257"/>
        </w:trPr>
        <w:tc>
          <w:tcPr>
            <w:tcW w:w="6900" w:type="dxa"/>
            <w:vAlign w:val="bottom"/>
            <w:shd w:val="clear" w:color="auto" w:fill="BAD3EA"/>
          </w:tcPr>
          <w:p>
            <w:pPr>
              <w:ind w:left="80"/>
              <w:spacing w:after="0"/>
              <w:rPr>
                <w:sz w:val="20"/>
                <w:szCs w:val="20"/>
                <w:color w:val="auto"/>
              </w:rPr>
            </w:pPr>
            <w:r>
              <w:rPr>
                <w:rFonts w:ascii="Arial" w:cs="Arial" w:eastAsia="Arial" w:hAnsi="Arial"/>
                <w:sz w:val="16"/>
                <w:szCs w:val="16"/>
                <w:color w:val="auto"/>
              </w:rPr>
              <w:t>Mergers &amp; Acquisitions Experience</w:t>
            </w:r>
          </w:p>
        </w:tc>
        <w:tc>
          <w:tcPr>
            <w:tcW w:w="520" w:type="dxa"/>
            <w:vAlign w:val="bottom"/>
            <w:tcBorders>
              <w:right w:val="single" w:sz="8" w:color="FCFCFC"/>
            </w:tcBorders>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2"/>
                <w:szCs w:val="22"/>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6900" w:type="dxa"/>
            <w:vAlign w:val="bottom"/>
            <w:shd w:val="clear" w:color="auto" w:fill="E8F0F8"/>
          </w:tcPr>
          <w:p>
            <w:pPr>
              <w:ind w:left="80"/>
              <w:spacing w:after="0"/>
              <w:rPr>
                <w:sz w:val="20"/>
                <w:szCs w:val="20"/>
                <w:color w:val="auto"/>
              </w:rPr>
            </w:pPr>
            <w:r>
              <w:rPr>
                <w:rFonts w:ascii="Arial" w:cs="Arial" w:eastAsia="Arial" w:hAnsi="Arial"/>
                <w:sz w:val="16"/>
                <w:szCs w:val="16"/>
                <w:color w:val="auto"/>
              </w:rPr>
              <w:t>Scientific Research Experience</w:t>
            </w:r>
          </w:p>
        </w:tc>
        <w:tc>
          <w:tcPr>
            <w:tcW w:w="520" w:type="dxa"/>
            <w:vAlign w:val="bottom"/>
            <w:tcBorders>
              <w:right w:val="single" w:sz="8" w:color="FCFCFC"/>
            </w:tcBorders>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spacing w:after="0"/>
              <w:rPr>
                <w:sz w:val="22"/>
                <w:szCs w:val="22"/>
                <w:color w:val="auto"/>
              </w:rPr>
            </w:pPr>
          </w:p>
        </w:tc>
      </w:tr>
      <w:tr>
        <w:trPr>
          <w:trHeight w:val="257"/>
        </w:trPr>
        <w:tc>
          <w:tcPr>
            <w:tcW w:w="6900" w:type="dxa"/>
            <w:vAlign w:val="bottom"/>
            <w:shd w:val="clear" w:color="auto" w:fill="BAD3EA"/>
          </w:tcPr>
          <w:p>
            <w:pPr>
              <w:ind w:left="80"/>
              <w:spacing w:after="0"/>
              <w:rPr>
                <w:sz w:val="20"/>
                <w:szCs w:val="20"/>
                <w:color w:val="auto"/>
              </w:rPr>
            </w:pPr>
            <w:r>
              <w:rPr>
                <w:rFonts w:ascii="Arial" w:cs="Arial" w:eastAsia="Arial" w:hAnsi="Arial"/>
                <w:sz w:val="16"/>
                <w:szCs w:val="16"/>
                <w:color w:val="auto"/>
              </w:rPr>
              <w:t>Drug Development Experience</w:t>
            </w:r>
          </w:p>
        </w:tc>
        <w:tc>
          <w:tcPr>
            <w:tcW w:w="520" w:type="dxa"/>
            <w:vAlign w:val="bottom"/>
            <w:tcBorders>
              <w:right w:val="single" w:sz="8" w:color="FCFCFC"/>
            </w:tcBorders>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6900" w:type="dxa"/>
            <w:vAlign w:val="bottom"/>
            <w:shd w:val="clear" w:color="auto" w:fill="E8F0F8"/>
          </w:tcPr>
          <w:p>
            <w:pPr>
              <w:ind w:left="80"/>
              <w:spacing w:after="0"/>
              <w:rPr>
                <w:sz w:val="20"/>
                <w:szCs w:val="20"/>
                <w:color w:val="auto"/>
              </w:rPr>
            </w:pPr>
            <w:r>
              <w:rPr>
                <w:rFonts w:ascii="Arial" w:cs="Arial" w:eastAsia="Arial" w:hAnsi="Arial"/>
                <w:sz w:val="16"/>
                <w:szCs w:val="16"/>
                <w:color w:val="auto"/>
              </w:rPr>
              <w:t>Commercial Experience</w:t>
            </w:r>
          </w:p>
        </w:tc>
        <w:tc>
          <w:tcPr>
            <w:tcW w:w="520" w:type="dxa"/>
            <w:vAlign w:val="bottom"/>
            <w:tcBorders>
              <w:right w:val="single" w:sz="8" w:color="FCFCFC"/>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spacing w:after="0"/>
              <w:rPr>
                <w:sz w:val="22"/>
                <w:szCs w:val="22"/>
                <w:color w:val="auto"/>
              </w:rPr>
            </w:pP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43"/>
        </w:trPr>
        <w:tc>
          <w:tcPr>
            <w:tcW w:w="6900" w:type="dxa"/>
            <w:vAlign w:val="bottom"/>
            <w:shd w:val="clear" w:color="auto" w:fill="BAD3EA"/>
          </w:tcPr>
          <w:p>
            <w:pPr>
              <w:ind w:left="80"/>
              <w:spacing w:after="0"/>
              <w:rPr>
                <w:sz w:val="20"/>
                <w:szCs w:val="20"/>
                <w:color w:val="auto"/>
              </w:rPr>
            </w:pPr>
            <w:r>
              <w:rPr>
                <w:rFonts w:ascii="Arial" w:cs="Arial" w:eastAsia="Arial" w:hAnsi="Arial"/>
                <w:sz w:val="16"/>
                <w:szCs w:val="16"/>
                <w:color w:val="auto"/>
              </w:rPr>
              <w:t>International Business Experience</w:t>
            </w:r>
          </w:p>
        </w:tc>
        <w:tc>
          <w:tcPr>
            <w:tcW w:w="520" w:type="dxa"/>
            <w:vAlign w:val="bottom"/>
            <w:tcBorders>
              <w:right w:val="single" w:sz="8" w:color="FCFCFC"/>
            </w:tcBorders>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1"/>
                <w:szCs w:val="21"/>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1"/>
                <w:szCs w:val="21"/>
                <w:color w:val="auto"/>
              </w:rPr>
            </w:pPr>
          </w:p>
        </w:tc>
        <w:tc>
          <w:tcPr>
            <w:tcW w:w="500" w:type="dxa"/>
            <w:vAlign w:val="bottom"/>
            <w:shd w:val="clear" w:color="auto" w:fill="BAD3EA"/>
          </w:tcPr>
          <w:p>
            <w:pPr>
              <w:spacing w:after="0"/>
              <w:rPr>
                <w:sz w:val="21"/>
                <w:szCs w:val="21"/>
                <w:color w:val="auto"/>
              </w:rPr>
            </w:pP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6900" w:type="dxa"/>
            <w:vAlign w:val="bottom"/>
            <w:shd w:val="clear" w:color="auto" w:fill="E8F0F8"/>
          </w:tcPr>
          <w:p>
            <w:pPr>
              <w:ind w:left="80"/>
              <w:spacing w:after="0"/>
              <w:rPr>
                <w:sz w:val="20"/>
                <w:szCs w:val="20"/>
                <w:color w:val="auto"/>
              </w:rPr>
            </w:pPr>
            <w:r>
              <w:rPr>
                <w:rFonts w:ascii="Arial" w:cs="Arial" w:eastAsia="Arial" w:hAnsi="Arial"/>
                <w:sz w:val="16"/>
                <w:szCs w:val="16"/>
                <w:color w:val="auto"/>
              </w:rPr>
              <w:t>Public Policy Experience</w:t>
            </w:r>
          </w:p>
        </w:tc>
        <w:tc>
          <w:tcPr>
            <w:tcW w:w="520" w:type="dxa"/>
            <w:vAlign w:val="bottom"/>
            <w:tcBorders>
              <w:right w:val="single" w:sz="8" w:color="FCFCFC"/>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6900" w:type="dxa"/>
            <w:vAlign w:val="bottom"/>
            <w:shd w:val="clear" w:color="auto" w:fill="BAD3EA"/>
          </w:tcPr>
          <w:p>
            <w:pPr>
              <w:ind w:left="80"/>
              <w:spacing w:after="0"/>
              <w:rPr>
                <w:sz w:val="20"/>
                <w:szCs w:val="20"/>
                <w:color w:val="auto"/>
              </w:rPr>
            </w:pPr>
            <w:r>
              <w:rPr>
                <w:rFonts w:ascii="Arial" w:cs="Arial" w:eastAsia="Arial" w:hAnsi="Arial"/>
                <w:sz w:val="16"/>
                <w:szCs w:val="16"/>
                <w:color w:val="auto"/>
              </w:rPr>
              <w:t>Operations Experience</w:t>
            </w:r>
          </w:p>
        </w:tc>
        <w:tc>
          <w:tcPr>
            <w:tcW w:w="520" w:type="dxa"/>
            <w:vAlign w:val="bottom"/>
            <w:tcBorders>
              <w:right w:val="single" w:sz="8" w:color="FCFCFC"/>
            </w:tcBorders>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2"/>
                <w:szCs w:val="22"/>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6900" w:type="dxa"/>
            <w:vAlign w:val="bottom"/>
            <w:shd w:val="clear" w:color="auto" w:fill="E8F0F8"/>
          </w:tcPr>
          <w:p>
            <w:pPr>
              <w:ind w:left="80"/>
              <w:spacing w:after="0"/>
              <w:rPr>
                <w:sz w:val="20"/>
                <w:szCs w:val="20"/>
                <w:color w:val="auto"/>
              </w:rPr>
            </w:pPr>
            <w:r>
              <w:rPr>
                <w:rFonts w:ascii="Arial" w:cs="Arial" w:eastAsia="Arial" w:hAnsi="Arial"/>
                <w:sz w:val="16"/>
                <w:szCs w:val="16"/>
                <w:color w:val="auto"/>
              </w:rPr>
              <w:t>Environmental, Social, Governance Experience</w:t>
            </w:r>
          </w:p>
        </w:tc>
        <w:tc>
          <w:tcPr>
            <w:tcW w:w="520" w:type="dxa"/>
            <w:vAlign w:val="bottom"/>
            <w:tcBorders>
              <w:right w:val="single" w:sz="8" w:color="FCFCFC"/>
            </w:tcBorders>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6900" w:type="dxa"/>
            <w:vAlign w:val="bottom"/>
            <w:shd w:val="clear" w:color="auto" w:fill="BAD3EA"/>
          </w:tcPr>
          <w:p>
            <w:pPr>
              <w:ind w:left="80"/>
              <w:spacing w:after="0"/>
              <w:rPr>
                <w:sz w:val="20"/>
                <w:szCs w:val="20"/>
                <w:color w:val="auto"/>
              </w:rPr>
            </w:pPr>
            <w:r>
              <w:rPr>
                <w:rFonts w:ascii="Arial" w:cs="Arial" w:eastAsia="Arial" w:hAnsi="Arial"/>
                <w:sz w:val="16"/>
                <w:szCs w:val="16"/>
                <w:color w:val="auto"/>
              </w:rPr>
              <w:t>Diversity</w:t>
            </w:r>
          </w:p>
        </w:tc>
        <w:tc>
          <w:tcPr>
            <w:tcW w:w="520" w:type="dxa"/>
            <w:vAlign w:val="bottom"/>
            <w:tcBorders>
              <w:right w:val="single" w:sz="8" w:color="FCFCFC"/>
            </w:tcBorders>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00" w:type="dxa"/>
            <w:vAlign w:val="bottom"/>
            <w:shd w:val="clear" w:color="auto" w:fill="BAD3EA"/>
          </w:tcPr>
          <w:p>
            <w:pPr>
              <w:spacing w:after="0"/>
              <w:rPr>
                <w:sz w:val="22"/>
                <w:szCs w:val="22"/>
                <w:color w:val="auto"/>
              </w:rPr>
            </w:pPr>
          </w:p>
        </w:tc>
        <w:tc>
          <w:tcPr>
            <w:tcW w:w="540" w:type="dxa"/>
            <w:vAlign w:val="bottom"/>
            <w:shd w:val="clear" w:color="auto" w:fill="BAD3EA"/>
          </w:tcPr>
          <w:p>
            <w:pPr>
              <w:spacing w:after="0"/>
              <w:rPr>
                <w:sz w:val="22"/>
                <w:szCs w:val="22"/>
                <w:color w:val="auto"/>
              </w:rPr>
            </w:pPr>
          </w:p>
        </w:tc>
      </w:tr>
      <w:tr>
        <w:trPr>
          <w:trHeight w:val="243"/>
        </w:trPr>
        <w:tc>
          <w:tcPr>
            <w:tcW w:w="6900" w:type="dxa"/>
            <w:vAlign w:val="bottom"/>
            <w:shd w:val="clear" w:color="auto" w:fill="E8F0F8"/>
          </w:tcPr>
          <w:p>
            <w:pPr>
              <w:ind w:left="80"/>
              <w:spacing w:after="0"/>
              <w:rPr>
                <w:sz w:val="20"/>
                <w:szCs w:val="20"/>
                <w:color w:val="auto"/>
              </w:rPr>
            </w:pPr>
            <w:r>
              <w:rPr>
                <w:rFonts w:ascii="Arial" w:cs="Arial" w:eastAsia="Arial" w:hAnsi="Arial"/>
                <w:sz w:val="16"/>
                <w:szCs w:val="16"/>
                <w:color w:val="auto"/>
              </w:rPr>
              <w:t>Other Public Company Board Service</w:t>
            </w:r>
          </w:p>
        </w:tc>
        <w:tc>
          <w:tcPr>
            <w:tcW w:w="520" w:type="dxa"/>
            <w:vAlign w:val="bottom"/>
            <w:tcBorders>
              <w:right w:val="single" w:sz="8" w:color="FCFCFC"/>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1"/>
                <w:szCs w:val="21"/>
                <w:color w:val="auto"/>
              </w:rPr>
            </w:pPr>
          </w:p>
        </w:tc>
        <w:tc>
          <w:tcPr>
            <w:tcW w:w="500" w:type="dxa"/>
            <w:vAlign w:val="bottom"/>
            <w:shd w:val="clear" w:color="auto" w:fill="E8F0F8"/>
          </w:tcPr>
          <w:p>
            <w:pPr>
              <w:spacing w:after="0"/>
              <w:rPr>
                <w:sz w:val="21"/>
                <w:szCs w:val="21"/>
                <w:color w:val="auto"/>
              </w:rPr>
            </w:pP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43"/>
        </w:trPr>
        <w:tc>
          <w:tcPr>
            <w:tcW w:w="6900" w:type="dxa"/>
            <w:vAlign w:val="bottom"/>
            <w:tcBorders>
              <w:bottom w:val="single" w:sz="8" w:color="auto"/>
            </w:tcBorders>
            <w:shd w:val="clear" w:color="auto" w:fill="BAD3EA"/>
          </w:tcPr>
          <w:p>
            <w:pPr>
              <w:ind w:left="80"/>
              <w:spacing w:after="0"/>
              <w:rPr>
                <w:sz w:val="20"/>
                <w:szCs w:val="20"/>
                <w:color w:val="auto"/>
              </w:rPr>
            </w:pPr>
            <w:r>
              <w:rPr>
                <w:rFonts w:ascii="Arial" w:cs="Arial" w:eastAsia="Arial" w:hAnsi="Arial"/>
                <w:sz w:val="16"/>
                <w:szCs w:val="16"/>
                <w:color w:val="auto"/>
              </w:rPr>
              <w:t>Cybersecurity Experience</w:t>
            </w:r>
          </w:p>
        </w:tc>
        <w:tc>
          <w:tcPr>
            <w:tcW w:w="520" w:type="dxa"/>
            <w:vAlign w:val="bottom"/>
            <w:tcBorders>
              <w:bottom w:val="single" w:sz="8" w:color="auto"/>
              <w:right w:val="single" w:sz="8" w:color="FCFCFC"/>
            </w:tcBorders>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bottom w:val="single" w:sz="8" w:color="auto"/>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Borders>
              <w:bottom w:val="single" w:sz="8" w:color="auto"/>
            </w:tcBorders>
            <w:shd w:val="clear" w:color="auto" w:fill="BAD3EA"/>
          </w:tcPr>
          <w:p>
            <w:pPr>
              <w:spacing w:after="0"/>
              <w:rPr>
                <w:sz w:val="21"/>
                <w:szCs w:val="21"/>
                <w:color w:val="auto"/>
              </w:rPr>
            </w:pPr>
          </w:p>
        </w:tc>
        <w:tc>
          <w:tcPr>
            <w:tcW w:w="520" w:type="dxa"/>
            <w:vAlign w:val="bottom"/>
            <w:tcBorders>
              <w:bottom w:val="single" w:sz="8" w:color="auto"/>
              <w:right w:val="single" w:sz="8" w:color="FCFCFC"/>
            </w:tcBorders>
            <w:shd w:val="clear" w:color="auto" w:fill="BAD3EA"/>
          </w:tcPr>
          <w:p>
            <w:pPr>
              <w:spacing w:after="0"/>
              <w:rPr>
                <w:sz w:val="21"/>
                <w:szCs w:val="21"/>
                <w:color w:val="auto"/>
              </w:rPr>
            </w:pPr>
          </w:p>
        </w:tc>
        <w:tc>
          <w:tcPr>
            <w:tcW w:w="500" w:type="dxa"/>
            <w:vAlign w:val="bottom"/>
            <w:tcBorders>
              <w:bottom w:val="single" w:sz="8" w:color="auto"/>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bottom w:val="single" w:sz="8" w:color="auto"/>
            </w:tcBorders>
            <w:shd w:val="clear" w:color="auto" w:fill="BAD3EA"/>
          </w:tcPr>
          <w:p>
            <w:pPr>
              <w:spacing w:after="0"/>
              <w:rPr>
                <w:sz w:val="21"/>
                <w:szCs w:val="21"/>
                <w:color w:val="auto"/>
              </w:rPr>
            </w:pPr>
          </w:p>
        </w:tc>
        <w:tc>
          <w:tcPr>
            <w:tcW w:w="500" w:type="dxa"/>
            <w:vAlign w:val="bottom"/>
            <w:tcBorders>
              <w:bottom w:val="single" w:sz="8" w:color="auto"/>
            </w:tcBorders>
            <w:shd w:val="clear" w:color="auto" w:fill="BAD3EA"/>
          </w:tcPr>
          <w:p>
            <w:pPr>
              <w:spacing w:after="0"/>
              <w:rPr>
                <w:sz w:val="21"/>
                <w:szCs w:val="21"/>
                <w:color w:val="auto"/>
              </w:rPr>
            </w:pPr>
          </w:p>
        </w:tc>
        <w:tc>
          <w:tcPr>
            <w:tcW w:w="540" w:type="dxa"/>
            <w:vAlign w:val="bottom"/>
            <w:tcBorders>
              <w:bottom w:val="single" w:sz="8" w:color="auto"/>
            </w:tcBorders>
            <w:shd w:val="clear" w:color="auto" w:fill="BAD3EA"/>
          </w:tcPr>
          <w:p>
            <w:pPr>
              <w:spacing w:after="0"/>
              <w:rPr>
                <w:sz w:val="21"/>
                <w:szCs w:val="21"/>
                <w:color w:val="auto"/>
              </w:rPr>
            </w:pPr>
          </w:p>
        </w:tc>
      </w:tr>
    </w:tbl>
    <w:p>
      <w:pPr>
        <w:spacing w:after="0" w:line="67" w:lineRule="exact"/>
        <w:rPr>
          <w:sz w:val="20"/>
          <w:szCs w:val="20"/>
          <w:color w:val="auto"/>
        </w:rPr>
      </w:pPr>
    </w:p>
    <w:p>
      <w:pPr>
        <w:jc w:val="both"/>
        <w:ind w:left="4" w:right="20"/>
        <w:spacing w:after="0" w:line="208" w:lineRule="exact"/>
        <w:rPr>
          <w:sz w:val="20"/>
          <w:szCs w:val="20"/>
          <w:color w:val="auto"/>
        </w:rPr>
      </w:pPr>
      <w:r>
        <w:rPr>
          <w:rFonts w:ascii="Arial" w:cs="Arial" w:eastAsia="Arial" w:hAnsi="Arial"/>
          <w:sz w:val="14"/>
          <w:szCs w:val="14"/>
          <w:color w:val="auto"/>
        </w:rPr>
        <w:t>The lack of a “</w:t>
      </w:r>
      <w:r>
        <w:rPr>
          <w:rFonts w:ascii="MS PGothic" w:cs="MS PGothic" w:eastAsia="MS PGothic" w:hAnsi="MS PGothic"/>
          <w:sz w:val="14"/>
          <w:szCs w:val="14"/>
          <w:color w:val="auto"/>
        </w:rPr>
        <w:t>✓</w:t>
      </w:r>
      <w:r>
        <w:rPr>
          <w:rFonts w:ascii="Arial" w:cs="Arial" w:eastAsia="Arial" w:hAnsi="Arial"/>
          <w:sz w:val="14"/>
          <w:szCs w:val="14"/>
          <w:color w:val="auto"/>
        </w:rPr>
        <w:t xml:space="preserve">” for a particular item does not mean that the director does not possess that qualification, characteristic, expertise or experience. Each of our Board members has experience and/or skills in the enumerated areas, however the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indicates that a director has a particular strength in that area.</w:t>
      </w:r>
    </w:p>
    <w:p>
      <w:pPr>
        <w:sectPr>
          <w:pgSz w:w="11900" w:h="16838" w:orient="portrait"/>
          <w:cols w:equalWidth="0" w:num="1">
            <w:col w:w="11024"/>
          </w:cols>
          <w:pgMar w:left="436" w:top="494" w:right="439" w:bottom="1440" w:gutter="0" w:footer="0" w:header="0"/>
        </w:sectPr>
      </w:pPr>
    </w:p>
    <w:p>
      <w:pPr>
        <w:spacing w:after="0" w:line="124" w:lineRule="exact"/>
        <w:rPr>
          <w:sz w:val="20"/>
          <w:szCs w:val="20"/>
          <w:color w:val="auto"/>
        </w:rPr>
      </w:pPr>
    </w:p>
    <w:p>
      <w:pPr>
        <w:ind w:left="8184"/>
        <w:spacing w:after="0"/>
        <w:rPr>
          <w:sz w:val="20"/>
          <w:szCs w:val="20"/>
          <w:color w:val="auto"/>
        </w:rPr>
      </w:pPr>
      <w:r>
        <w:rPr>
          <w:sz w:val="1"/>
          <w:szCs w:val="1"/>
          <w:color w:val="auto"/>
        </w:rPr>
        <w:drawing>
          <wp:inline distT="0" distB="0" distL="0" distR="0">
            <wp:extent cx="419735" cy="137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 -ii-</w:t>
      </w:r>
    </w:p>
    <w:p>
      <w:pPr>
        <w:sectPr>
          <w:pgSz w:w="11900" w:h="16838" w:orient="portrait"/>
          <w:cols w:equalWidth="0" w:num="1">
            <w:col w:w="11024"/>
          </w:cols>
          <w:pgMar w:left="436" w:top="494"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compliance with Nasdaq’s Board Diversity Rule, the table below provides certain highlights of the composition of our Board members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699516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FFFFFF"/>
        </w:rPr>
        <w:t>Board Diversity Matrix (April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6995160" cy="1602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60274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80" w:type="dxa"/>
            <w:vAlign w:val="bottom"/>
            <w:shd w:val="clear" w:color="auto" w:fill="E8F0F8"/>
          </w:tcPr>
          <w:p>
            <w:pPr>
              <w:ind w:left="1720"/>
              <w:spacing w:after="0"/>
              <w:rPr>
                <w:sz w:val="20"/>
                <w:szCs w:val="20"/>
                <w:color w:val="auto"/>
              </w:rPr>
            </w:pPr>
            <w:r>
              <w:rPr>
                <w:rFonts w:ascii="Arial" w:cs="Arial" w:eastAsia="Arial" w:hAnsi="Arial"/>
                <w:sz w:val="14"/>
                <w:szCs w:val="14"/>
                <w:color w:val="auto"/>
              </w:rPr>
              <w:t>Total Number of Directors</w:t>
            </w:r>
          </w:p>
        </w:tc>
        <w:tc>
          <w:tcPr>
            <w:tcW w:w="2600" w:type="dxa"/>
            <w:vAlign w:val="bottom"/>
            <w:shd w:val="clear" w:color="auto" w:fill="E8F0F8"/>
          </w:tcPr>
          <w:p>
            <w:pPr>
              <w:spacing w:after="0"/>
              <w:rPr>
                <w:sz w:val="20"/>
                <w:szCs w:val="20"/>
                <w:color w:val="auto"/>
              </w:rPr>
            </w:pPr>
          </w:p>
        </w:tc>
        <w:tc>
          <w:tcPr>
            <w:tcW w:w="9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80" w:type="dxa"/>
            <w:vAlign w:val="bottom"/>
            <w:shd w:val="clear" w:color="auto" w:fill="E8F0F8"/>
          </w:tcPr>
          <w:p>
            <w:pPr>
              <w:jc w:val="right"/>
              <w:ind w:right="84"/>
              <w:spacing w:after="0"/>
              <w:rPr>
                <w:sz w:val="20"/>
                <w:szCs w:val="20"/>
                <w:color w:val="auto"/>
              </w:rPr>
            </w:pPr>
            <w:r>
              <w:rPr>
                <w:rFonts w:ascii="Arial" w:cs="Arial" w:eastAsia="Arial" w:hAnsi="Arial"/>
                <w:sz w:val="14"/>
                <w:szCs w:val="14"/>
                <w:color w:val="auto"/>
              </w:rPr>
              <w:t>11</w:t>
            </w:r>
          </w:p>
        </w:tc>
        <w:tc>
          <w:tcPr>
            <w:tcW w:w="50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20" w:type="dxa"/>
            <w:vAlign w:val="bottom"/>
            <w:shd w:val="clear" w:color="auto" w:fill="E8F0F8"/>
          </w:tcPr>
          <w:p>
            <w:pPr>
              <w:spacing w:after="0"/>
              <w:rPr>
                <w:sz w:val="20"/>
                <w:szCs w:val="20"/>
                <w:color w:val="auto"/>
              </w:rPr>
            </w:pPr>
          </w:p>
        </w:tc>
        <w:tc>
          <w:tcPr>
            <w:tcW w:w="480" w:type="dxa"/>
            <w:vAlign w:val="bottom"/>
            <w:shd w:val="clear" w:color="auto" w:fill="E8F0F8"/>
          </w:tcPr>
          <w:p>
            <w:pPr>
              <w:spacing w:after="0"/>
              <w:rPr>
                <w:sz w:val="20"/>
                <w:szCs w:val="20"/>
                <w:color w:val="auto"/>
              </w:rPr>
            </w:pPr>
          </w:p>
        </w:tc>
      </w:tr>
      <w:tr>
        <w:trPr>
          <w:trHeight w:val="276"/>
        </w:trPr>
        <w:tc>
          <w:tcPr>
            <w:tcW w:w="3780" w:type="dxa"/>
            <w:vAlign w:val="bottom"/>
            <w:tcBorders>
              <w:bottom w:val="single" w:sz="8" w:color="E8F0F8"/>
            </w:tcBorders>
            <w:shd w:val="clear" w:color="auto" w:fill="E8F0F8"/>
          </w:tcPr>
          <w:p>
            <w:pPr>
              <w:ind w:left="1680"/>
              <w:spacing w:after="0"/>
              <w:rPr>
                <w:sz w:val="20"/>
                <w:szCs w:val="20"/>
                <w:color w:val="auto"/>
              </w:rPr>
            </w:pPr>
            <w:r>
              <w:rPr>
                <w:rFonts w:ascii="Arial" w:cs="Arial" w:eastAsia="Arial" w:hAnsi="Arial"/>
                <w:sz w:val="14"/>
                <w:szCs w:val="14"/>
                <w:color w:val="auto"/>
              </w:rPr>
              <w:t>Total Number of Nominees</w:t>
            </w:r>
          </w:p>
        </w:tc>
        <w:tc>
          <w:tcPr>
            <w:tcW w:w="2600" w:type="dxa"/>
            <w:vAlign w:val="bottom"/>
            <w:tcBorders>
              <w:bottom w:val="single" w:sz="8" w:color="E8F0F8"/>
            </w:tcBorders>
            <w:shd w:val="clear" w:color="auto" w:fill="E8F0F8"/>
          </w:tcPr>
          <w:p>
            <w:pPr>
              <w:spacing w:after="0"/>
              <w:rPr>
                <w:sz w:val="23"/>
                <w:szCs w:val="23"/>
                <w:color w:val="auto"/>
              </w:rPr>
            </w:pPr>
          </w:p>
        </w:tc>
        <w:tc>
          <w:tcPr>
            <w:tcW w:w="940" w:type="dxa"/>
            <w:vAlign w:val="bottom"/>
            <w:tcBorders>
              <w:bottom w:val="single" w:sz="8" w:color="E8F0F8"/>
            </w:tcBorders>
            <w:shd w:val="clear" w:color="auto" w:fill="E8F0F8"/>
          </w:tcPr>
          <w:p>
            <w:pPr>
              <w:spacing w:after="0"/>
              <w:rPr>
                <w:sz w:val="23"/>
                <w:szCs w:val="23"/>
                <w:color w:val="auto"/>
              </w:rPr>
            </w:pPr>
          </w:p>
        </w:tc>
        <w:tc>
          <w:tcPr>
            <w:tcW w:w="540" w:type="dxa"/>
            <w:vAlign w:val="bottom"/>
            <w:tcBorders>
              <w:bottom w:val="single" w:sz="8" w:color="E8F0F8"/>
            </w:tcBorders>
            <w:shd w:val="clear" w:color="auto" w:fill="E8F0F8"/>
          </w:tcPr>
          <w:p>
            <w:pPr>
              <w:spacing w:after="0"/>
              <w:rPr>
                <w:sz w:val="23"/>
                <w:szCs w:val="23"/>
                <w:color w:val="auto"/>
              </w:rPr>
            </w:pPr>
          </w:p>
        </w:tc>
        <w:tc>
          <w:tcPr>
            <w:tcW w:w="580" w:type="dxa"/>
            <w:vAlign w:val="bottom"/>
            <w:tcBorders>
              <w:bottom w:val="single" w:sz="8" w:color="E8F0F8"/>
            </w:tcBorders>
            <w:shd w:val="clear" w:color="auto" w:fill="E8F0F8"/>
          </w:tcPr>
          <w:p>
            <w:pPr>
              <w:jc w:val="right"/>
              <w:ind w:right="124"/>
              <w:spacing w:after="0"/>
              <w:rPr>
                <w:sz w:val="20"/>
                <w:szCs w:val="20"/>
                <w:color w:val="auto"/>
              </w:rPr>
            </w:pPr>
            <w:r>
              <w:rPr>
                <w:rFonts w:ascii="Arial" w:cs="Arial" w:eastAsia="Arial" w:hAnsi="Arial"/>
                <w:sz w:val="14"/>
                <w:szCs w:val="14"/>
                <w:color w:val="auto"/>
              </w:rPr>
              <w:t>8</w:t>
            </w:r>
          </w:p>
        </w:tc>
        <w:tc>
          <w:tcPr>
            <w:tcW w:w="500" w:type="dxa"/>
            <w:vAlign w:val="bottom"/>
            <w:tcBorders>
              <w:bottom w:val="single" w:sz="8" w:color="E8F0F8"/>
            </w:tcBorders>
            <w:shd w:val="clear" w:color="auto" w:fill="E8F0F8"/>
          </w:tcPr>
          <w:p>
            <w:pPr>
              <w:spacing w:after="0"/>
              <w:rPr>
                <w:sz w:val="23"/>
                <w:szCs w:val="23"/>
                <w:color w:val="auto"/>
              </w:rPr>
            </w:pPr>
          </w:p>
        </w:tc>
        <w:tc>
          <w:tcPr>
            <w:tcW w:w="540" w:type="dxa"/>
            <w:vAlign w:val="bottom"/>
            <w:tcBorders>
              <w:bottom w:val="single" w:sz="8" w:color="E8F0F8"/>
            </w:tcBorders>
            <w:shd w:val="clear" w:color="auto" w:fill="E8F0F8"/>
          </w:tcPr>
          <w:p>
            <w:pPr>
              <w:spacing w:after="0"/>
              <w:rPr>
                <w:sz w:val="23"/>
                <w:szCs w:val="23"/>
                <w:color w:val="auto"/>
              </w:rPr>
            </w:pPr>
          </w:p>
        </w:tc>
        <w:tc>
          <w:tcPr>
            <w:tcW w:w="540" w:type="dxa"/>
            <w:vAlign w:val="bottom"/>
            <w:tcBorders>
              <w:bottom w:val="single" w:sz="8" w:color="E8F0F8"/>
            </w:tcBorders>
            <w:shd w:val="clear" w:color="auto" w:fill="E8F0F8"/>
          </w:tcPr>
          <w:p>
            <w:pPr>
              <w:spacing w:after="0"/>
              <w:rPr>
                <w:sz w:val="23"/>
                <w:szCs w:val="23"/>
                <w:color w:val="auto"/>
              </w:rPr>
            </w:pPr>
          </w:p>
        </w:tc>
        <w:tc>
          <w:tcPr>
            <w:tcW w:w="520" w:type="dxa"/>
            <w:vAlign w:val="bottom"/>
            <w:tcBorders>
              <w:bottom w:val="single" w:sz="8" w:color="E8F0F8"/>
            </w:tcBorders>
            <w:shd w:val="clear" w:color="auto" w:fill="E8F0F8"/>
          </w:tcPr>
          <w:p>
            <w:pPr>
              <w:spacing w:after="0"/>
              <w:rPr>
                <w:sz w:val="23"/>
                <w:szCs w:val="23"/>
                <w:color w:val="auto"/>
              </w:rPr>
            </w:pPr>
          </w:p>
        </w:tc>
        <w:tc>
          <w:tcPr>
            <w:tcW w:w="480" w:type="dxa"/>
            <w:vAlign w:val="bottom"/>
            <w:tcBorders>
              <w:bottom w:val="single" w:sz="8" w:color="E8F0F8"/>
            </w:tcBorders>
            <w:shd w:val="clear" w:color="auto" w:fill="E8F0F8"/>
          </w:tcPr>
          <w:p>
            <w:pPr>
              <w:spacing w:after="0"/>
              <w:rPr>
                <w:sz w:val="23"/>
                <w:szCs w:val="23"/>
                <w:color w:val="auto"/>
              </w:rPr>
            </w:pPr>
          </w:p>
        </w:tc>
      </w:tr>
      <w:tr>
        <w:trPr>
          <w:trHeight w:val="1984"/>
        </w:trPr>
        <w:tc>
          <w:tcPr>
            <w:tcW w:w="3780" w:type="dxa"/>
            <w:vAlign w:val="bottom"/>
            <w:shd w:val="clear" w:color="auto" w:fill="1A6DBB"/>
          </w:tcPr>
          <w:p>
            <w:pPr>
              <w:ind w:left="80"/>
              <w:spacing w:after="0"/>
              <w:rPr>
                <w:sz w:val="20"/>
                <w:szCs w:val="20"/>
                <w:color w:val="auto"/>
              </w:rPr>
            </w:pPr>
            <w:r>
              <w:rPr>
                <w:rFonts w:ascii="Arial" w:cs="Arial" w:eastAsia="Arial" w:hAnsi="Arial"/>
                <w:sz w:val="14"/>
                <w:szCs w:val="14"/>
                <w:b w:val="1"/>
                <w:bCs w:val="1"/>
                <w:color w:val="FFFFFF"/>
              </w:rPr>
              <w:t>Attributes, Experience and Skills</w:t>
            </w:r>
          </w:p>
        </w:tc>
        <w:tc>
          <w:tcPr>
            <w:tcW w:w="2600" w:type="dxa"/>
            <w:vAlign w:val="bottom"/>
            <w:shd w:val="clear" w:color="auto" w:fill="1A6DBB"/>
          </w:tcPr>
          <w:p>
            <w:pPr>
              <w:spacing w:after="0"/>
              <w:rPr>
                <w:sz w:val="24"/>
                <w:szCs w:val="24"/>
                <w:color w:val="auto"/>
              </w:rPr>
            </w:pPr>
          </w:p>
        </w:tc>
        <w:tc>
          <w:tcPr>
            <w:tcW w:w="940" w:type="dxa"/>
            <w:vAlign w:val="bottom"/>
            <w:shd w:val="clear" w:color="auto" w:fill="1A6DBB"/>
          </w:tcPr>
          <w:p>
            <w:pPr>
              <w:spacing w:after="0"/>
              <w:rPr>
                <w:sz w:val="24"/>
                <w:szCs w:val="24"/>
                <w:color w:val="auto"/>
              </w:rPr>
            </w:pPr>
          </w:p>
        </w:tc>
        <w:tc>
          <w:tcPr>
            <w:tcW w:w="540" w:type="dxa"/>
            <w:vAlign w:val="bottom"/>
            <w:shd w:val="clear" w:color="auto" w:fill="1A6DBB"/>
          </w:tcPr>
          <w:p>
            <w:pPr>
              <w:spacing w:after="0"/>
              <w:rPr>
                <w:sz w:val="24"/>
                <w:szCs w:val="24"/>
                <w:color w:val="auto"/>
              </w:rPr>
            </w:pPr>
          </w:p>
        </w:tc>
        <w:tc>
          <w:tcPr>
            <w:tcW w:w="580" w:type="dxa"/>
            <w:vAlign w:val="bottom"/>
            <w:shd w:val="clear" w:color="auto" w:fill="1A6DBB"/>
          </w:tcPr>
          <w:p>
            <w:pPr>
              <w:spacing w:after="0"/>
              <w:rPr>
                <w:sz w:val="24"/>
                <w:szCs w:val="24"/>
                <w:color w:val="auto"/>
              </w:rPr>
            </w:pPr>
          </w:p>
        </w:tc>
        <w:tc>
          <w:tcPr>
            <w:tcW w:w="500" w:type="dxa"/>
            <w:vAlign w:val="bottom"/>
            <w:shd w:val="clear" w:color="auto" w:fill="1A6DBB"/>
          </w:tcPr>
          <w:p>
            <w:pPr>
              <w:spacing w:after="0"/>
              <w:rPr>
                <w:sz w:val="24"/>
                <w:szCs w:val="24"/>
                <w:color w:val="auto"/>
              </w:rPr>
            </w:pPr>
          </w:p>
        </w:tc>
        <w:tc>
          <w:tcPr>
            <w:tcW w:w="540" w:type="dxa"/>
            <w:vAlign w:val="bottom"/>
            <w:shd w:val="clear" w:color="auto" w:fill="1A6DBB"/>
          </w:tcPr>
          <w:p>
            <w:pPr>
              <w:spacing w:after="0"/>
              <w:rPr>
                <w:sz w:val="24"/>
                <w:szCs w:val="24"/>
                <w:color w:val="auto"/>
              </w:rPr>
            </w:pPr>
          </w:p>
        </w:tc>
        <w:tc>
          <w:tcPr>
            <w:tcW w:w="540" w:type="dxa"/>
            <w:vAlign w:val="bottom"/>
            <w:shd w:val="clear" w:color="auto" w:fill="1A6DBB"/>
          </w:tcPr>
          <w:p>
            <w:pPr>
              <w:spacing w:after="0"/>
              <w:rPr>
                <w:sz w:val="24"/>
                <w:szCs w:val="24"/>
                <w:color w:val="auto"/>
              </w:rPr>
            </w:pPr>
          </w:p>
        </w:tc>
        <w:tc>
          <w:tcPr>
            <w:tcW w:w="520" w:type="dxa"/>
            <w:vAlign w:val="bottom"/>
            <w:shd w:val="clear" w:color="auto" w:fill="1A6DBB"/>
          </w:tcPr>
          <w:p>
            <w:pPr>
              <w:spacing w:after="0"/>
              <w:rPr>
                <w:sz w:val="24"/>
                <w:szCs w:val="24"/>
                <w:color w:val="auto"/>
              </w:rPr>
            </w:pPr>
          </w:p>
        </w:tc>
        <w:tc>
          <w:tcPr>
            <w:tcW w:w="480" w:type="dxa"/>
            <w:vAlign w:val="bottom"/>
            <w:shd w:val="clear" w:color="auto" w:fill="1A6DBB"/>
          </w:tcPr>
          <w:p>
            <w:pPr>
              <w:spacing w:after="0"/>
              <w:rPr>
                <w:sz w:val="24"/>
                <w:szCs w:val="24"/>
                <w:color w:val="auto"/>
              </w:rPr>
            </w:pPr>
          </w:p>
        </w:tc>
      </w:tr>
      <w:tr>
        <w:trPr>
          <w:trHeight w:val="277"/>
        </w:trPr>
        <w:tc>
          <w:tcPr>
            <w:tcW w:w="3780" w:type="dxa"/>
            <w:vAlign w:val="bottom"/>
            <w:tcBorders>
              <w:bottom w:val="single" w:sz="8" w:color="1A6DBB"/>
            </w:tcBorders>
            <w:shd w:val="clear" w:color="auto" w:fill="1A6DBB"/>
          </w:tcPr>
          <w:p>
            <w:pPr>
              <w:spacing w:after="0"/>
              <w:rPr>
                <w:sz w:val="24"/>
                <w:szCs w:val="24"/>
                <w:color w:val="auto"/>
              </w:rPr>
            </w:pPr>
          </w:p>
        </w:tc>
        <w:tc>
          <w:tcPr>
            <w:tcW w:w="2600" w:type="dxa"/>
            <w:vAlign w:val="bottom"/>
            <w:tcBorders>
              <w:bottom w:val="single" w:sz="8" w:color="1A6DBB"/>
            </w:tcBorders>
            <w:shd w:val="clear" w:color="auto" w:fill="1A6DBB"/>
          </w:tcPr>
          <w:p>
            <w:pPr>
              <w:ind w:left="820"/>
              <w:spacing w:after="0"/>
              <w:rPr>
                <w:sz w:val="20"/>
                <w:szCs w:val="20"/>
                <w:color w:val="auto"/>
              </w:rPr>
            </w:pPr>
            <w:r>
              <w:rPr>
                <w:rFonts w:ascii="Arial" w:cs="Arial" w:eastAsia="Arial" w:hAnsi="Arial"/>
                <w:sz w:val="16"/>
                <w:szCs w:val="16"/>
                <w:b w:val="1"/>
                <w:bCs w:val="1"/>
                <w:color w:val="FFFFFF"/>
              </w:rPr>
              <w:t>Part 1: Gender Identity</w:t>
            </w:r>
          </w:p>
        </w:tc>
        <w:tc>
          <w:tcPr>
            <w:tcW w:w="940" w:type="dxa"/>
            <w:vAlign w:val="bottom"/>
            <w:tcBorders>
              <w:bottom w:val="single" w:sz="8" w:color="1A6DBB"/>
            </w:tcBorders>
            <w:shd w:val="clear" w:color="auto" w:fill="1A6DBB"/>
          </w:tcPr>
          <w:p>
            <w:pPr>
              <w:spacing w:after="0"/>
              <w:rPr>
                <w:sz w:val="24"/>
                <w:szCs w:val="24"/>
                <w:color w:val="auto"/>
              </w:rPr>
            </w:pPr>
          </w:p>
        </w:tc>
        <w:tc>
          <w:tcPr>
            <w:tcW w:w="540" w:type="dxa"/>
            <w:vAlign w:val="bottom"/>
            <w:tcBorders>
              <w:bottom w:val="single" w:sz="8" w:color="1A6DBB"/>
            </w:tcBorders>
            <w:shd w:val="clear" w:color="auto" w:fill="1A6DBB"/>
          </w:tcPr>
          <w:p>
            <w:pPr>
              <w:spacing w:after="0"/>
              <w:rPr>
                <w:sz w:val="24"/>
                <w:szCs w:val="24"/>
                <w:color w:val="auto"/>
              </w:rPr>
            </w:pPr>
          </w:p>
        </w:tc>
        <w:tc>
          <w:tcPr>
            <w:tcW w:w="580" w:type="dxa"/>
            <w:vAlign w:val="bottom"/>
            <w:tcBorders>
              <w:bottom w:val="single" w:sz="8" w:color="1A6DBB"/>
            </w:tcBorders>
            <w:shd w:val="clear" w:color="auto" w:fill="1A6DBB"/>
          </w:tcPr>
          <w:p>
            <w:pPr>
              <w:spacing w:after="0"/>
              <w:rPr>
                <w:sz w:val="24"/>
                <w:szCs w:val="24"/>
                <w:color w:val="auto"/>
              </w:rPr>
            </w:pPr>
          </w:p>
        </w:tc>
        <w:tc>
          <w:tcPr>
            <w:tcW w:w="500" w:type="dxa"/>
            <w:vAlign w:val="bottom"/>
            <w:tcBorders>
              <w:bottom w:val="single" w:sz="8" w:color="1A6DBB"/>
            </w:tcBorders>
            <w:shd w:val="clear" w:color="auto" w:fill="1A6DBB"/>
          </w:tcPr>
          <w:p>
            <w:pPr>
              <w:spacing w:after="0"/>
              <w:rPr>
                <w:sz w:val="24"/>
                <w:szCs w:val="24"/>
                <w:color w:val="auto"/>
              </w:rPr>
            </w:pPr>
          </w:p>
        </w:tc>
        <w:tc>
          <w:tcPr>
            <w:tcW w:w="540" w:type="dxa"/>
            <w:vAlign w:val="bottom"/>
            <w:tcBorders>
              <w:bottom w:val="single" w:sz="8" w:color="1A6DBB"/>
            </w:tcBorders>
            <w:shd w:val="clear" w:color="auto" w:fill="1A6DBB"/>
          </w:tcPr>
          <w:p>
            <w:pPr>
              <w:spacing w:after="0"/>
              <w:rPr>
                <w:sz w:val="24"/>
                <w:szCs w:val="24"/>
                <w:color w:val="auto"/>
              </w:rPr>
            </w:pPr>
          </w:p>
        </w:tc>
        <w:tc>
          <w:tcPr>
            <w:tcW w:w="540" w:type="dxa"/>
            <w:vAlign w:val="bottom"/>
            <w:tcBorders>
              <w:bottom w:val="single" w:sz="8" w:color="1A6DBB"/>
            </w:tcBorders>
            <w:shd w:val="clear" w:color="auto" w:fill="1A6DBB"/>
          </w:tcPr>
          <w:p>
            <w:pPr>
              <w:spacing w:after="0"/>
              <w:rPr>
                <w:sz w:val="24"/>
                <w:szCs w:val="24"/>
                <w:color w:val="auto"/>
              </w:rPr>
            </w:pPr>
          </w:p>
        </w:tc>
        <w:tc>
          <w:tcPr>
            <w:tcW w:w="520" w:type="dxa"/>
            <w:vAlign w:val="bottom"/>
            <w:tcBorders>
              <w:bottom w:val="single" w:sz="8" w:color="1A6DBB"/>
            </w:tcBorders>
            <w:shd w:val="clear" w:color="auto" w:fill="1A6DBB"/>
          </w:tcPr>
          <w:p>
            <w:pPr>
              <w:spacing w:after="0"/>
              <w:rPr>
                <w:sz w:val="24"/>
                <w:szCs w:val="24"/>
                <w:color w:val="auto"/>
              </w:rPr>
            </w:pPr>
          </w:p>
        </w:tc>
        <w:tc>
          <w:tcPr>
            <w:tcW w:w="480" w:type="dxa"/>
            <w:vAlign w:val="bottom"/>
            <w:tcBorders>
              <w:bottom w:val="single" w:sz="8" w:color="1A6DBB"/>
            </w:tcBorders>
            <w:shd w:val="clear" w:color="auto" w:fill="1A6DBB"/>
          </w:tcPr>
          <w:p>
            <w:pPr>
              <w:spacing w:after="0"/>
              <w:rPr>
                <w:sz w:val="24"/>
                <w:szCs w:val="24"/>
                <w:color w:val="auto"/>
              </w:rPr>
            </w:pPr>
          </w:p>
        </w:tc>
      </w:tr>
      <w:tr>
        <w:trPr>
          <w:trHeight w:val="243"/>
        </w:trPr>
        <w:tc>
          <w:tcPr>
            <w:tcW w:w="3780" w:type="dxa"/>
            <w:vAlign w:val="bottom"/>
            <w:shd w:val="clear" w:color="auto" w:fill="E8F0F8"/>
          </w:tcPr>
          <w:p>
            <w:pPr>
              <w:ind w:left="80"/>
              <w:spacing w:after="0"/>
              <w:rPr>
                <w:sz w:val="20"/>
                <w:szCs w:val="20"/>
                <w:color w:val="auto"/>
              </w:rPr>
            </w:pPr>
            <w:r>
              <w:rPr>
                <w:rFonts w:ascii="Arial" w:cs="Arial" w:eastAsia="Arial" w:hAnsi="Arial"/>
                <w:sz w:val="16"/>
                <w:szCs w:val="16"/>
                <w:color w:val="auto"/>
              </w:rPr>
              <w:t>Female</w:t>
            </w:r>
          </w:p>
        </w:tc>
        <w:tc>
          <w:tcPr>
            <w:tcW w:w="2600" w:type="dxa"/>
            <w:vAlign w:val="bottom"/>
            <w:shd w:val="clear" w:color="auto" w:fill="E8F0F8"/>
          </w:tcPr>
          <w:p>
            <w:pPr>
              <w:ind w:left="212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shd w:val="clear" w:color="auto" w:fill="E8F0F8"/>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spacing w:after="0"/>
              <w:rPr>
                <w:sz w:val="21"/>
                <w:szCs w:val="21"/>
                <w:color w:val="auto"/>
              </w:rPr>
            </w:pPr>
          </w:p>
        </w:tc>
        <w:tc>
          <w:tcPr>
            <w:tcW w:w="580" w:type="dxa"/>
            <w:vAlign w:val="bottom"/>
            <w:shd w:val="clear" w:color="auto" w:fill="E8F0F8"/>
          </w:tcPr>
          <w:p>
            <w:pPr>
              <w:spacing w:after="0"/>
              <w:rPr>
                <w:sz w:val="21"/>
                <w:szCs w:val="21"/>
                <w:color w:val="auto"/>
              </w:rPr>
            </w:pPr>
          </w:p>
        </w:tc>
        <w:tc>
          <w:tcPr>
            <w:tcW w:w="50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20" w:type="dxa"/>
            <w:vAlign w:val="bottom"/>
            <w:shd w:val="clear" w:color="auto" w:fill="E8F0F8"/>
          </w:tcPr>
          <w:p>
            <w:pPr>
              <w:spacing w:after="0"/>
              <w:rPr>
                <w:sz w:val="21"/>
                <w:szCs w:val="21"/>
                <w:color w:val="auto"/>
              </w:rPr>
            </w:pPr>
          </w:p>
        </w:tc>
        <w:tc>
          <w:tcPr>
            <w:tcW w:w="480" w:type="dxa"/>
            <w:vAlign w:val="bottom"/>
            <w:shd w:val="clear" w:color="auto" w:fill="E8F0F8"/>
          </w:tcPr>
          <w:p>
            <w:pPr>
              <w:spacing w:after="0"/>
              <w:rPr>
                <w:sz w:val="21"/>
                <w:szCs w:val="21"/>
                <w:color w:val="auto"/>
              </w:rPr>
            </w:pPr>
          </w:p>
        </w:tc>
      </w:tr>
      <w:tr>
        <w:trPr>
          <w:trHeight w:val="257"/>
        </w:trPr>
        <w:tc>
          <w:tcPr>
            <w:tcW w:w="3780" w:type="dxa"/>
            <w:vAlign w:val="bottom"/>
            <w:shd w:val="clear" w:color="auto" w:fill="BAD3EA"/>
          </w:tcPr>
          <w:p>
            <w:pPr>
              <w:ind w:left="80"/>
              <w:spacing w:after="0"/>
              <w:rPr>
                <w:sz w:val="20"/>
                <w:szCs w:val="20"/>
                <w:color w:val="auto"/>
              </w:rPr>
            </w:pPr>
            <w:r>
              <w:rPr>
                <w:rFonts w:ascii="Arial" w:cs="Arial" w:eastAsia="Arial" w:hAnsi="Arial"/>
                <w:sz w:val="16"/>
                <w:szCs w:val="16"/>
                <w:color w:val="auto"/>
              </w:rPr>
              <w:t>Male</w:t>
            </w:r>
          </w:p>
        </w:tc>
        <w:tc>
          <w:tcPr>
            <w:tcW w:w="2600" w:type="dxa"/>
            <w:vAlign w:val="bottom"/>
            <w:shd w:val="clear" w:color="auto" w:fill="BAD3EA"/>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shd w:val="clear" w:color="auto" w:fill="BAD3EA"/>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r>
      <w:tr>
        <w:trPr>
          <w:trHeight w:val="240"/>
        </w:trPr>
        <w:tc>
          <w:tcPr>
            <w:tcW w:w="3780" w:type="dxa"/>
            <w:vAlign w:val="bottom"/>
            <w:shd w:val="clear" w:color="auto" w:fill="E8F0F8"/>
          </w:tcPr>
          <w:p>
            <w:pPr>
              <w:ind w:left="80"/>
              <w:spacing w:after="0"/>
              <w:rPr>
                <w:sz w:val="20"/>
                <w:szCs w:val="20"/>
                <w:color w:val="auto"/>
              </w:rPr>
            </w:pPr>
            <w:r>
              <w:rPr>
                <w:rFonts w:ascii="Arial" w:cs="Arial" w:eastAsia="Arial" w:hAnsi="Arial"/>
                <w:sz w:val="16"/>
                <w:szCs w:val="16"/>
                <w:color w:val="auto"/>
              </w:rPr>
              <w:t>Non-Binary</w:t>
            </w:r>
          </w:p>
        </w:tc>
        <w:tc>
          <w:tcPr>
            <w:tcW w:w="2600" w:type="dxa"/>
            <w:vAlign w:val="bottom"/>
            <w:shd w:val="clear" w:color="auto" w:fill="E8F0F8"/>
          </w:tcPr>
          <w:p>
            <w:pPr>
              <w:spacing w:after="0"/>
              <w:rPr>
                <w:sz w:val="20"/>
                <w:szCs w:val="20"/>
                <w:color w:val="auto"/>
              </w:rPr>
            </w:pPr>
          </w:p>
        </w:tc>
        <w:tc>
          <w:tcPr>
            <w:tcW w:w="9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80" w:type="dxa"/>
            <w:vAlign w:val="bottom"/>
            <w:shd w:val="clear" w:color="auto" w:fill="E8F0F8"/>
          </w:tcPr>
          <w:p>
            <w:pPr>
              <w:spacing w:after="0"/>
              <w:rPr>
                <w:sz w:val="20"/>
                <w:szCs w:val="20"/>
                <w:color w:val="auto"/>
              </w:rPr>
            </w:pPr>
          </w:p>
        </w:tc>
        <w:tc>
          <w:tcPr>
            <w:tcW w:w="50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20" w:type="dxa"/>
            <w:vAlign w:val="bottom"/>
            <w:shd w:val="clear" w:color="auto" w:fill="E8F0F8"/>
          </w:tcPr>
          <w:p>
            <w:pPr>
              <w:spacing w:after="0"/>
              <w:rPr>
                <w:sz w:val="20"/>
                <w:szCs w:val="20"/>
                <w:color w:val="auto"/>
              </w:rPr>
            </w:pPr>
          </w:p>
        </w:tc>
        <w:tc>
          <w:tcPr>
            <w:tcW w:w="480" w:type="dxa"/>
            <w:vAlign w:val="bottom"/>
            <w:shd w:val="clear" w:color="auto" w:fill="E8F0F8"/>
          </w:tcPr>
          <w:p>
            <w:pPr>
              <w:spacing w:after="0"/>
              <w:rPr>
                <w:sz w:val="20"/>
                <w:szCs w:val="20"/>
                <w:color w:val="auto"/>
              </w:rPr>
            </w:pPr>
          </w:p>
        </w:tc>
      </w:tr>
      <w:tr>
        <w:trPr>
          <w:trHeight w:val="243"/>
        </w:trPr>
        <w:tc>
          <w:tcPr>
            <w:tcW w:w="3780" w:type="dxa"/>
            <w:vAlign w:val="bottom"/>
            <w:shd w:val="clear" w:color="auto" w:fill="BAD3EA"/>
          </w:tcPr>
          <w:p>
            <w:pPr>
              <w:ind w:left="80"/>
              <w:spacing w:after="0"/>
              <w:rPr>
                <w:sz w:val="20"/>
                <w:szCs w:val="20"/>
                <w:color w:val="auto"/>
              </w:rPr>
            </w:pPr>
            <w:r>
              <w:rPr>
                <w:rFonts w:ascii="Arial" w:cs="Arial" w:eastAsia="Arial" w:hAnsi="Arial"/>
                <w:sz w:val="16"/>
                <w:szCs w:val="16"/>
                <w:color w:val="auto"/>
              </w:rPr>
              <w:t>Did Not Disclose Gender</w:t>
            </w:r>
          </w:p>
        </w:tc>
        <w:tc>
          <w:tcPr>
            <w:tcW w:w="2600" w:type="dxa"/>
            <w:vAlign w:val="bottom"/>
            <w:shd w:val="clear" w:color="auto" w:fill="BAD3EA"/>
          </w:tcPr>
          <w:p>
            <w:pPr>
              <w:spacing w:after="0"/>
              <w:rPr>
                <w:sz w:val="21"/>
                <w:szCs w:val="21"/>
                <w:color w:val="auto"/>
              </w:rPr>
            </w:pPr>
          </w:p>
        </w:tc>
        <w:tc>
          <w:tcPr>
            <w:tcW w:w="94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80" w:type="dxa"/>
            <w:vAlign w:val="bottom"/>
            <w:shd w:val="clear" w:color="auto" w:fill="BAD3EA"/>
          </w:tcPr>
          <w:p>
            <w:pPr>
              <w:spacing w:after="0"/>
              <w:rPr>
                <w:sz w:val="21"/>
                <w:szCs w:val="21"/>
                <w:color w:val="auto"/>
              </w:rPr>
            </w:pPr>
          </w:p>
        </w:tc>
        <w:tc>
          <w:tcPr>
            <w:tcW w:w="50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20" w:type="dxa"/>
            <w:vAlign w:val="bottom"/>
            <w:shd w:val="clear" w:color="auto" w:fill="BAD3EA"/>
          </w:tcPr>
          <w:p>
            <w:pPr>
              <w:spacing w:after="0"/>
              <w:rPr>
                <w:sz w:val="21"/>
                <w:szCs w:val="21"/>
                <w:color w:val="auto"/>
              </w:rPr>
            </w:pPr>
          </w:p>
        </w:tc>
        <w:tc>
          <w:tcPr>
            <w:tcW w:w="480" w:type="dxa"/>
            <w:vAlign w:val="bottom"/>
            <w:shd w:val="clear" w:color="auto" w:fill="BAD3EA"/>
          </w:tcPr>
          <w:p>
            <w:pPr>
              <w:spacing w:after="0"/>
              <w:rPr>
                <w:sz w:val="21"/>
                <w:szCs w:val="21"/>
                <w:color w:val="auto"/>
              </w:rPr>
            </w:pPr>
          </w:p>
        </w:tc>
      </w:tr>
      <w:tr>
        <w:trPr>
          <w:trHeight w:val="293"/>
        </w:trPr>
        <w:tc>
          <w:tcPr>
            <w:tcW w:w="3780" w:type="dxa"/>
            <w:vAlign w:val="bottom"/>
            <w:tcBorders>
              <w:bottom w:val="single" w:sz="8" w:color="1A6DBB"/>
            </w:tcBorders>
            <w:shd w:val="clear" w:color="auto" w:fill="1A6DBB"/>
          </w:tcPr>
          <w:p>
            <w:pPr>
              <w:spacing w:after="0"/>
              <w:rPr>
                <w:sz w:val="24"/>
                <w:szCs w:val="24"/>
                <w:color w:val="auto"/>
              </w:rPr>
            </w:pPr>
          </w:p>
        </w:tc>
        <w:tc>
          <w:tcPr>
            <w:tcW w:w="3540" w:type="dxa"/>
            <w:vAlign w:val="bottom"/>
            <w:tcBorders>
              <w:bottom w:val="single" w:sz="8" w:color="1A6DBB"/>
            </w:tcBorders>
            <w:gridSpan w:val="2"/>
            <w:shd w:val="clear" w:color="auto" w:fill="1A6DBB"/>
          </w:tcPr>
          <w:p>
            <w:pPr>
              <w:ind w:left="400"/>
              <w:spacing w:after="0"/>
              <w:rPr>
                <w:sz w:val="20"/>
                <w:szCs w:val="20"/>
                <w:color w:val="auto"/>
              </w:rPr>
            </w:pPr>
            <w:r>
              <w:rPr>
                <w:rFonts w:ascii="Arial" w:cs="Arial" w:eastAsia="Arial" w:hAnsi="Arial"/>
                <w:sz w:val="16"/>
                <w:szCs w:val="16"/>
                <w:b w:val="1"/>
                <w:bCs w:val="1"/>
                <w:color w:val="FFFFFF"/>
              </w:rPr>
              <w:t>Part II: Demographic Background</w:t>
            </w:r>
          </w:p>
        </w:tc>
        <w:tc>
          <w:tcPr>
            <w:tcW w:w="540" w:type="dxa"/>
            <w:vAlign w:val="bottom"/>
            <w:tcBorders>
              <w:bottom w:val="single" w:sz="8" w:color="1A6DBB"/>
            </w:tcBorders>
            <w:shd w:val="clear" w:color="auto" w:fill="1A6DBB"/>
          </w:tcPr>
          <w:p>
            <w:pPr>
              <w:spacing w:after="0"/>
              <w:rPr>
                <w:sz w:val="24"/>
                <w:szCs w:val="24"/>
                <w:color w:val="auto"/>
              </w:rPr>
            </w:pPr>
          </w:p>
        </w:tc>
        <w:tc>
          <w:tcPr>
            <w:tcW w:w="580" w:type="dxa"/>
            <w:vAlign w:val="bottom"/>
            <w:tcBorders>
              <w:bottom w:val="single" w:sz="8" w:color="1A6DBB"/>
            </w:tcBorders>
            <w:shd w:val="clear" w:color="auto" w:fill="1A6DBB"/>
          </w:tcPr>
          <w:p>
            <w:pPr>
              <w:spacing w:after="0"/>
              <w:rPr>
                <w:sz w:val="24"/>
                <w:szCs w:val="24"/>
                <w:color w:val="auto"/>
              </w:rPr>
            </w:pPr>
          </w:p>
        </w:tc>
        <w:tc>
          <w:tcPr>
            <w:tcW w:w="500" w:type="dxa"/>
            <w:vAlign w:val="bottom"/>
            <w:tcBorders>
              <w:bottom w:val="single" w:sz="8" w:color="1A6DBB"/>
            </w:tcBorders>
            <w:shd w:val="clear" w:color="auto" w:fill="1A6DBB"/>
          </w:tcPr>
          <w:p>
            <w:pPr>
              <w:spacing w:after="0"/>
              <w:rPr>
                <w:sz w:val="24"/>
                <w:szCs w:val="24"/>
                <w:color w:val="auto"/>
              </w:rPr>
            </w:pPr>
          </w:p>
        </w:tc>
        <w:tc>
          <w:tcPr>
            <w:tcW w:w="540" w:type="dxa"/>
            <w:vAlign w:val="bottom"/>
            <w:tcBorders>
              <w:bottom w:val="single" w:sz="8" w:color="1A6DBB"/>
            </w:tcBorders>
            <w:shd w:val="clear" w:color="auto" w:fill="1A6DBB"/>
          </w:tcPr>
          <w:p>
            <w:pPr>
              <w:spacing w:after="0"/>
              <w:rPr>
                <w:sz w:val="24"/>
                <w:szCs w:val="24"/>
                <w:color w:val="auto"/>
              </w:rPr>
            </w:pPr>
          </w:p>
        </w:tc>
        <w:tc>
          <w:tcPr>
            <w:tcW w:w="540" w:type="dxa"/>
            <w:vAlign w:val="bottom"/>
            <w:tcBorders>
              <w:bottom w:val="single" w:sz="8" w:color="1A6DBB"/>
            </w:tcBorders>
            <w:shd w:val="clear" w:color="auto" w:fill="1A6DBB"/>
          </w:tcPr>
          <w:p>
            <w:pPr>
              <w:spacing w:after="0"/>
              <w:rPr>
                <w:sz w:val="24"/>
                <w:szCs w:val="24"/>
                <w:color w:val="auto"/>
              </w:rPr>
            </w:pPr>
          </w:p>
        </w:tc>
        <w:tc>
          <w:tcPr>
            <w:tcW w:w="520" w:type="dxa"/>
            <w:vAlign w:val="bottom"/>
            <w:tcBorders>
              <w:bottom w:val="single" w:sz="8" w:color="1A6DBB"/>
            </w:tcBorders>
            <w:shd w:val="clear" w:color="auto" w:fill="1A6DBB"/>
          </w:tcPr>
          <w:p>
            <w:pPr>
              <w:spacing w:after="0"/>
              <w:rPr>
                <w:sz w:val="24"/>
                <w:szCs w:val="24"/>
                <w:color w:val="auto"/>
              </w:rPr>
            </w:pPr>
          </w:p>
        </w:tc>
        <w:tc>
          <w:tcPr>
            <w:tcW w:w="480" w:type="dxa"/>
            <w:vAlign w:val="bottom"/>
            <w:tcBorders>
              <w:bottom w:val="single" w:sz="8" w:color="1A6DBB"/>
            </w:tcBorders>
            <w:shd w:val="clear" w:color="auto" w:fill="1A6DBB"/>
          </w:tcPr>
          <w:p>
            <w:pPr>
              <w:spacing w:after="0"/>
              <w:rPr>
                <w:sz w:val="24"/>
                <w:szCs w:val="24"/>
                <w:color w:val="auto"/>
              </w:rPr>
            </w:pPr>
          </w:p>
        </w:tc>
      </w:tr>
      <w:tr>
        <w:trPr>
          <w:trHeight w:val="293"/>
        </w:trPr>
        <w:tc>
          <w:tcPr>
            <w:tcW w:w="3780" w:type="dxa"/>
            <w:vAlign w:val="bottom"/>
            <w:shd w:val="clear" w:color="auto" w:fill="E8F0F8"/>
          </w:tcPr>
          <w:p>
            <w:pPr>
              <w:ind w:left="80"/>
              <w:spacing w:after="0"/>
              <w:rPr>
                <w:sz w:val="20"/>
                <w:szCs w:val="20"/>
                <w:color w:val="auto"/>
              </w:rPr>
            </w:pPr>
            <w:r>
              <w:rPr>
                <w:rFonts w:ascii="Arial" w:cs="Arial" w:eastAsia="Arial" w:hAnsi="Arial"/>
                <w:sz w:val="16"/>
                <w:szCs w:val="16"/>
                <w:color w:val="auto"/>
              </w:rPr>
              <w:t>African American or Black</w:t>
            </w:r>
          </w:p>
        </w:tc>
        <w:tc>
          <w:tcPr>
            <w:tcW w:w="2600" w:type="dxa"/>
            <w:vAlign w:val="bottom"/>
            <w:shd w:val="clear" w:color="auto" w:fill="E8F0F8"/>
          </w:tcPr>
          <w:p>
            <w:pPr>
              <w:spacing w:after="0"/>
              <w:rPr>
                <w:sz w:val="24"/>
                <w:szCs w:val="24"/>
                <w:color w:val="auto"/>
              </w:rPr>
            </w:pPr>
          </w:p>
        </w:tc>
        <w:tc>
          <w:tcPr>
            <w:tcW w:w="940" w:type="dxa"/>
            <w:vAlign w:val="bottom"/>
            <w:shd w:val="clear" w:color="auto" w:fill="E8F0F8"/>
          </w:tcPr>
          <w:p>
            <w:pPr>
              <w:spacing w:after="0"/>
              <w:rPr>
                <w:sz w:val="24"/>
                <w:szCs w:val="24"/>
                <w:color w:val="auto"/>
              </w:rPr>
            </w:pP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E8F0F8"/>
          </w:tcPr>
          <w:p>
            <w:pPr>
              <w:spacing w:after="0"/>
              <w:rPr>
                <w:sz w:val="24"/>
                <w:szCs w:val="24"/>
                <w:color w:val="auto"/>
              </w:rPr>
            </w:pPr>
          </w:p>
        </w:tc>
        <w:tc>
          <w:tcPr>
            <w:tcW w:w="500" w:type="dxa"/>
            <w:vAlign w:val="bottom"/>
            <w:shd w:val="clear" w:color="auto" w:fill="E8F0F8"/>
          </w:tcPr>
          <w:p>
            <w:pPr>
              <w:spacing w:after="0"/>
              <w:rPr>
                <w:sz w:val="24"/>
                <w:szCs w:val="24"/>
                <w:color w:val="auto"/>
              </w:rPr>
            </w:pPr>
          </w:p>
        </w:tc>
        <w:tc>
          <w:tcPr>
            <w:tcW w:w="540" w:type="dxa"/>
            <w:vAlign w:val="bottom"/>
            <w:shd w:val="clear" w:color="auto" w:fill="E8F0F8"/>
          </w:tcPr>
          <w:p>
            <w:pPr>
              <w:spacing w:after="0"/>
              <w:rPr>
                <w:sz w:val="24"/>
                <w:szCs w:val="24"/>
                <w:color w:val="auto"/>
              </w:rPr>
            </w:pPr>
          </w:p>
        </w:tc>
        <w:tc>
          <w:tcPr>
            <w:tcW w:w="540" w:type="dxa"/>
            <w:vAlign w:val="bottom"/>
            <w:shd w:val="clear" w:color="auto" w:fill="E8F0F8"/>
          </w:tcPr>
          <w:p>
            <w:pPr>
              <w:spacing w:after="0"/>
              <w:rPr>
                <w:sz w:val="24"/>
                <w:szCs w:val="24"/>
                <w:color w:val="auto"/>
              </w:rPr>
            </w:pPr>
          </w:p>
        </w:tc>
        <w:tc>
          <w:tcPr>
            <w:tcW w:w="520" w:type="dxa"/>
            <w:vAlign w:val="bottom"/>
            <w:shd w:val="clear" w:color="auto" w:fill="E8F0F8"/>
          </w:tcPr>
          <w:p>
            <w:pPr>
              <w:spacing w:after="0"/>
              <w:rPr>
                <w:sz w:val="24"/>
                <w:szCs w:val="24"/>
                <w:color w:val="auto"/>
              </w:rPr>
            </w:pPr>
          </w:p>
        </w:tc>
        <w:tc>
          <w:tcPr>
            <w:tcW w:w="480" w:type="dxa"/>
            <w:vAlign w:val="bottom"/>
            <w:shd w:val="clear" w:color="auto" w:fill="E8F0F8"/>
          </w:tcPr>
          <w:p>
            <w:pPr>
              <w:spacing w:after="0"/>
              <w:rPr>
                <w:sz w:val="24"/>
                <w:szCs w:val="24"/>
                <w:color w:val="auto"/>
              </w:rPr>
            </w:pPr>
          </w:p>
        </w:tc>
      </w:tr>
      <w:tr>
        <w:trPr>
          <w:trHeight w:val="247"/>
        </w:trPr>
        <w:tc>
          <w:tcPr>
            <w:tcW w:w="3780" w:type="dxa"/>
            <w:vAlign w:val="bottom"/>
            <w:shd w:val="clear" w:color="auto" w:fill="BAD3EA"/>
          </w:tcPr>
          <w:p>
            <w:pPr>
              <w:ind w:left="80"/>
              <w:spacing w:after="0"/>
              <w:rPr>
                <w:sz w:val="20"/>
                <w:szCs w:val="20"/>
                <w:color w:val="auto"/>
              </w:rPr>
            </w:pPr>
            <w:r>
              <w:rPr>
                <w:rFonts w:ascii="Arial" w:cs="Arial" w:eastAsia="Arial" w:hAnsi="Arial"/>
                <w:sz w:val="16"/>
                <w:szCs w:val="16"/>
                <w:color w:val="auto"/>
              </w:rPr>
              <w:t>Alaskan Native or Native American</w:t>
            </w:r>
          </w:p>
        </w:tc>
        <w:tc>
          <w:tcPr>
            <w:tcW w:w="2600" w:type="dxa"/>
            <w:vAlign w:val="bottom"/>
            <w:shd w:val="clear" w:color="auto" w:fill="BAD3EA"/>
          </w:tcPr>
          <w:p>
            <w:pPr>
              <w:spacing w:after="0"/>
              <w:rPr>
                <w:sz w:val="21"/>
                <w:szCs w:val="21"/>
                <w:color w:val="auto"/>
              </w:rPr>
            </w:pPr>
          </w:p>
        </w:tc>
        <w:tc>
          <w:tcPr>
            <w:tcW w:w="94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80" w:type="dxa"/>
            <w:vAlign w:val="bottom"/>
            <w:shd w:val="clear" w:color="auto" w:fill="BAD3EA"/>
          </w:tcPr>
          <w:p>
            <w:pPr>
              <w:spacing w:after="0"/>
              <w:rPr>
                <w:sz w:val="21"/>
                <w:szCs w:val="21"/>
                <w:color w:val="auto"/>
              </w:rPr>
            </w:pPr>
          </w:p>
        </w:tc>
        <w:tc>
          <w:tcPr>
            <w:tcW w:w="50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20" w:type="dxa"/>
            <w:vAlign w:val="bottom"/>
            <w:shd w:val="clear" w:color="auto" w:fill="BAD3EA"/>
          </w:tcPr>
          <w:p>
            <w:pPr>
              <w:spacing w:after="0"/>
              <w:rPr>
                <w:sz w:val="21"/>
                <w:szCs w:val="21"/>
                <w:color w:val="auto"/>
              </w:rPr>
            </w:pPr>
          </w:p>
        </w:tc>
        <w:tc>
          <w:tcPr>
            <w:tcW w:w="480" w:type="dxa"/>
            <w:vAlign w:val="bottom"/>
            <w:shd w:val="clear" w:color="auto" w:fill="BAD3EA"/>
          </w:tcPr>
          <w:p>
            <w:pPr>
              <w:spacing w:after="0"/>
              <w:rPr>
                <w:sz w:val="21"/>
                <w:szCs w:val="21"/>
                <w:color w:val="auto"/>
              </w:rPr>
            </w:pPr>
          </w:p>
        </w:tc>
      </w:tr>
      <w:tr>
        <w:trPr>
          <w:trHeight w:val="240"/>
        </w:trPr>
        <w:tc>
          <w:tcPr>
            <w:tcW w:w="3780" w:type="dxa"/>
            <w:vAlign w:val="bottom"/>
            <w:shd w:val="clear" w:color="auto" w:fill="E8F0F8"/>
          </w:tcPr>
          <w:p>
            <w:pPr>
              <w:ind w:left="80"/>
              <w:spacing w:after="0"/>
              <w:rPr>
                <w:sz w:val="20"/>
                <w:szCs w:val="20"/>
                <w:color w:val="auto"/>
              </w:rPr>
            </w:pPr>
            <w:r>
              <w:rPr>
                <w:rFonts w:ascii="Arial" w:cs="Arial" w:eastAsia="Arial" w:hAnsi="Arial"/>
                <w:sz w:val="16"/>
                <w:szCs w:val="16"/>
                <w:color w:val="auto"/>
              </w:rPr>
              <w:t>Asian</w:t>
            </w:r>
          </w:p>
        </w:tc>
        <w:tc>
          <w:tcPr>
            <w:tcW w:w="2600" w:type="dxa"/>
            <w:vAlign w:val="bottom"/>
            <w:shd w:val="clear" w:color="auto" w:fill="E8F0F8"/>
          </w:tcPr>
          <w:p>
            <w:pPr>
              <w:spacing w:after="0"/>
              <w:rPr>
                <w:sz w:val="20"/>
                <w:szCs w:val="20"/>
                <w:color w:val="auto"/>
              </w:rPr>
            </w:pPr>
          </w:p>
        </w:tc>
        <w:tc>
          <w:tcPr>
            <w:tcW w:w="9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80" w:type="dxa"/>
            <w:vAlign w:val="bottom"/>
            <w:shd w:val="clear" w:color="auto" w:fill="E8F0F8"/>
          </w:tcPr>
          <w:p>
            <w:pPr>
              <w:spacing w:after="0"/>
              <w:rPr>
                <w:sz w:val="20"/>
                <w:szCs w:val="20"/>
                <w:color w:val="auto"/>
              </w:rPr>
            </w:pPr>
          </w:p>
        </w:tc>
        <w:tc>
          <w:tcPr>
            <w:tcW w:w="50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20" w:type="dxa"/>
            <w:vAlign w:val="bottom"/>
            <w:shd w:val="clear" w:color="auto" w:fill="E8F0F8"/>
          </w:tcPr>
          <w:p>
            <w:pPr>
              <w:spacing w:after="0"/>
              <w:rPr>
                <w:sz w:val="20"/>
                <w:szCs w:val="20"/>
                <w:color w:val="auto"/>
              </w:rPr>
            </w:pPr>
          </w:p>
        </w:tc>
        <w:tc>
          <w:tcPr>
            <w:tcW w:w="480" w:type="dxa"/>
            <w:vAlign w:val="bottom"/>
            <w:shd w:val="clear" w:color="auto" w:fill="E8F0F8"/>
          </w:tcPr>
          <w:p>
            <w:pPr>
              <w:spacing w:after="0"/>
              <w:rPr>
                <w:sz w:val="20"/>
                <w:szCs w:val="20"/>
                <w:color w:val="auto"/>
              </w:rPr>
            </w:pPr>
          </w:p>
        </w:tc>
      </w:tr>
      <w:tr>
        <w:trPr>
          <w:trHeight w:val="260"/>
        </w:trPr>
        <w:tc>
          <w:tcPr>
            <w:tcW w:w="3780" w:type="dxa"/>
            <w:vAlign w:val="bottom"/>
            <w:shd w:val="clear" w:color="auto" w:fill="BAD3EA"/>
          </w:tcPr>
          <w:p>
            <w:pPr>
              <w:ind w:left="80"/>
              <w:spacing w:after="0"/>
              <w:rPr>
                <w:sz w:val="20"/>
                <w:szCs w:val="20"/>
                <w:color w:val="auto"/>
              </w:rPr>
            </w:pPr>
            <w:r>
              <w:rPr>
                <w:rFonts w:ascii="Arial" w:cs="Arial" w:eastAsia="Arial" w:hAnsi="Arial"/>
                <w:sz w:val="16"/>
                <w:szCs w:val="16"/>
                <w:color w:val="auto"/>
              </w:rPr>
              <w:t>Hispanic or Latinx</w:t>
            </w:r>
          </w:p>
        </w:tc>
        <w:tc>
          <w:tcPr>
            <w:tcW w:w="2600" w:type="dxa"/>
            <w:vAlign w:val="bottom"/>
            <w:shd w:val="clear" w:color="auto" w:fill="BAD3EA"/>
          </w:tcPr>
          <w:p>
            <w:pPr>
              <w:spacing w:after="0"/>
              <w:rPr>
                <w:sz w:val="22"/>
                <w:szCs w:val="22"/>
                <w:color w:val="auto"/>
              </w:rPr>
            </w:pPr>
          </w:p>
        </w:tc>
        <w:tc>
          <w:tcPr>
            <w:tcW w:w="940" w:type="dxa"/>
            <w:vAlign w:val="bottom"/>
            <w:shd w:val="clear" w:color="auto" w:fill="BAD3EA"/>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spacing w:after="0"/>
              <w:rPr>
                <w:sz w:val="22"/>
                <w:szCs w:val="22"/>
                <w:color w:val="auto"/>
              </w:rPr>
            </w:pPr>
          </w:p>
        </w:tc>
        <w:tc>
          <w:tcPr>
            <w:tcW w:w="58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40" w:type="dxa"/>
            <w:vAlign w:val="bottom"/>
            <w:shd w:val="clear" w:color="auto" w:fill="BAD3EA"/>
          </w:tcPr>
          <w:p>
            <w:pPr>
              <w:spacing w:after="0"/>
              <w:rPr>
                <w:sz w:val="22"/>
                <w:szCs w:val="22"/>
                <w:color w:val="auto"/>
              </w:rPr>
            </w:pPr>
          </w:p>
        </w:tc>
        <w:tc>
          <w:tcPr>
            <w:tcW w:w="54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480" w:type="dxa"/>
            <w:vAlign w:val="bottom"/>
            <w:shd w:val="clear" w:color="auto" w:fill="BAD3EA"/>
          </w:tcPr>
          <w:p>
            <w:pPr>
              <w:spacing w:after="0"/>
              <w:rPr>
                <w:sz w:val="22"/>
                <w:szCs w:val="22"/>
                <w:color w:val="auto"/>
              </w:rPr>
            </w:pPr>
          </w:p>
        </w:tc>
      </w:tr>
      <w:tr>
        <w:trPr>
          <w:trHeight w:val="240"/>
        </w:trPr>
        <w:tc>
          <w:tcPr>
            <w:tcW w:w="3780" w:type="dxa"/>
            <w:vAlign w:val="bottom"/>
            <w:shd w:val="clear" w:color="auto" w:fill="E8F0F8"/>
          </w:tcPr>
          <w:p>
            <w:pPr>
              <w:ind w:left="80"/>
              <w:spacing w:after="0"/>
              <w:rPr>
                <w:sz w:val="20"/>
                <w:szCs w:val="20"/>
                <w:color w:val="auto"/>
              </w:rPr>
            </w:pPr>
            <w:r>
              <w:rPr>
                <w:rFonts w:ascii="Arial" w:cs="Arial" w:eastAsia="Arial" w:hAnsi="Arial"/>
                <w:sz w:val="16"/>
                <w:szCs w:val="16"/>
                <w:color w:val="auto"/>
              </w:rPr>
              <w:t>Native Hawaiian or Pacific Islander</w:t>
            </w:r>
          </w:p>
        </w:tc>
        <w:tc>
          <w:tcPr>
            <w:tcW w:w="2600" w:type="dxa"/>
            <w:vAlign w:val="bottom"/>
            <w:shd w:val="clear" w:color="auto" w:fill="E8F0F8"/>
          </w:tcPr>
          <w:p>
            <w:pPr>
              <w:spacing w:after="0"/>
              <w:rPr>
                <w:sz w:val="20"/>
                <w:szCs w:val="20"/>
                <w:color w:val="auto"/>
              </w:rPr>
            </w:pPr>
          </w:p>
        </w:tc>
        <w:tc>
          <w:tcPr>
            <w:tcW w:w="9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80" w:type="dxa"/>
            <w:vAlign w:val="bottom"/>
            <w:shd w:val="clear" w:color="auto" w:fill="E8F0F8"/>
          </w:tcPr>
          <w:p>
            <w:pPr>
              <w:spacing w:after="0"/>
              <w:rPr>
                <w:sz w:val="20"/>
                <w:szCs w:val="20"/>
                <w:color w:val="auto"/>
              </w:rPr>
            </w:pPr>
          </w:p>
        </w:tc>
        <w:tc>
          <w:tcPr>
            <w:tcW w:w="50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40" w:type="dxa"/>
            <w:vAlign w:val="bottom"/>
            <w:shd w:val="clear" w:color="auto" w:fill="E8F0F8"/>
          </w:tcPr>
          <w:p>
            <w:pPr>
              <w:spacing w:after="0"/>
              <w:rPr>
                <w:sz w:val="20"/>
                <w:szCs w:val="20"/>
                <w:color w:val="auto"/>
              </w:rPr>
            </w:pPr>
          </w:p>
        </w:tc>
        <w:tc>
          <w:tcPr>
            <w:tcW w:w="520" w:type="dxa"/>
            <w:vAlign w:val="bottom"/>
            <w:shd w:val="clear" w:color="auto" w:fill="E8F0F8"/>
          </w:tcPr>
          <w:p>
            <w:pPr>
              <w:spacing w:after="0"/>
              <w:rPr>
                <w:sz w:val="20"/>
                <w:szCs w:val="20"/>
                <w:color w:val="auto"/>
              </w:rPr>
            </w:pPr>
          </w:p>
        </w:tc>
        <w:tc>
          <w:tcPr>
            <w:tcW w:w="480" w:type="dxa"/>
            <w:vAlign w:val="bottom"/>
            <w:shd w:val="clear" w:color="auto" w:fill="E8F0F8"/>
          </w:tcPr>
          <w:p>
            <w:pPr>
              <w:spacing w:after="0"/>
              <w:rPr>
                <w:sz w:val="20"/>
                <w:szCs w:val="20"/>
                <w:color w:val="auto"/>
              </w:rPr>
            </w:pPr>
          </w:p>
        </w:tc>
      </w:tr>
      <w:tr>
        <w:trPr>
          <w:trHeight w:val="246"/>
        </w:trPr>
        <w:tc>
          <w:tcPr>
            <w:tcW w:w="3780" w:type="dxa"/>
            <w:vAlign w:val="bottom"/>
            <w:shd w:val="clear" w:color="auto" w:fill="BAD3EA"/>
          </w:tcPr>
          <w:p>
            <w:pPr>
              <w:ind w:left="80"/>
              <w:spacing w:after="0"/>
              <w:rPr>
                <w:sz w:val="20"/>
                <w:szCs w:val="20"/>
                <w:color w:val="auto"/>
              </w:rPr>
            </w:pPr>
            <w:r>
              <w:rPr>
                <w:rFonts w:ascii="Arial" w:cs="Arial" w:eastAsia="Arial" w:hAnsi="Arial"/>
                <w:sz w:val="16"/>
                <w:szCs w:val="16"/>
                <w:color w:val="auto"/>
              </w:rPr>
              <w:t>White</w:t>
            </w:r>
          </w:p>
        </w:tc>
        <w:tc>
          <w:tcPr>
            <w:tcW w:w="2600" w:type="dxa"/>
            <w:vAlign w:val="bottom"/>
            <w:shd w:val="clear" w:color="auto" w:fill="BAD3EA"/>
          </w:tcPr>
          <w:p>
            <w:pPr>
              <w:ind w:left="212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shd w:val="clear" w:color="auto" w:fill="BAD3EA"/>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spacing w:after="0"/>
              <w:rPr>
                <w:sz w:val="21"/>
                <w:szCs w:val="21"/>
                <w:color w:val="auto"/>
              </w:rPr>
            </w:pPr>
          </w:p>
        </w:tc>
        <w:tc>
          <w:tcPr>
            <w:tcW w:w="580" w:type="dxa"/>
            <w:vAlign w:val="bottom"/>
            <w:shd w:val="clear" w:color="auto" w:fill="BAD3EA"/>
          </w:tcPr>
          <w:p>
            <w:pPr>
              <w:spacing w:after="0"/>
              <w:rPr>
                <w:sz w:val="21"/>
                <w:szCs w:val="21"/>
                <w:color w:val="auto"/>
              </w:rPr>
            </w:pP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r>
      <w:tr>
        <w:trPr>
          <w:trHeight w:val="247"/>
        </w:trPr>
        <w:tc>
          <w:tcPr>
            <w:tcW w:w="3780" w:type="dxa"/>
            <w:vAlign w:val="bottom"/>
            <w:shd w:val="clear" w:color="auto" w:fill="E8F0F8"/>
          </w:tcPr>
          <w:p>
            <w:pPr>
              <w:ind w:left="80"/>
              <w:spacing w:after="0"/>
              <w:rPr>
                <w:sz w:val="20"/>
                <w:szCs w:val="20"/>
                <w:color w:val="auto"/>
              </w:rPr>
            </w:pPr>
            <w:r>
              <w:rPr>
                <w:rFonts w:ascii="Arial" w:cs="Arial" w:eastAsia="Arial" w:hAnsi="Arial"/>
                <w:sz w:val="16"/>
                <w:szCs w:val="16"/>
                <w:color w:val="auto"/>
              </w:rPr>
              <w:t>Two or More Races or Ethnicities</w:t>
            </w:r>
          </w:p>
        </w:tc>
        <w:tc>
          <w:tcPr>
            <w:tcW w:w="2600" w:type="dxa"/>
            <w:vAlign w:val="bottom"/>
            <w:shd w:val="clear" w:color="auto" w:fill="E8F0F8"/>
          </w:tcPr>
          <w:p>
            <w:pPr>
              <w:spacing w:after="0"/>
              <w:rPr>
                <w:sz w:val="21"/>
                <w:szCs w:val="21"/>
                <w:color w:val="auto"/>
              </w:rPr>
            </w:pPr>
          </w:p>
        </w:tc>
        <w:tc>
          <w:tcPr>
            <w:tcW w:w="94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80" w:type="dxa"/>
            <w:vAlign w:val="bottom"/>
            <w:shd w:val="clear" w:color="auto" w:fill="E8F0F8"/>
          </w:tcPr>
          <w:p>
            <w:pPr>
              <w:spacing w:after="0"/>
              <w:rPr>
                <w:sz w:val="21"/>
                <w:szCs w:val="21"/>
                <w:color w:val="auto"/>
              </w:rPr>
            </w:pPr>
          </w:p>
        </w:tc>
        <w:tc>
          <w:tcPr>
            <w:tcW w:w="50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20" w:type="dxa"/>
            <w:vAlign w:val="bottom"/>
            <w:shd w:val="clear" w:color="auto" w:fill="E8F0F8"/>
          </w:tcPr>
          <w:p>
            <w:pPr>
              <w:spacing w:after="0"/>
              <w:rPr>
                <w:sz w:val="21"/>
                <w:szCs w:val="21"/>
                <w:color w:val="auto"/>
              </w:rPr>
            </w:pPr>
          </w:p>
        </w:tc>
        <w:tc>
          <w:tcPr>
            <w:tcW w:w="480" w:type="dxa"/>
            <w:vAlign w:val="bottom"/>
            <w:shd w:val="clear" w:color="auto" w:fill="E8F0F8"/>
          </w:tcPr>
          <w:p>
            <w:pPr>
              <w:spacing w:after="0"/>
              <w:rPr>
                <w:sz w:val="21"/>
                <w:szCs w:val="21"/>
                <w:color w:val="auto"/>
              </w:rPr>
            </w:pPr>
          </w:p>
        </w:tc>
      </w:tr>
      <w:tr>
        <w:trPr>
          <w:trHeight w:val="253"/>
        </w:trPr>
        <w:tc>
          <w:tcPr>
            <w:tcW w:w="3780" w:type="dxa"/>
            <w:vAlign w:val="bottom"/>
            <w:shd w:val="clear" w:color="auto" w:fill="BAD3EA"/>
          </w:tcPr>
          <w:p>
            <w:pPr>
              <w:ind w:left="80"/>
              <w:spacing w:after="0"/>
              <w:rPr>
                <w:sz w:val="20"/>
                <w:szCs w:val="20"/>
                <w:color w:val="auto"/>
              </w:rPr>
            </w:pPr>
            <w:r>
              <w:rPr>
                <w:rFonts w:ascii="Arial" w:cs="Arial" w:eastAsia="Arial" w:hAnsi="Arial"/>
                <w:sz w:val="16"/>
                <w:szCs w:val="16"/>
                <w:color w:val="auto"/>
              </w:rPr>
              <w:t>LGBTQ+</w:t>
            </w:r>
          </w:p>
        </w:tc>
        <w:tc>
          <w:tcPr>
            <w:tcW w:w="2600" w:type="dxa"/>
            <w:vAlign w:val="bottom"/>
            <w:shd w:val="clear" w:color="auto" w:fill="BAD3EA"/>
          </w:tcPr>
          <w:p>
            <w:pPr>
              <w:spacing w:after="0"/>
              <w:rPr>
                <w:sz w:val="21"/>
                <w:szCs w:val="21"/>
                <w:color w:val="auto"/>
              </w:rPr>
            </w:pPr>
          </w:p>
        </w:tc>
        <w:tc>
          <w:tcPr>
            <w:tcW w:w="94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80" w:type="dxa"/>
            <w:vAlign w:val="bottom"/>
            <w:shd w:val="clear" w:color="auto" w:fill="BAD3EA"/>
          </w:tcPr>
          <w:p>
            <w:pPr>
              <w:spacing w:after="0"/>
              <w:rPr>
                <w:sz w:val="21"/>
                <w:szCs w:val="21"/>
                <w:color w:val="auto"/>
              </w:rPr>
            </w:pPr>
          </w:p>
        </w:tc>
        <w:tc>
          <w:tcPr>
            <w:tcW w:w="50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40" w:type="dxa"/>
            <w:vAlign w:val="bottom"/>
            <w:shd w:val="clear" w:color="auto" w:fill="BAD3EA"/>
          </w:tcPr>
          <w:p>
            <w:pPr>
              <w:spacing w:after="0"/>
              <w:rPr>
                <w:sz w:val="21"/>
                <w:szCs w:val="21"/>
                <w:color w:val="auto"/>
              </w:rPr>
            </w:pPr>
          </w:p>
        </w:tc>
        <w:tc>
          <w:tcPr>
            <w:tcW w:w="520" w:type="dxa"/>
            <w:vAlign w:val="bottom"/>
            <w:shd w:val="clear" w:color="auto" w:fill="BAD3EA"/>
          </w:tcPr>
          <w:p>
            <w:pPr>
              <w:spacing w:after="0"/>
              <w:rPr>
                <w:sz w:val="21"/>
                <w:szCs w:val="21"/>
                <w:color w:val="auto"/>
              </w:rPr>
            </w:pPr>
          </w:p>
        </w:tc>
        <w:tc>
          <w:tcPr>
            <w:tcW w:w="480" w:type="dxa"/>
            <w:vAlign w:val="bottom"/>
            <w:shd w:val="clear" w:color="auto" w:fill="BAD3EA"/>
          </w:tcPr>
          <w:p>
            <w:pPr>
              <w:spacing w:after="0"/>
              <w:rPr>
                <w:sz w:val="21"/>
                <w:szCs w:val="21"/>
                <w:color w:val="auto"/>
              </w:rPr>
            </w:pPr>
          </w:p>
        </w:tc>
      </w:tr>
      <w:tr>
        <w:trPr>
          <w:trHeight w:val="243"/>
        </w:trPr>
        <w:tc>
          <w:tcPr>
            <w:tcW w:w="3780" w:type="dxa"/>
            <w:vAlign w:val="bottom"/>
            <w:shd w:val="clear" w:color="auto" w:fill="E8F0F8"/>
          </w:tcPr>
          <w:p>
            <w:pPr>
              <w:ind w:left="80"/>
              <w:spacing w:after="0"/>
              <w:rPr>
                <w:sz w:val="20"/>
                <w:szCs w:val="20"/>
                <w:color w:val="auto"/>
              </w:rPr>
            </w:pPr>
            <w:r>
              <w:rPr>
                <w:rFonts w:ascii="Arial" w:cs="Arial" w:eastAsia="Arial" w:hAnsi="Arial"/>
                <w:sz w:val="16"/>
                <w:szCs w:val="16"/>
                <w:color w:val="auto"/>
              </w:rPr>
              <w:t>Did Not Disclose Demographic Background</w:t>
            </w:r>
          </w:p>
        </w:tc>
        <w:tc>
          <w:tcPr>
            <w:tcW w:w="2600" w:type="dxa"/>
            <w:vAlign w:val="bottom"/>
            <w:shd w:val="clear" w:color="auto" w:fill="E8F0F8"/>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80" w:type="dxa"/>
            <w:vAlign w:val="bottom"/>
            <w:shd w:val="clear" w:color="auto" w:fill="E8F0F8"/>
          </w:tcPr>
          <w:p>
            <w:pPr>
              <w:spacing w:after="0"/>
              <w:rPr>
                <w:sz w:val="21"/>
                <w:szCs w:val="21"/>
                <w:color w:val="auto"/>
              </w:rPr>
            </w:pPr>
          </w:p>
        </w:tc>
        <w:tc>
          <w:tcPr>
            <w:tcW w:w="50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40" w:type="dxa"/>
            <w:vAlign w:val="bottom"/>
            <w:shd w:val="clear" w:color="auto" w:fill="E8F0F8"/>
          </w:tcPr>
          <w:p>
            <w:pPr>
              <w:spacing w:after="0"/>
              <w:rPr>
                <w:sz w:val="21"/>
                <w:szCs w:val="21"/>
                <w:color w:val="auto"/>
              </w:rPr>
            </w:pPr>
          </w:p>
        </w:tc>
        <w:tc>
          <w:tcPr>
            <w:tcW w:w="520" w:type="dxa"/>
            <w:vAlign w:val="bottom"/>
            <w:shd w:val="clear" w:color="auto" w:fill="E8F0F8"/>
          </w:tcPr>
          <w:p>
            <w:pPr>
              <w:spacing w:after="0"/>
              <w:rPr>
                <w:sz w:val="21"/>
                <w:szCs w:val="21"/>
                <w:color w:val="auto"/>
              </w:rPr>
            </w:pPr>
          </w:p>
        </w:tc>
        <w:tc>
          <w:tcPr>
            <w:tcW w:w="480" w:type="dxa"/>
            <w:vAlign w:val="bottom"/>
            <w:shd w:val="clear" w:color="auto" w:fill="E8F0F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-2262505</wp:posOffset>
            </wp:positionV>
            <wp:extent cx="3455035" cy="2263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55035" cy="226314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Director Independence</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All of our directors and nominees for director, other than Mr. Viehbacher, our President and Chief Executive Officer, satisfy the independence requirements of The Nasdaq Stock Market.</w:t>
      </w:r>
    </w:p>
    <w:p>
      <w:pPr>
        <w:spacing w:after="0" w:line="113"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 -iii-</w:t>
      </w:r>
    </w:p>
    <w:p>
      <w:pPr>
        <w:sectPr>
          <w:pgSz w:w="11900" w:h="16838" w:orient="portrait"/>
          <w:cols w:equalWidth="0" w:num="1">
            <w:col w:w="11020"/>
          </w:cols>
          <w:pgMar w:left="440" w:top="494" w:right="439" w:bottom="1440" w:gutter="0" w:footer="0" w:header="0"/>
        </w:sectPr>
      </w:pPr>
    </w:p>
    <w:bookmarkStart w:id="8" w:name="page9"/>
    <w:bookmarkEnd w:id="8"/>
    <w:p>
      <w:pPr>
        <w:spacing w:after="0"/>
        <w:rPr>
          <w:sz w:val="20"/>
          <w:szCs w:val="20"/>
          <w:color w:val="auto"/>
        </w:rPr>
      </w:pPr>
      <w:r>
        <w:rPr>
          <w:rFonts w:ascii="Arial" w:cs="Arial" w:eastAsia="Arial" w:hAnsi="Arial"/>
          <w:sz w:val="29"/>
          <w:szCs w:val="29"/>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428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428625"/>
                    </a:xfrm>
                    <a:prstGeom prst="rect">
                      <a:avLst/>
                    </a:prstGeom>
                    <a:noFill/>
                  </pic:spPr>
                </pic:pic>
              </a:graphicData>
            </a:graphic>
          </wp:anchor>
        </w:drawing>
        <w:t>Proposal 1 – Election of 7 Directors</w:t>
      </w:r>
    </w:p>
    <w:p>
      <w:pPr>
        <w:spacing w:after="0" w:line="34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are asking our stockholders to elect the 7 director nominees listed below to serve a one-year term extending until our 2024 annual meeting of stockholders and until their successors are duly elected and qualified, unless they resign or are removed:</w:t>
      </w:r>
    </w:p>
    <w:p>
      <w:pPr>
        <w:sectPr>
          <w:pgSz w:w="11900" w:h="16838" w:orient="portrait"/>
          <w:cols w:equalWidth="0" w:num="1">
            <w:col w:w="11020"/>
          </w:cols>
          <w:pgMar w:left="440" w:top="912" w:right="439" w:bottom="1440" w:gutter="0" w:footer="0" w:header="0"/>
        </w:sectPr>
      </w:pPr>
    </w:p>
    <w:p>
      <w:pPr>
        <w:spacing w:after="0" w:line="198"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Caroline D. Dorsa</w:t>
      </w:r>
    </w:p>
    <w:p>
      <w:pPr>
        <w:spacing w:after="0" w:line="17"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Maria C. Freire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Jesus B. Mantas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Eric K. Rowinsky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Stephen A. Sherwin</w:t>
      </w:r>
    </w:p>
    <w:p>
      <w:pPr>
        <w:spacing w:after="0" w:line="17"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Christopher A. Viehbacher</w:t>
      </w:r>
    </w:p>
    <w:p>
      <w:pPr>
        <w:spacing w:after="0" w:line="11" w:lineRule="exact"/>
        <w:rPr>
          <w:sz w:val="20"/>
          <w:szCs w:val="20"/>
          <w:color w:val="auto"/>
        </w:rPr>
      </w:pPr>
    </w:p>
    <w:p>
      <w:pPr>
        <w:sectPr>
          <w:pgSz w:w="11900" w:h="16838" w:orient="portrait"/>
          <w:cols w:equalWidth="0" w:num="3">
            <w:col w:w="4560" w:space="720"/>
            <w:col w:w="2460" w:space="720"/>
            <w:col w:w="2560"/>
          </w:cols>
          <w:pgMar w:left="440" w:top="912" w:right="439"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William A. Hawkins</w:t>
      </w:r>
    </w:p>
    <w:p>
      <w:pPr>
        <w:sectPr>
          <w:pgSz w:w="11900" w:h="16838" w:orient="portrait"/>
          <w:cols w:equalWidth="0" w:num="1">
            <w:col w:w="11020"/>
          </w:cols>
          <w:pgMar w:left="440" w:top="912" w:right="439" w:bottom="1440" w:gutter="0" w:footer="0" w:header="0"/>
          <w:type w:val="continuous"/>
        </w:sectPr>
      </w:pP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Board of Directors has nominated these 7 individuals based on its carefully considered judgment that the experience, qualifications, attributes and skills of our nominees qualify them to serve on our Board of Directors. As described in our Proxy Statement and this Revised Proxy, our nominees have considerable professional and business expertise. We know of no reason why any nominee would be unable to accept nomination or election. All nominees have consented to be named in this Proxy Statement and to serve if elected.</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any nominee is unable to serve on our Board of Directors, the shares represented by your proxy will be voted for the election of such other person as may be nominated by our Board of Directors. In addition, in compliance with all applicable state and federal laws and regulations, we will file an amended proxy statement and proxy card that, as applicable, (1) identifies the alternate nominee(s) and (2) discloses that such nominees have consented to being named in the revised proxy statement and to serve if elected. As previously disclosed, Dr. Papadopoulos is not standing for reelection at the Annual Meeting. Ms. Dorsa will succeed Dr. Papadopoulos as Chair of the Board of Directors immediately following our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85090</wp:posOffset>
            </wp:positionV>
            <wp:extent cx="4203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15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8"/>
          <w:szCs w:val="18"/>
          <w:color w:val="1A6DBB"/>
        </w:rPr>
        <w:t>2023 Proxy Statement</w:t>
      </w:r>
      <w:r>
        <w:rPr>
          <w:sz w:val="20"/>
          <w:szCs w:val="20"/>
          <w:color w:val="auto"/>
        </w:rPr>
        <w:tab/>
      </w:r>
      <w:r>
        <w:rPr>
          <w:rFonts w:ascii="Arial" w:cs="Arial" w:eastAsia="Arial" w:hAnsi="Arial"/>
          <w:sz w:val="17"/>
          <w:szCs w:val="17"/>
          <w:color w:val="1A6DBB"/>
        </w:rPr>
        <w:t>-1-</w:t>
      </w:r>
    </w:p>
    <w:p>
      <w:pPr>
        <w:sectPr>
          <w:pgSz w:w="11900" w:h="16838" w:orient="portrait"/>
          <w:cols w:equalWidth="0" w:num="1">
            <w:col w:w="11020"/>
          </w:cols>
          <w:pgMar w:left="440" w:top="912" w:right="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51"/>
        </w:trPr>
        <w:tc>
          <w:tcPr>
            <w:tcW w:w="5280" w:type="dxa"/>
            <w:vAlign w:val="bottom"/>
          </w:tcPr>
          <w:p>
            <w:pPr>
              <w:spacing w:after="0"/>
              <w:rPr>
                <w:sz w:val="20"/>
                <w:szCs w:val="20"/>
                <w:color w:val="auto"/>
              </w:rPr>
            </w:pPr>
            <w:r>
              <w:rPr>
                <w:rFonts w:ascii="Arial" w:cs="Arial" w:eastAsia="Arial" w:hAnsi="Arial"/>
                <w:sz w:val="18"/>
                <w:szCs w:val="18"/>
                <w:b w:val="1"/>
                <w:bCs w:val="1"/>
                <w:color w:val="1A6DBB"/>
              </w:rPr>
              <w:t>Our Nominees for Director</w:t>
            </w:r>
          </w:p>
        </w:tc>
        <w:tc>
          <w:tcPr>
            <w:tcW w:w="34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280" w:type="dxa"/>
            <w:vAlign w:val="bottom"/>
          </w:tcPr>
          <w:p>
            <w:pPr>
              <w:spacing w:after="0"/>
              <w:rPr>
                <w:sz w:val="24"/>
                <w:szCs w:val="24"/>
                <w:color w:val="auto"/>
              </w:rPr>
            </w:pPr>
          </w:p>
        </w:tc>
        <w:tc>
          <w:tcPr>
            <w:tcW w:w="340" w:type="dxa"/>
            <w:vAlign w:val="bottom"/>
            <w:vMerge w:val="restart"/>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1A6DBB"/>
            </w:tcBorders>
            <w:shd w:val="clear" w:color="auto" w:fill="1A6DBB"/>
          </w:tcPr>
          <w:p>
            <w:pPr>
              <w:ind w:left="100"/>
              <w:spacing w:after="0"/>
              <w:rPr>
                <w:sz w:val="20"/>
                <w:szCs w:val="20"/>
                <w:color w:val="auto"/>
              </w:rPr>
            </w:pPr>
            <w:r>
              <w:rPr>
                <w:rFonts w:ascii="Arial" w:cs="Arial" w:eastAsia="Arial" w:hAnsi="Arial"/>
                <w:sz w:val="18"/>
                <w:szCs w:val="18"/>
                <w:b w:val="1"/>
                <w:bCs w:val="1"/>
                <w:color w:val="FFFFFF"/>
              </w:rPr>
              <w:t>Caroline Dorsa</w:t>
            </w:r>
          </w:p>
        </w:tc>
        <w:tc>
          <w:tcPr>
            <w:tcW w:w="340" w:type="dxa"/>
            <w:vAlign w:val="bottom"/>
            <w:vMerge w:val="continue"/>
          </w:tcPr>
          <w:p>
            <w:pPr>
              <w:spacing w:after="0"/>
              <w:rPr>
                <w:sz w:val="24"/>
                <w:szCs w:val="24"/>
                <w:color w:val="auto"/>
              </w:rPr>
            </w:pPr>
          </w:p>
        </w:tc>
        <w:tc>
          <w:tcPr>
            <w:tcW w:w="5400" w:type="dxa"/>
            <w:vAlign w:val="bottom"/>
            <w:tcBorders>
              <w:bottom w:val="single" w:sz="8" w:color="1A6DBB"/>
            </w:tcBorders>
            <w:shd w:val="clear" w:color="auto" w:fill="1A6DBB"/>
          </w:tcPr>
          <w:p>
            <w:pPr>
              <w:ind w:left="140"/>
              <w:spacing w:after="0"/>
              <w:rPr>
                <w:sz w:val="20"/>
                <w:szCs w:val="20"/>
                <w:color w:val="auto"/>
              </w:rPr>
            </w:pPr>
            <w:r>
              <w:rPr>
                <w:rFonts w:ascii="Arial" w:cs="Arial" w:eastAsia="Arial" w:hAnsi="Arial"/>
                <w:sz w:val="18"/>
                <w:szCs w:val="18"/>
                <w:b w:val="1"/>
                <w:bCs w:val="1"/>
                <w:color w:val="FFFFFF"/>
              </w:rPr>
              <w:t>Maria C. Freire, Ph.D.</w:t>
            </w:r>
          </w:p>
        </w:tc>
        <w:tc>
          <w:tcPr>
            <w:tcW w:w="0" w:type="dxa"/>
            <w:vAlign w:val="bottom"/>
          </w:tcPr>
          <w:p>
            <w:pPr>
              <w:spacing w:after="0"/>
              <w:rPr>
                <w:sz w:val="1"/>
                <w:szCs w:val="1"/>
                <w:color w:val="auto"/>
              </w:rPr>
            </w:pPr>
          </w:p>
        </w:tc>
      </w:tr>
      <w:tr>
        <w:trPr>
          <w:trHeight w:val="333"/>
        </w:trPr>
        <w:tc>
          <w:tcPr>
            <w:tcW w:w="5280" w:type="dxa"/>
            <w:vAlign w:val="bottom"/>
          </w:tcPr>
          <w:p>
            <w:pPr>
              <w:ind w:left="16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tc>
        <w:tc>
          <w:tcPr>
            <w:tcW w:w="340" w:type="dxa"/>
            <w:vAlign w:val="bottom"/>
          </w:tcPr>
          <w:p>
            <w:pPr>
              <w:spacing w:after="0"/>
              <w:rPr>
                <w:sz w:val="24"/>
                <w:szCs w:val="24"/>
                <w:color w:val="auto"/>
              </w:rPr>
            </w:pPr>
          </w:p>
        </w:tc>
        <w:tc>
          <w:tcPr>
            <w:tcW w:w="5400" w:type="dxa"/>
            <w:vAlign w:val="bottom"/>
          </w:tcPr>
          <w:p>
            <w:pPr>
              <w:ind w:left="16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2021</w:t>
            </w:r>
          </w:p>
        </w:tc>
        <w:tc>
          <w:tcPr>
            <w:tcW w:w="0" w:type="dxa"/>
            <w:vAlign w:val="bottom"/>
          </w:tcPr>
          <w:p>
            <w:pPr>
              <w:spacing w:after="0"/>
              <w:rPr>
                <w:sz w:val="1"/>
                <w:szCs w:val="1"/>
                <w:color w:val="auto"/>
              </w:rPr>
            </w:pPr>
          </w:p>
        </w:tc>
      </w:tr>
      <w:tr>
        <w:trPr>
          <w:trHeight w:val="189"/>
        </w:trPr>
        <w:tc>
          <w:tcPr>
            <w:tcW w:w="5280" w:type="dxa"/>
            <w:vAlign w:val="bottom"/>
          </w:tcPr>
          <w:p>
            <w:pPr>
              <w:ind w:left="1600"/>
              <w:spacing w:after="0"/>
              <w:rPr>
                <w:sz w:val="20"/>
                <w:szCs w:val="20"/>
                <w:color w:val="auto"/>
              </w:rPr>
            </w:pPr>
            <w:r>
              <w:rPr>
                <w:rFonts w:ascii="Arial" w:cs="Arial" w:eastAsia="Arial" w:hAnsi="Arial"/>
                <w:sz w:val="16"/>
                <w:szCs w:val="16"/>
                <w:b w:val="1"/>
                <w:bCs w:val="1"/>
                <w:color w:val="1A6DBB"/>
              </w:rPr>
              <w:t xml:space="preserve">Independent Chair: </w:t>
            </w:r>
            <w:r>
              <w:rPr>
                <w:rFonts w:ascii="Arial" w:cs="Arial" w:eastAsia="Arial" w:hAnsi="Arial"/>
                <w:sz w:val="16"/>
                <w:szCs w:val="16"/>
                <w:color w:val="000000"/>
              </w:rPr>
              <w:t>after 2023 Annual Meeting</w:t>
            </w:r>
          </w:p>
        </w:tc>
        <w:tc>
          <w:tcPr>
            <w:tcW w:w="340" w:type="dxa"/>
            <w:vAlign w:val="bottom"/>
          </w:tcPr>
          <w:p>
            <w:pPr>
              <w:spacing w:after="0"/>
              <w:rPr>
                <w:sz w:val="16"/>
                <w:szCs w:val="16"/>
                <w:color w:val="auto"/>
              </w:rPr>
            </w:pPr>
          </w:p>
        </w:tc>
        <w:tc>
          <w:tcPr>
            <w:tcW w:w="5400" w:type="dxa"/>
            <w:vAlign w:val="bottom"/>
          </w:tcPr>
          <w:p>
            <w:pPr>
              <w:ind w:left="16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69</w:t>
            </w:r>
          </w:p>
        </w:tc>
        <w:tc>
          <w:tcPr>
            <w:tcW w:w="0" w:type="dxa"/>
            <w:vAlign w:val="bottom"/>
          </w:tcPr>
          <w:p>
            <w:pPr>
              <w:spacing w:after="0"/>
              <w:rPr>
                <w:sz w:val="1"/>
                <w:szCs w:val="1"/>
                <w:color w:val="auto"/>
              </w:rPr>
            </w:pPr>
          </w:p>
        </w:tc>
      </w:tr>
      <w:tr>
        <w:trPr>
          <w:trHeight w:val="189"/>
        </w:trPr>
        <w:tc>
          <w:tcPr>
            <w:tcW w:w="5280" w:type="dxa"/>
            <w:vAlign w:val="bottom"/>
          </w:tcPr>
          <w:p>
            <w:pPr>
              <w:ind w:left="16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63</w:t>
            </w:r>
          </w:p>
        </w:tc>
        <w:tc>
          <w:tcPr>
            <w:tcW w:w="340" w:type="dxa"/>
            <w:vAlign w:val="bottom"/>
          </w:tcPr>
          <w:p>
            <w:pPr>
              <w:spacing w:after="0"/>
              <w:rPr>
                <w:sz w:val="16"/>
                <w:szCs w:val="16"/>
                <w:color w:val="auto"/>
              </w:rPr>
            </w:pPr>
          </w:p>
        </w:tc>
        <w:tc>
          <w:tcPr>
            <w:tcW w:w="5400" w:type="dxa"/>
            <w:vAlign w:val="bottom"/>
          </w:tcPr>
          <w:p>
            <w:pPr>
              <w:ind w:left="1600"/>
              <w:spacing w:after="0"/>
              <w:rPr>
                <w:sz w:val="20"/>
                <w:szCs w:val="20"/>
                <w:color w:val="auto"/>
              </w:rPr>
            </w:pPr>
            <w:r>
              <w:rPr>
                <w:rFonts w:ascii="Arial" w:cs="Arial" w:eastAsia="Arial" w:hAnsi="Arial"/>
                <w:sz w:val="16"/>
                <w:szCs w:val="16"/>
                <w:b w:val="1"/>
                <w:bCs w:val="1"/>
                <w:color w:val="1A6DBB"/>
              </w:rPr>
              <w:t>Biogen Board Committee:</w:t>
            </w:r>
          </w:p>
        </w:tc>
        <w:tc>
          <w:tcPr>
            <w:tcW w:w="0" w:type="dxa"/>
            <w:vAlign w:val="bottom"/>
          </w:tcPr>
          <w:p>
            <w:pPr>
              <w:spacing w:after="0"/>
              <w:rPr>
                <w:sz w:val="1"/>
                <w:szCs w:val="1"/>
                <w:color w:val="auto"/>
              </w:rPr>
            </w:pPr>
          </w:p>
        </w:tc>
      </w:tr>
      <w:tr>
        <w:trPr>
          <w:trHeight w:val="197"/>
        </w:trPr>
        <w:tc>
          <w:tcPr>
            <w:tcW w:w="5280" w:type="dxa"/>
            <w:vAlign w:val="bottom"/>
          </w:tcPr>
          <w:p>
            <w:pPr>
              <w:ind w:left="1600"/>
              <w:spacing w:after="0"/>
              <w:rPr>
                <w:sz w:val="20"/>
                <w:szCs w:val="20"/>
                <w:color w:val="auto"/>
              </w:rPr>
            </w:pPr>
            <w:r>
              <w:rPr>
                <w:rFonts w:ascii="Arial" w:cs="Arial" w:eastAsia="Arial" w:hAnsi="Arial"/>
                <w:sz w:val="16"/>
                <w:szCs w:val="16"/>
                <w:b w:val="1"/>
                <w:bCs w:val="1"/>
                <w:color w:val="1A6DBB"/>
              </w:rPr>
              <w:t>Biogen Board Committee:</w:t>
            </w:r>
          </w:p>
        </w:tc>
        <w:tc>
          <w:tcPr>
            <w:tcW w:w="340" w:type="dxa"/>
            <w:vAlign w:val="bottom"/>
          </w:tcPr>
          <w:p>
            <w:pPr>
              <w:spacing w:after="0"/>
              <w:rPr>
                <w:sz w:val="17"/>
                <w:szCs w:val="17"/>
                <w:color w:val="auto"/>
              </w:rPr>
            </w:pPr>
          </w:p>
        </w:tc>
        <w:tc>
          <w:tcPr>
            <w:tcW w:w="5400" w:type="dxa"/>
            <w:vAlign w:val="bottom"/>
          </w:tcPr>
          <w:p>
            <w:pPr>
              <w:ind w:left="16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 Compensation and Management Development</w:t>
            </w:r>
          </w:p>
        </w:tc>
        <w:tc>
          <w:tcPr>
            <w:tcW w:w="0" w:type="dxa"/>
            <w:vAlign w:val="bottom"/>
          </w:tcPr>
          <w:p>
            <w:pPr>
              <w:spacing w:after="0"/>
              <w:rPr>
                <w:sz w:val="1"/>
                <w:szCs w:val="1"/>
                <w:color w:val="auto"/>
              </w:rPr>
            </w:pPr>
          </w:p>
        </w:tc>
      </w:tr>
      <w:tr>
        <w:trPr>
          <w:trHeight w:val="207"/>
        </w:trPr>
        <w:tc>
          <w:tcPr>
            <w:tcW w:w="5280" w:type="dxa"/>
            <w:vAlign w:val="bottom"/>
          </w:tcPr>
          <w:p>
            <w:pPr>
              <w:ind w:left="16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 (Chair)</w:t>
            </w:r>
          </w:p>
        </w:tc>
        <w:tc>
          <w:tcPr>
            <w:tcW w:w="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-604520</wp:posOffset>
            </wp:positionV>
            <wp:extent cx="848360" cy="1054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8360" cy="105473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-604520</wp:posOffset>
            </wp:positionV>
            <wp:extent cx="840105" cy="1062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1062990"/>
                    </a:xfrm>
                    <a:prstGeom prst="rect">
                      <a:avLst/>
                    </a:prstGeom>
                    <a:noFill/>
                  </pic:spPr>
                </pic:pic>
              </a:graphicData>
            </a:graphic>
          </wp:anchor>
        </w:drawing>
      </w:r>
    </w:p>
    <w:p>
      <w:pPr>
        <w:sectPr>
          <w:pgSz w:w="11900" w:h="16838" w:orient="portrait"/>
          <w:cols w:equalWidth="0" w:num="1">
            <w:col w:w="11020"/>
          </w:cols>
          <w:pgMar w:left="440" w:top="48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Dorsa served as the Executive Vice President and Chief Financial Officer of Public Service Enterprise Group Incorporated, a diversified energy company, from April 2009 until her retirement in October 2015, and served on its Board of Directors from February 2003 to April 2009. From February 2008 to April 2009, she served as Senior Vice President, Global Human Health, Strategy and Integration at Merck &amp; Co., Inc., a pharmaceutical company. From November 2007 to January 2008, Ms. Dorsa served as Senior Vice President and Chief Financial Officer of Gilead Sciences, Inc., a life sciences company. From February 2007 to November 2007, she served as Senior Vice President and Chief Financial Officer of Avaya, Inc., a telecommunications company. From 1987 to January 2007, Ms. Dorsa held various financial and operational positions at Merck &amp; Co., Inc., including Vice President and Treasurer, Executive Director of U.S. Customer Marketing and Executive Director of U.S. Pricing and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Ms. Dorsa has significant financial and accounting expertise and a deep knowledge of the pharmaceutical industry. Her strategic perspective on the industry is particularly valuable to our Board of Directors as it oversees our growth initiatives and reviews both internal development projects and external opportunities.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Duke Energy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Illumina, Inc.</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Intellia Therapeutics, Inc. (resigned from the Board of Directors of</w:t>
      </w:r>
      <w:r>
        <w:rPr>
          <w:rFonts w:ascii="Arial" w:cs="Arial" w:eastAsia="Arial" w:hAnsi="Arial"/>
          <w:sz w:val="16"/>
          <w:szCs w:val="16"/>
          <w:color w:val="1A6DBB"/>
        </w:rPr>
        <w:t xml:space="preserve"> </w:t>
      </w:r>
      <w:r>
        <w:rPr>
          <w:rFonts w:ascii="Arial" w:cs="Arial" w:eastAsia="Arial" w:hAnsi="Arial"/>
          <w:sz w:val="16"/>
          <w:szCs w:val="16"/>
          <w:color w:val="000000"/>
        </w:rPr>
        <w:t>Intellia Therapeutics, Inc. effective June 15, 2023.)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Goldman Sachs Investment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From November 2012 to September 2021, Dr. Freire served as President and Executive Director and as a member of the Board of Directors of the Foundation for the National Institutes of Health. From March 2008 to November 2012, she served as President and as a member of the Board of Directors of the Albert and Mary Lasker Foundation. Prior to joining the Lasker Foundation, Dr. Freire served as President and Chief Executive Officer of the Global Alliance for TB Drug Development from 2001 to 2008 and Director of the Office of Technology Transfer at the National Institutes of Health from 1995 to 2001. She has served on the boards of numerous national and international organizations, including the Science Board of the U.S. Food and Drug Administration, the World Health Organization Commission on Intellectual Property Rights, Innovation and Public Health and the United Nations Secretary General’s High Level Panel on Access to Medicines. Dr. Freire also serves on the Board of Koneksa Health, a private company that develops, tests and validates digital biomarkers for clinical trials. Dr. Freire is also a member of the National Academy of Medicine and the Council on Foreign Relations, and she is the recipient of numerous awards, including a 2017 Gold Stevie Award for “Woman of the Year,” the U.S. Department of Health and Human Services Secretary’s Award for Distinguished Service, the Arthur S. Fleming Award and the Bayh-Dole Award. Dr. Freire holds a Ph.D. in Biophysics from the University of Virginia and a B.S. from the Universidad Peruana Cayetano Heredia in Lima, Peru.</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Dr. Freire has significant knowledge and experience with respect to medical research, the pharmaceutical industry and government healthcare policymaking. Dr. Freire’s strong public policy and government experience also provides vital insights to our Board of Directors about significant issues affecting the highly regulated life sciences industry.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Alexandria Real Estate Equities,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Exelixis, Inc.</w:t>
      </w:r>
    </w:p>
    <w:p>
      <w:pPr>
        <w:spacing w:after="0" w:line="93"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182245</wp:posOffset>
            </wp:positionV>
            <wp:extent cx="42037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30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8"/>
          <w:szCs w:val="18"/>
          <w:color w:val="1A6DBB"/>
        </w:rPr>
        <w:t>2023 Proxy Statement</w:t>
      </w:r>
      <w:r>
        <w:rPr>
          <w:sz w:val="20"/>
          <w:szCs w:val="20"/>
          <w:color w:val="auto"/>
        </w:rPr>
        <w:tab/>
      </w:r>
      <w:r>
        <w:rPr>
          <w:rFonts w:ascii="Arial" w:cs="Arial" w:eastAsia="Arial" w:hAnsi="Arial"/>
          <w:sz w:val="17"/>
          <w:szCs w:val="17"/>
          <w:color w:val="1A6DBB"/>
        </w:rPr>
        <w:t>-2-</w:t>
      </w:r>
    </w:p>
    <w:p>
      <w:pPr>
        <w:sectPr>
          <w:pgSz w:w="11900" w:h="16838" w:orient="portrait"/>
          <w:cols w:equalWidth="0" w:num="2">
            <w:col w:w="5280" w:space="340"/>
            <w:col w:w="5400"/>
          </w:cols>
          <w:pgMar w:left="440" w:top="481" w:right="439" w:bottom="1440" w:gutter="0" w:footer="0" w:header="0"/>
          <w:type w:val="continuous"/>
        </w:sectPr>
      </w:pPr>
    </w:p>
    <w:bookmarkStart w:id="10" w:name="page11"/>
    <w:bookmarkEnd w:id="10"/>
    <w:p>
      <w:pPr>
        <w:ind w:left="1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276860</wp:posOffset>
            </wp:positionH>
            <wp:positionV relativeFrom="page">
              <wp:posOffset>551815</wp:posOffset>
            </wp:positionV>
            <wp:extent cx="33604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0420" cy="188595"/>
                    </a:xfrm>
                    <a:prstGeom prst="rect">
                      <a:avLst/>
                    </a:prstGeom>
                    <a:noFill/>
                  </pic:spPr>
                </pic:pic>
              </a:graphicData>
            </a:graphic>
          </wp:anchor>
        </w:drawing>
        <w:t>William A. Hawkins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-104775</wp:posOffset>
            </wp:positionV>
            <wp:extent cx="848360" cy="1062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69</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Compensation and Management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Hawkins serves as a Senior Advisor to EW Healthcare Partners, a life sciences private equity firm. Mr. Hawkins is the former Chairman and CEO of Medtronic, Inc., a global leader in medical technology. He was at Medtronic from 2002 until 2011. After retiring from Medtronic, he served as President and Chief Executive Officer of Immucor, a private equity backed global leader in transfusion and transplant medicine from October 2011 to July 2015. From 1998 to 2001 Mr. Hawkins served as President and Chief Executive Officer of Novoste Corporation,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also serves on the boards of Virtue Labs, Enterra, Cirtec Medical Corp., and Baebies, Inc., all of which are life science companies. Mr. Hawkins is on the executive committee of the Duke University Board of Trustees, and intends to step down effective June 30, 2023, and he and is Chair of the Duke University Health System. Mr. Hawkins was elected as a member of the AIMBE College of Fellows and the National Academy of Engineering. He has a dual degree in Electrical and Biomedical Engineering from Duke University and a M.B.A. from the University of Virginia’s Darden School of Business.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Hawkins has significant leadership experience as a chief executive officer, significant knowledge of, and experience in, the healthcare industry and significant international experience. He also has extensive governance and public company board experience.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Bioventus Inc. (Chairman)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MiMedx Group, Inc.</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Avanos Medical, Inc.</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b w:val="1"/>
          <w:bCs w:val="1"/>
          <w:color w:val="FFFFFF"/>
        </w:rPr>
        <w:t>Jesus B. Mantas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-497840</wp:posOffset>
            </wp:positionV>
            <wp:extent cx="717486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342900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0" cy="188595"/>
                    </a:xfrm>
                    <a:prstGeom prst="rect">
                      <a:avLst/>
                    </a:prstGeom>
                    <a:noFill/>
                  </pic:spPr>
                </pic:pic>
              </a:graphicData>
            </a:graphic>
          </wp:anchor>
        </w:drawing>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-104775</wp:posOffset>
            </wp:positionV>
            <wp:extent cx="848995" cy="1062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8995" cy="1062990"/>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54</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Mantas serves as the Global Managing Partner responsible for IBM Business Transformation Services unit of IBM, and he is also responsible for IBM Consulting Corporate Development. Mr. Mantas is a member of the IBM Executive Performance Team, IBM Executive Technology Team and IBM Chairman Acceleration Team and is the Emeritus Chair of the IBM Hispanic Diversity Council. He served in the Global AI Council of the World Economic Forum, serves on the board of HITEC, a non-profit organization focused on developing and advancing the careers of Hispanic executives in the Technology Industry and on the board of NACME (National Action Council for Minorities in Engineering). He is a limited partner to Benhamou Global Ventures Fund IV, an investment fund for early-stage companies focusing on digital transformation, and is an active investor in Hispanic-led early stage companies. From 2002 through 2016, Mr. Mantas led IBM’s Business Consulting unit, one of the largest consulting organizations in the world. Prior roles included leading IBM Global Process Services and the Business Services unit in Latin America after he held multiple leadership positions as Vice President in North America. Before joining IBM, Mr. Mantas was a Partner in PricewaterhouseCoopers Consulting, an adjunct professor at University of California Irvine – Graduate School of Management and an officer in the Air Force of Spain.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Mantas has significant global operating, business and technology leadership experience across Europe, North America and Latin America. He has demonstrated leadership designing new strategies and translating them into execution, applying technology to improve business performance, advocating for diversity and developing talent in multi-cultural environments. He brings over 30 years of experience in information technology, data science and artificial intelligence.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1A6DBB"/>
        </w:rPr>
        <w:t xml:space="preserve">– </w:t>
      </w:r>
      <w:r>
        <w:rPr>
          <w:rFonts w:ascii="Arial" w:cs="Arial" w:eastAsia="Arial" w:hAnsi="Arial"/>
          <w:sz w:val="16"/>
          <w:szCs w:val="16"/>
          <w:color w:val="000000"/>
        </w:rPr>
        <w:t>None</w:t>
      </w:r>
    </w:p>
    <w:p>
      <w:pPr>
        <w:spacing w:after="0" w:line="93"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572135</wp:posOffset>
            </wp:positionV>
            <wp:extent cx="42037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8"/>
          <w:szCs w:val="18"/>
          <w:color w:val="1A6DBB"/>
        </w:rPr>
        <w:t>2023 Proxy Statement</w:t>
      </w:r>
      <w:r>
        <w:rPr>
          <w:sz w:val="20"/>
          <w:szCs w:val="20"/>
          <w:color w:val="auto"/>
        </w:rPr>
        <w:tab/>
      </w:r>
      <w:r>
        <w:rPr>
          <w:rFonts w:ascii="Arial" w:cs="Arial" w:eastAsia="Arial" w:hAnsi="Arial"/>
          <w:sz w:val="17"/>
          <w:szCs w:val="17"/>
          <w:color w:val="1A6DBB"/>
        </w:rPr>
        <w:t>-3-</w:t>
      </w:r>
    </w:p>
    <w:p>
      <w:pPr>
        <w:sectPr>
          <w:pgSz w:w="11900" w:h="16838" w:orient="portrait"/>
          <w:cols w:equalWidth="0" w:num="2">
            <w:col w:w="5280" w:space="340"/>
            <w:col w:w="5400"/>
          </w:cols>
          <w:pgMar w:left="440" w:top="913" w:right="439" w:bottom="1440" w:gutter="0" w:footer="0" w:header="0"/>
        </w:sectPr>
      </w:pPr>
    </w:p>
    <w:bookmarkStart w:id="11" w:name="page12"/>
    <w:bookmarkEnd w:id="11"/>
    <w:p>
      <w:pPr>
        <w:ind w:left="1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276860</wp:posOffset>
            </wp:positionH>
            <wp:positionV relativeFrom="page">
              <wp:posOffset>551815</wp:posOffset>
            </wp:positionV>
            <wp:extent cx="33604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0420" cy="188595"/>
                    </a:xfrm>
                    <a:prstGeom prst="rect">
                      <a:avLst/>
                    </a:prstGeom>
                    <a:noFill/>
                  </pic:spPr>
                </pic:pic>
              </a:graphicData>
            </a:graphic>
          </wp:anchor>
        </w:drawing>
        <w:t>Eric K. Rowinsky, M.D.</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-78740</wp:posOffset>
            </wp:positionV>
            <wp:extent cx="848360" cy="1062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66</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Dr. Rowinsky’s professional career has been focused on the development and registration of new therapeutics of all types. He has played an integral role and has led teams that have registered more than twelve novel therapies for patients with advanced cancers. He has been an independent consultant to the biopharmaceutical industry since 2010. Dr. Rowinsky has served as President of Inspirna, Inc., a privately-held life sciences company, since November 2015 and previously served as its Executive Chairman from December 2016 to September 2021. He has served as Chief Medical Officer of Hummingbird Biotherapeutics, a private life-science company focusing on discovery of novel targets and protein therapeutics for cancer and autoimmune diseases from January 2020 to March 2023. From June 2016 to June 2021, he served as the Chief Scientific Officer of Clearpath Development Inc., which rapidly advances development stage therapeutic assets to pre-defined human proof-of-concept milestones. From January 2012 to November 2015, he was the Head of Research and Development and Chief Medical Officer of Stemline Therapeutics, Inc., a biotechnology company focusing on the discovery and development of therapeutics targeting cancer stem cells and rare diseases. Prior to that, he was the Chief Executive Officer of Primrose Therapeutics, Inc., a start-up biotechnology company focusing on the development of therapeutics for polycystic kidney disease, from August 2010 until its acquisition in September 2011. From 2005 to December 2009, he served as the Chief Medical Officer and Executive Vice President of ImClone Systems Inc, a life sciences company. From 1996 to 2004 he held several positions at the Cancer Therapy &amp; Research Center’s Institute for Drug Development, including Director of the Institute and Director of Clinical Research. From 1988 to 1996 he was an Associate Professor of Oncology at the Johns Hopkins School of Medicine. Dr. Rowinsky has also served on the Board of Scientific Counselors of the National Cancer Institute.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Dr. Rowinsky has extensive research and drug development and regulatory experience and broad scientific and medical knowledge.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Fortress Biotech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Purple Biotech Ltd.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Verastem, Inc.</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BIND Therapeutics, Inc.</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b w:val="1"/>
          <w:bCs w:val="1"/>
          <w:color w:val="FFFFFF"/>
        </w:rPr>
        <w:t>Stephen A. Sherwin,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-497840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342900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00" cy="188595"/>
                    </a:xfrm>
                    <a:prstGeom prst="rect">
                      <a:avLst/>
                    </a:prstGeom>
                    <a:noFill/>
                  </pic:spPr>
                </pic:pic>
              </a:graphicData>
            </a:graphic>
          </wp:anchor>
        </w:drawing>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-104775</wp:posOffset>
            </wp:positionV>
            <wp:extent cx="848995" cy="1062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8995" cy="1062990"/>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74</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Dr. Sherwin currently divides his time between advisory work in the life sciences industry and patient care and teaching in his specialty of medical oncology. He is a Clinical Professor of Medicine at the University of California, San Francisco and a volunteer Attending Physician in Hematology-Oncology at the Zuckerberg San Francisco General Hospital. Dr. Sherwin also currently serves as an advisory partner with Third Rock Ventures, LLC. He previously served as the Chairman of Ceregene, Inc., a life sciences company that he co-founded, from 2001 until its acquisition by Sangamo Biosciences, Inc. in 2013. He was also a co-founder and chairman of Abgenix, Inc., an antibody company which was acquired by Amgen Inc. in 2006. From 1990 to October 2009, he served as the Chief Executive Officer of Cell Genesys, Inc., a life sciences company, and was its Chairman from 1994 until the company’s merger with BioSante Pharmaceuticals, Inc. (now ANI Pharmaceuticals, Inc.) in October 2009. Prior to that, he held various positions at Genentech, Inc., a life sciences company, most recently as Vice President, Clinical Research. In addition, Dr. Sherwin previously served on the Board of Directors of the Biotechnology Industry Organization from 2001 to 2014 and as its chairman from 2009 to 2011.</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Dr. Sherwin has extensive knowledge of the life sciences industry and brings more than 30 years of experience in senior leadership positions at large and small publicly traded life sciences companies to our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Neurocrine Biosciences,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Bios Special Acquisition Corporation</w:t>
      </w:r>
    </w:p>
    <w:p>
      <w:pPr>
        <w:spacing w:after="0" w:line="93"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Epiphany Technology Acquisition Corp.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Aduro Biotech,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1442085</wp:posOffset>
            </wp:positionV>
            <wp:extent cx="4203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8"/>
          <w:szCs w:val="18"/>
          <w:color w:val="1A6DBB"/>
        </w:rPr>
        <w:t>2023 Proxy Statement</w:t>
      </w:r>
      <w:r>
        <w:rPr>
          <w:sz w:val="20"/>
          <w:szCs w:val="20"/>
          <w:color w:val="auto"/>
        </w:rPr>
        <w:tab/>
      </w:r>
      <w:r>
        <w:rPr>
          <w:rFonts w:ascii="Arial" w:cs="Arial" w:eastAsia="Arial" w:hAnsi="Arial"/>
          <w:sz w:val="17"/>
          <w:szCs w:val="17"/>
          <w:color w:val="1A6DBB"/>
        </w:rPr>
        <w:t>-4-</w:t>
      </w:r>
    </w:p>
    <w:p>
      <w:pPr>
        <w:sectPr>
          <w:pgSz w:w="11900" w:h="16838" w:orient="portrait"/>
          <w:cols w:equalWidth="0" w:num="2">
            <w:col w:w="5280" w:space="340"/>
            <w:col w:w="5400"/>
          </w:cols>
          <w:pgMar w:left="440" w:top="913" w:right="439" w:bottom="1440" w:gutter="0" w:footer="0" w:header="0"/>
        </w:sectPr>
      </w:pPr>
    </w:p>
    <w:bookmarkStart w:id="12" w:name="page13"/>
    <w:bookmarkEnd w:id="12"/>
    <w:p>
      <w:pPr>
        <w:ind w:left="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88595"/>
                    </a:xfrm>
                    <a:prstGeom prst="rect">
                      <a:avLst/>
                    </a:prstGeom>
                    <a:noFill/>
                  </pic:spPr>
                </pic:pic>
              </a:graphicData>
            </a:graphic>
          </wp:anchor>
        </w:drawing>
        <w:t>Christopher A. Viehbacher</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-104775</wp:posOffset>
            </wp:positionV>
            <wp:extent cx="814705" cy="1062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4705" cy="1062990"/>
                    </a:xfrm>
                    <a:prstGeom prst="rect">
                      <a:avLst/>
                    </a:prstGeom>
                    <a:noFill/>
                  </pic:spPr>
                </pic:pic>
              </a:graphicData>
            </a:graphic>
          </wp:anchor>
        </w:drawing>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63</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Viehbacher has served as our President and Chief Executive Officer and member of our Board of Directors since November 2022. Prior to joining Biogen, Mr. Viehbacher served as Managing Partner of Gurnet Point Capital, a Boston based investment fund, from 2015 to 2022. Prior to that, Mr. Viehbacher served as Global CEO of Sanofi S.A., from 2008 to 2014. Prior to joining Sanofi, Mr. Viehbacher spent over 20 years with GlaxoSmithKline in Germany, Canada, France and, latterly, the U.S. as President of its North American pharmaceutical division. Mr. Viehbacher began his career with PricewaterhouseCoopers LLP and qualified as a chartered accountant. He is also a trustee of Northeastern University and a member of the Board of Fellows at Stanford Medical School.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Viehbacher has extensive international experience in both large pharmaceutical companies and entrepreneurial biotech companies. Mr. Viehbacher brings a keen understanding of the complexities involved in running a multibillion-dollar global pharmaceutical business as well as an appreciation for the value of innovation.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Pure Tech plc (Chair), not standing for reelection and departing the Pure Tech plc Board of Directors on June 13, 2023.</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Axcella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96520</wp:posOffset>
            </wp:positionV>
            <wp:extent cx="4203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17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8"/>
          <w:szCs w:val="18"/>
          <w:color w:val="1A6DBB"/>
        </w:rPr>
        <w:t>2023 Proxy Statement</w:t>
      </w:r>
      <w:r>
        <w:rPr>
          <w:sz w:val="20"/>
          <w:szCs w:val="20"/>
          <w:color w:val="auto"/>
        </w:rPr>
        <w:tab/>
      </w:r>
      <w:r>
        <w:rPr>
          <w:rFonts w:ascii="Arial" w:cs="Arial" w:eastAsia="Arial" w:hAnsi="Arial"/>
          <w:sz w:val="17"/>
          <w:szCs w:val="17"/>
          <w:color w:val="1A6DBB"/>
        </w:rPr>
        <w:t>-5-</w:t>
      </w:r>
    </w:p>
    <w:p>
      <w:pPr>
        <w:sectPr>
          <w:pgSz w:w="11900" w:h="16838" w:orient="portrait"/>
          <w:cols w:equalWidth="0" w:num="1">
            <w:col w:w="11020"/>
          </w:cols>
          <w:pgMar w:left="440" w:top="85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1A6DBB"/>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Voting Requirements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60" w:type="dxa"/>
            <w:vAlign w:val="bottom"/>
            <w:shd w:val="clear" w:color="auto" w:fill="1A6DBB"/>
          </w:tcPr>
          <w:p>
            <w:pPr>
              <w:spacing w:after="0"/>
              <w:rPr>
                <w:sz w:val="18"/>
                <w:szCs w:val="18"/>
                <w:color w:val="auto"/>
              </w:rPr>
            </w:pPr>
          </w:p>
        </w:tc>
        <w:tc>
          <w:tcPr>
            <w:tcW w:w="2740" w:type="dxa"/>
            <w:vAlign w:val="bottom"/>
            <w:shd w:val="clear" w:color="auto" w:fill="1A6DBB"/>
          </w:tcPr>
          <w:p>
            <w:pPr>
              <w:spacing w:after="0"/>
              <w:rPr>
                <w:sz w:val="18"/>
                <w:szCs w:val="18"/>
                <w:color w:val="auto"/>
              </w:rPr>
            </w:pPr>
          </w:p>
        </w:tc>
        <w:tc>
          <w:tcPr>
            <w:tcW w:w="4420" w:type="dxa"/>
            <w:vAlign w:val="bottom"/>
            <w:shd w:val="clear" w:color="auto" w:fill="1A6DBB"/>
          </w:tcPr>
          <w:p>
            <w:pPr>
              <w:ind w:left="1000"/>
              <w:spacing w:after="0"/>
              <w:rPr>
                <w:sz w:val="20"/>
                <w:szCs w:val="20"/>
                <w:color w:val="auto"/>
              </w:rPr>
            </w:pPr>
            <w:r>
              <w:rPr>
                <w:rFonts w:ascii="Arial" w:cs="Arial" w:eastAsia="Arial" w:hAnsi="Arial"/>
                <w:sz w:val="14"/>
                <w:szCs w:val="14"/>
                <w:color w:val="FFFFFF"/>
              </w:rPr>
              <w:t>Broker Discretionary Voting</w:t>
            </w:r>
          </w:p>
        </w:tc>
      </w:tr>
      <w:tr>
        <w:trPr>
          <w:trHeight w:val="188"/>
        </w:trPr>
        <w:tc>
          <w:tcPr>
            <w:tcW w:w="3860" w:type="dxa"/>
            <w:vAlign w:val="bottom"/>
            <w:tcBorders>
              <w:bottom w:val="single" w:sz="8" w:color="1A6DBB"/>
            </w:tcBorders>
            <w:shd w:val="clear" w:color="auto" w:fill="1A6DBB"/>
          </w:tcPr>
          <w:p>
            <w:pPr>
              <w:ind w:left="60"/>
              <w:spacing w:after="0"/>
              <w:rPr>
                <w:sz w:val="20"/>
                <w:szCs w:val="20"/>
                <w:color w:val="auto"/>
              </w:rPr>
            </w:pPr>
            <w:r>
              <w:rPr>
                <w:rFonts w:ascii="Arial" w:cs="Arial" w:eastAsia="Arial" w:hAnsi="Arial"/>
                <w:sz w:val="14"/>
                <w:szCs w:val="14"/>
                <w:color w:val="FFFFFF"/>
              </w:rPr>
              <w:t>Proposal</w:t>
            </w:r>
          </w:p>
        </w:tc>
        <w:tc>
          <w:tcPr>
            <w:tcW w:w="2740" w:type="dxa"/>
            <w:vAlign w:val="bottom"/>
            <w:tcBorders>
              <w:bottom w:val="single" w:sz="8" w:color="1A6DBB"/>
            </w:tcBorders>
            <w:shd w:val="clear" w:color="auto" w:fill="1A6DBB"/>
          </w:tcPr>
          <w:p>
            <w:pPr>
              <w:ind w:left="100"/>
              <w:spacing w:after="0"/>
              <w:rPr>
                <w:sz w:val="20"/>
                <w:szCs w:val="20"/>
                <w:color w:val="auto"/>
              </w:rPr>
            </w:pPr>
            <w:r>
              <w:rPr>
                <w:rFonts w:ascii="Arial" w:cs="Arial" w:eastAsia="Arial" w:hAnsi="Arial"/>
                <w:sz w:val="14"/>
                <w:szCs w:val="14"/>
                <w:color w:val="FFFFFF"/>
              </w:rPr>
              <w:t>Vote Required</w:t>
            </w:r>
          </w:p>
        </w:tc>
        <w:tc>
          <w:tcPr>
            <w:tcW w:w="4420" w:type="dxa"/>
            <w:vAlign w:val="bottom"/>
            <w:tcBorders>
              <w:bottom w:val="single" w:sz="8" w:color="1A6DBB"/>
            </w:tcBorders>
            <w:shd w:val="clear" w:color="auto" w:fill="1A6DBB"/>
          </w:tcPr>
          <w:p>
            <w:pPr>
              <w:ind w:left="1000"/>
              <w:spacing w:after="0"/>
              <w:rPr>
                <w:sz w:val="20"/>
                <w:szCs w:val="20"/>
                <w:color w:val="auto"/>
              </w:rPr>
            </w:pPr>
            <w:r>
              <w:rPr>
                <w:rFonts w:ascii="Arial" w:cs="Arial" w:eastAsia="Arial" w:hAnsi="Arial"/>
                <w:sz w:val="14"/>
                <w:szCs w:val="14"/>
                <w:color w:val="FFFFFF"/>
              </w:rPr>
              <w:t>Allowed</w:t>
            </w:r>
          </w:p>
        </w:tc>
      </w:tr>
      <w:tr>
        <w:trPr>
          <w:trHeight w:val="207"/>
        </w:trPr>
        <w:tc>
          <w:tcPr>
            <w:tcW w:w="3860" w:type="dxa"/>
            <w:vAlign w:val="bottom"/>
          </w:tcPr>
          <w:p>
            <w:pPr>
              <w:ind w:left="60"/>
              <w:spacing w:after="0"/>
              <w:rPr>
                <w:sz w:val="20"/>
                <w:szCs w:val="20"/>
                <w:color w:val="auto"/>
              </w:rPr>
            </w:pPr>
            <w:r>
              <w:rPr>
                <w:rFonts w:ascii="Arial" w:cs="Arial" w:eastAsia="Arial" w:hAnsi="Arial"/>
                <w:sz w:val="16"/>
                <w:szCs w:val="16"/>
                <w:color w:val="auto"/>
              </w:rPr>
              <w:t>Election of Directors</w:t>
            </w:r>
          </w:p>
        </w:tc>
        <w:tc>
          <w:tcPr>
            <w:tcW w:w="274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4420" w:type="dxa"/>
            <w:vAlign w:val="bottom"/>
          </w:tcPr>
          <w:p>
            <w:pPr>
              <w:ind w:left="2600"/>
              <w:spacing w:after="0"/>
              <w:rPr>
                <w:sz w:val="20"/>
                <w:szCs w:val="20"/>
                <w:color w:val="auto"/>
              </w:rPr>
            </w:pPr>
            <w:r>
              <w:rPr>
                <w:rFonts w:ascii="Arial" w:cs="Arial" w:eastAsia="Arial" w:hAnsi="Arial"/>
                <w:sz w:val="16"/>
                <w:szCs w:val="16"/>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995160" cy="1148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148715"/>
                    </a:xfrm>
                    <a:prstGeom prst="rect">
                      <a:avLst/>
                    </a:prstGeom>
                    <a:noFill/>
                  </pic:spPr>
                </pic:pic>
              </a:graphicData>
            </a:graphic>
          </wp:anchor>
        </w:drawing>
      </w:r>
    </w:p>
    <w:p>
      <w:pPr>
        <w:spacing w:after="0" w:line="60" w:lineRule="exact"/>
        <w:rPr>
          <w:sz w:val="20"/>
          <w:szCs w:val="20"/>
          <w:color w:val="auto"/>
        </w:rPr>
      </w:pPr>
    </w:p>
    <w:p>
      <w:pPr>
        <w:jc w:val="both"/>
        <w:ind w:left="280" w:right="100" w:hanging="214"/>
        <w:spacing w:after="0" w:line="256" w:lineRule="auto"/>
        <w:rPr>
          <w:sz w:val="20"/>
          <w:szCs w:val="20"/>
          <w:color w:val="auto"/>
        </w:rPr>
      </w:pPr>
      <w:r>
        <w:rPr>
          <w:rFonts w:ascii="Arial" w:cs="Arial" w:eastAsia="Arial" w:hAnsi="Arial"/>
          <w:sz w:val="16"/>
          <w:szCs w:val="16"/>
          <w:color w:val="auto"/>
        </w:rPr>
        <w:t>*   Any nominee who does not receive a majority of votes cast “for” his or her election would be required to tender his or her resignation promptly following the failure to receive the required votes. The Board (excluding the director in question) shall, within ninety (90) days after certification of the election results, decide whether to accept the director’s resignation, taking into account such factors as it deems relevant. The Board shall promptly disclose its decision and, if applicable, the reasons for rejecting the resignation in a filing with the Securities and Exchange Commission.</w:t>
      </w:r>
    </w:p>
    <w:p>
      <w:pPr>
        <w:spacing w:after="0" w:line="214" w:lineRule="exact"/>
        <w:rPr>
          <w:sz w:val="20"/>
          <w:szCs w:val="20"/>
          <w:color w:val="auto"/>
        </w:rPr>
      </w:pPr>
    </w:p>
    <w:p>
      <w:pPr>
        <w:jc w:val="both"/>
        <w:ind w:left="60" w:right="100"/>
        <w:spacing w:after="0" w:line="276" w:lineRule="auto"/>
        <w:rPr>
          <w:sz w:val="20"/>
          <w:szCs w:val="20"/>
          <w:color w:val="auto"/>
        </w:rPr>
      </w:pPr>
      <w:r>
        <w:rPr>
          <w:rFonts w:ascii="Arial" w:cs="Arial" w:eastAsia="Arial" w:hAnsi="Arial"/>
          <w:sz w:val="16"/>
          <w:szCs w:val="16"/>
          <w:color w:val="auto"/>
        </w:rPr>
        <w:t>Abstentions/Broker Non-Votes: If you abstain from voting or there is a broker non-vote in any matter, your abstention or broker nonvote will not affect the outcome of such vote, because abstentions and broker non-votes are not considered to be votes cast under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205105</wp:posOffset>
            </wp:positionV>
            <wp:extent cx="702056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0560" cy="325755"/>
                    </a:xfrm>
                    <a:prstGeom prst="rect">
                      <a:avLst/>
                    </a:prstGeom>
                    <a:noFill/>
                  </pic:spPr>
                </pic:pic>
              </a:graphicData>
            </a:graphic>
          </wp:anchor>
        </w:drawing>
      </w:r>
    </w:p>
    <w:p>
      <w:pPr>
        <w:spacing w:after="0" w:line="345" w:lineRule="exact"/>
        <w:rPr>
          <w:sz w:val="20"/>
          <w:szCs w:val="20"/>
          <w:color w:val="auto"/>
        </w:rPr>
      </w:pPr>
    </w:p>
    <w:p>
      <w:pPr>
        <w:jc w:val="center"/>
        <w:ind w:right="20"/>
        <w:spacing w:after="0" w:line="302" w:lineRule="auto"/>
        <w:rPr>
          <w:sz w:val="20"/>
          <w:szCs w:val="20"/>
          <w:color w:val="auto"/>
        </w:rPr>
      </w:pPr>
      <w:r>
        <w:rPr>
          <w:rFonts w:ascii="Arial" w:cs="Arial" w:eastAsia="Arial" w:hAnsi="Arial"/>
          <w:sz w:val="16"/>
          <w:szCs w:val="16"/>
          <w:b w:val="1"/>
          <w:bCs w:val="1"/>
          <w:i w:val="1"/>
          <w:iCs w:val="1"/>
          <w:color w:val="auto"/>
        </w:rPr>
        <w:t xml:space="preserve">OUR BOARD OF DIRECTORS RECOMMENDS THAT STOCKHOLDERS VOTE </w:t>
      </w:r>
      <w:r>
        <w:rPr>
          <w:rFonts w:ascii="Arial" w:cs="Arial" w:eastAsia="Arial" w:hAnsi="Arial"/>
          <w:sz w:val="16"/>
          <w:szCs w:val="16"/>
          <w:b w:val="1"/>
          <w:bCs w:val="1"/>
          <w:i w:val="1"/>
          <w:iCs w:val="1"/>
          <w:color w:val="1A6DBB"/>
        </w:rPr>
        <w:t>FOR</w:t>
      </w:r>
      <w:r>
        <w:rPr>
          <w:rFonts w:ascii="Arial" w:cs="Arial" w:eastAsia="Arial" w:hAnsi="Arial"/>
          <w:sz w:val="16"/>
          <w:szCs w:val="16"/>
          <w:b w:val="1"/>
          <w:bCs w:val="1"/>
          <w:i w:val="1"/>
          <w:iCs w:val="1"/>
          <w:color w:val="auto"/>
        </w:rPr>
        <w:t xml:space="preserve"> THE ELECTION OF EACH OF THE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699516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FFFFFF"/>
        </w:rPr>
        <w:t>Proposal 5 – Election of Susan K. Langer as a Director</w:t>
      </w:r>
    </w:p>
    <w:p>
      <w:pPr>
        <w:spacing w:after="0" w:line="34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asking our stockholders to elect Susan K. Langer as a director to serve a one-year term extending until our 2024 annual meeting of stockholders and until her successor is duly elected and qualified, unless she resigns or is removed.</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Board of Directors has nominated Ms. Langer based on its carefully considered judgment that the experience, qualifications, attributes and skills of Ms. Langer qualifies her to serve on our Board of Directors. As described in this Revised Proxy, Ms. Langer has considerable professional and business expertise. We know of no reason why Ms. Langer would be unable to accept nomination or election. Ms. Langer has consented to be named in this Revised Proxy and to serve if elected.</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Ms. Langer is unable to serve on our Board of Directors, the shares represented by your proxy will be voted for the election such other person as may be nominated by our Board of Directors. In addition, in compliance with all applicable state and federal laws and regulations, we will file an amended proxy statement and proxy card that, as applicable, (1) identifies the alternate nominee(s) and (2) discloses that such nominees have consented to being named in the revised proxy statement and to serve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82550</wp:posOffset>
            </wp:positionV>
            <wp:extent cx="42037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8"/>
          <w:szCs w:val="18"/>
          <w:color w:val="1A6DBB"/>
        </w:rPr>
        <w:t>2023 Proxy Statement</w:t>
      </w:r>
      <w:r>
        <w:rPr>
          <w:sz w:val="20"/>
          <w:szCs w:val="20"/>
          <w:color w:val="auto"/>
        </w:rPr>
        <w:tab/>
      </w:r>
      <w:r>
        <w:rPr>
          <w:rFonts w:ascii="Arial" w:cs="Arial" w:eastAsia="Arial" w:hAnsi="Arial"/>
          <w:sz w:val="17"/>
          <w:szCs w:val="17"/>
          <w:color w:val="1A6DBB"/>
        </w:rPr>
        <w:t>-6-</w:t>
      </w:r>
    </w:p>
    <w:p>
      <w:pPr>
        <w:sectPr>
          <w:pgSz w:w="11900" w:h="16838" w:orient="portrait"/>
          <w:cols w:equalWidth="0" w:num="1">
            <w:col w:w="11020"/>
          </w:cols>
          <w:pgMar w:left="440" w:top="792" w:right="439" w:bottom="1440" w:gutter="0" w:footer="0" w:header="0"/>
        </w:sectPr>
      </w:pPr>
    </w:p>
    <w:bookmarkStart w:id="14" w:name="page15"/>
    <w:bookmarkEnd w:id="14"/>
    <w:p>
      <w:pPr>
        <w:ind w:left="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699516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t>Susan K. Langer</w:t>
      </w:r>
    </w:p>
    <w:p>
      <w:pPr>
        <w:spacing w:after="0" w:line="189"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-104775</wp:posOffset>
            </wp:positionV>
            <wp:extent cx="840105" cy="1054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40105" cy="1054735"/>
                    </a:xfrm>
                    <a:prstGeom prst="rect">
                      <a:avLst/>
                    </a:prstGeom>
                    <a:noFill/>
                  </pic:spPr>
                </pic:pic>
              </a:graphicData>
            </a:graphic>
          </wp:anchor>
        </w:drawing>
      </w:r>
    </w:p>
    <w:p>
      <w:pPr>
        <w:spacing w:after="0" w:line="5"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86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Langer serves as the President of Souffle Therapeutics. Previously from February 2020 to September 2021, Ms. Langer served as founding President of Kojin Therapeutics, and she also served as founding Chief Business Officer of Paratus Sciences since September 2021. From 2013 to 2019, Ms. Langer worked for Biogen in roles of increasing responsibility, including as Head of Corporate Strategy where she led the strategy and execution of more than a dozen corporate transactions as well as company-wide initiatives. Ms. Langer has served as a director of NextRNA Therapeutics, Inc. since 2021. Ms. Langer has also previously served as a Venture Partner at Old Silver VC and Managing Partner at Guava Partners. She received a BA from Cornell University.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Ms. Langer brings healthcare and biotech operational and strategy experience to the Board.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1A6DBB"/>
        </w:rPr>
        <w:t xml:space="preserve">– </w:t>
      </w:r>
      <w:r>
        <w:rPr>
          <w:rFonts w:ascii="Arial" w:cs="Arial" w:eastAsia="Arial" w:hAnsi="Arial"/>
          <w:sz w:val="16"/>
          <w:szCs w:val="16"/>
          <w:color w:val="000000"/>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Ms. Langer was recommended as a director nominee to our Corporate Governance Committee by an independent director.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Stock Ownership</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Ms. Langer beneficially owned 459 shares of our common stock, representing less than 1% of our outstanding shares of common stock as of April 28,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Voting Requirements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60" w:type="dxa"/>
            <w:vAlign w:val="bottom"/>
            <w:shd w:val="clear" w:color="auto" w:fill="1A6DBB"/>
          </w:tcPr>
          <w:p>
            <w:pPr>
              <w:spacing w:after="0"/>
              <w:rPr>
                <w:sz w:val="18"/>
                <w:szCs w:val="18"/>
                <w:color w:val="auto"/>
              </w:rPr>
            </w:pPr>
          </w:p>
        </w:tc>
        <w:tc>
          <w:tcPr>
            <w:tcW w:w="2700" w:type="dxa"/>
            <w:vAlign w:val="bottom"/>
            <w:shd w:val="clear" w:color="auto" w:fill="1A6DBB"/>
          </w:tcPr>
          <w:p>
            <w:pPr>
              <w:spacing w:after="0"/>
              <w:rPr>
                <w:sz w:val="18"/>
                <w:szCs w:val="18"/>
                <w:color w:val="auto"/>
              </w:rPr>
            </w:pPr>
          </w:p>
        </w:tc>
        <w:tc>
          <w:tcPr>
            <w:tcW w:w="4460" w:type="dxa"/>
            <w:vAlign w:val="bottom"/>
            <w:shd w:val="clear" w:color="auto" w:fill="1A6DBB"/>
          </w:tcPr>
          <w:p>
            <w:pPr>
              <w:ind w:left="1040"/>
              <w:spacing w:after="0"/>
              <w:rPr>
                <w:sz w:val="20"/>
                <w:szCs w:val="20"/>
                <w:color w:val="auto"/>
              </w:rPr>
            </w:pPr>
            <w:r>
              <w:rPr>
                <w:rFonts w:ascii="Arial" w:cs="Arial" w:eastAsia="Arial" w:hAnsi="Arial"/>
                <w:sz w:val="14"/>
                <w:szCs w:val="14"/>
                <w:color w:val="FFFFFF"/>
              </w:rPr>
              <w:t>Broker Discretionary Voting</w:t>
            </w:r>
          </w:p>
        </w:tc>
      </w:tr>
      <w:tr>
        <w:trPr>
          <w:trHeight w:val="194"/>
        </w:trPr>
        <w:tc>
          <w:tcPr>
            <w:tcW w:w="386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Proposal</w:t>
            </w:r>
          </w:p>
        </w:tc>
        <w:tc>
          <w:tcPr>
            <w:tcW w:w="2700" w:type="dxa"/>
            <w:vAlign w:val="bottom"/>
            <w:shd w:val="clear" w:color="auto" w:fill="1A6DBB"/>
          </w:tcPr>
          <w:p>
            <w:pPr>
              <w:ind w:left="100"/>
              <w:spacing w:after="0"/>
              <w:rPr>
                <w:sz w:val="20"/>
                <w:szCs w:val="20"/>
                <w:color w:val="auto"/>
              </w:rPr>
            </w:pPr>
            <w:r>
              <w:rPr>
                <w:rFonts w:ascii="Arial" w:cs="Arial" w:eastAsia="Arial" w:hAnsi="Arial"/>
                <w:sz w:val="14"/>
                <w:szCs w:val="14"/>
                <w:color w:val="FFFFFF"/>
              </w:rPr>
              <w:t>Vote Required</w:t>
            </w:r>
          </w:p>
        </w:tc>
        <w:tc>
          <w:tcPr>
            <w:tcW w:w="4460" w:type="dxa"/>
            <w:vAlign w:val="bottom"/>
            <w:shd w:val="clear" w:color="auto" w:fill="1A6DBB"/>
          </w:tcPr>
          <w:p>
            <w:pPr>
              <w:ind w:left="1040"/>
              <w:spacing w:after="0"/>
              <w:rPr>
                <w:sz w:val="20"/>
                <w:szCs w:val="20"/>
                <w:color w:val="auto"/>
              </w:rPr>
            </w:pPr>
            <w:r>
              <w:rPr>
                <w:rFonts w:ascii="Arial" w:cs="Arial" w:eastAsia="Arial" w:hAnsi="Arial"/>
                <w:sz w:val="14"/>
                <w:szCs w:val="14"/>
                <w:color w:val="FFFFFF"/>
              </w:rPr>
              <w:t>Allowed</w:t>
            </w:r>
          </w:p>
        </w:tc>
      </w:tr>
      <w:tr>
        <w:trPr>
          <w:trHeight w:val="207"/>
        </w:trPr>
        <w:tc>
          <w:tcPr>
            <w:tcW w:w="3860" w:type="dxa"/>
            <w:vAlign w:val="bottom"/>
          </w:tcPr>
          <w:p>
            <w:pPr>
              <w:ind w:left="60"/>
              <w:spacing w:after="0"/>
              <w:rPr>
                <w:sz w:val="20"/>
                <w:szCs w:val="20"/>
                <w:color w:val="auto"/>
              </w:rPr>
            </w:pPr>
            <w:r>
              <w:rPr>
                <w:rFonts w:ascii="Arial" w:cs="Arial" w:eastAsia="Arial" w:hAnsi="Arial"/>
                <w:sz w:val="16"/>
                <w:szCs w:val="16"/>
                <w:color w:val="auto"/>
              </w:rPr>
              <w:t>Election of Susan K. Langer as a Director</w:t>
            </w:r>
          </w:p>
        </w:tc>
        <w:tc>
          <w:tcPr>
            <w:tcW w:w="270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4460" w:type="dxa"/>
            <w:vAlign w:val="bottom"/>
          </w:tcPr>
          <w:p>
            <w:pPr>
              <w:ind w:left="2640"/>
              <w:spacing w:after="0"/>
              <w:rPr>
                <w:sz w:val="20"/>
                <w:szCs w:val="20"/>
                <w:color w:val="auto"/>
              </w:rPr>
            </w:pPr>
            <w:r>
              <w:rPr>
                <w:rFonts w:ascii="Arial" w:cs="Arial" w:eastAsia="Arial" w:hAnsi="Arial"/>
                <w:sz w:val="16"/>
                <w:szCs w:val="16"/>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995160" cy="677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677545"/>
                    </a:xfrm>
                    <a:prstGeom prst="rect">
                      <a:avLst/>
                    </a:prstGeom>
                    <a:noFill/>
                  </pic:spPr>
                </pic:pic>
              </a:graphicData>
            </a:graphic>
          </wp:anchor>
        </w:drawing>
      </w:r>
    </w:p>
    <w:p>
      <w:pPr>
        <w:spacing w:after="0" w:line="303" w:lineRule="exact"/>
        <w:rPr>
          <w:sz w:val="20"/>
          <w:szCs w:val="20"/>
          <w:color w:val="auto"/>
        </w:rPr>
      </w:pPr>
    </w:p>
    <w:p>
      <w:pPr>
        <w:ind w:left="60" w:right="100"/>
        <w:spacing w:after="0" w:line="276" w:lineRule="auto"/>
        <w:rPr>
          <w:sz w:val="20"/>
          <w:szCs w:val="20"/>
          <w:color w:val="auto"/>
        </w:rPr>
      </w:pPr>
      <w:r>
        <w:rPr>
          <w:rFonts w:ascii="Arial" w:cs="Arial" w:eastAsia="Arial" w:hAnsi="Arial"/>
          <w:sz w:val="16"/>
          <w:szCs w:val="16"/>
          <w:color w:val="auto"/>
        </w:rPr>
        <w:t>Abstentions/Broker Non-Votes: If you abstain from voting or there is a broker non-vote in any matter, your abstention or broker nonvote will not affect the outcome of such vote, because abstentions and broker non-votes are not considered to be votes cast under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020560" cy="316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0560" cy="31686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 xml:space="preserve">OUR BOARD OF DIRECTORS RECOMMENDS THAT STOCKHOLDERS VOTE </w:t>
      </w:r>
      <w:r>
        <w:rPr>
          <w:rFonts w:ascii="Arial" w:cs="Arial" w:eastAsia="Arial" w:hAnsi="Arial"/>
          <w:sz w:val="16"/>
          <w:szCs w:val="16"/>
          <w:b w:val="1"/>
          <w:bCs w:val="1"/>
          <w:i w:val="1"/>
          <w:iCs w:val="1"/>
          <w:color w:val="1A6DBB"/>
        </w:rPr>
        <w:t>FOR</w:t>
      </w:r>
      <w:r>
        <w:rPr>
          <w:rFonts w:ascii="Arial" w:cs="Arial" w:eastAsia="Arial" w:hAnsi="Arial"/>
          <w:sz w:val="16"/>
          <w:szCs w:val="16"/>
          <w:b w:val="1"/>
          <w:bCs w:val="1"/>
          <w:i w:val="1"/>
          <w:iCs w:val="1"/>
          <w:color w:val="auto"/>
        </w:rPr>
        <w:t xml:space="preserve"> THE ELECTION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SUSAN K. LANGER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130810</wp:posOffset>
            </wp:positionV>
            <wp:extent cx="4203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22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8"/>
          <w:szCs w:val="18"/>
          <w:color w:val="1A6DBB"/>
        </w:rPr>
        <w:t>2023 Proxy Statement</w:t>
      </w:r>
      <w:r>
        <w:rPr>
          <w:sz w:val="20"/>
          <w:szCs w:val="20"/>
          <w:color w:val="auto"/>
        </w:rPr>
        <w:tab/>
      </w:r>
      <w:r>
        <w:rPr>
          <w:rFonts w:ascii="Arial" w:cs="Arial" w:eastAsia="Arial" w:hAnsi="Arial"/>
          <w:sz w:val="17"/>
          <w:szCs w:val="17"/>
          <w:color w:val="1A6DBB"/>
        </w:rPr>
        <w:t>-7-</w:t>
      </w:r>
    </w:p>
    <w:p>
      <w:pPr>
        <w:sectPr>
          <w:pgSz w:w="11900" w:h="16838" w:orient="portrait"/>
          <w:cols w:equalWidth="0" w:num="1">
            <w:col w:w="11020"/>
          </w:cols>
          <w:pgMar w:left="440" w:top="549" w:right="439" w:bottom="1440" w:gutter="0" w:footer="0" w:header="0"/>
        </w:sectPr>
      </w:pPr>
    </w:p>
    <w:bookmarkStart w:id="15" w:name="page16"/>
    <w:bookmarkEnd w:id="15"/>
    <w:p>
      <w:pPr>
        <w:ind w:left="88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320675</wp:posOffset>
            </wp:positionV>
            <wp:extent cx="1482725" cy="231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82725" cy="231140"/>
                    </a:xfrm>
                    <a:prstGeom prst="rect">
                      <a:avLst/>
                    </a:prstGeom>
                    <a:noFill/>
                  </pic:spPr>
                </pic:pic>
              </a:graphicData>
            </a:graphic>
          </wp:anchor>
        </w:drawing>
        <w:t>Information About the Meeting</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 of our Proxy Statement is hereby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41"/>
          <w:szCs w:val="41"/>
          <w:color w:val="1A6DBB"/>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Biogen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225 Binney Street</w:t>
      </w:r>
    </w:p>
    <w:p>
      <w:pPr>
        <w:spacing w:after="0"/>
        <w:rPr>
          <w:sz w:val="20"/>
          <w:szCs w:val="20"/>
          <w:color w:val="auto"/>
        </w:rPr>
      </w:pPr>
      <w:r>
        <w:rPr>
          <w:rFonts w:ascii="Arial" w:cs="Arial" w:eastAsia="Arial" w:hAnsi="Arial"/>
          <w:sz w:val="18"/>
          <w:szCs w:val="18"/>
          <w:b w:val="1"/>
          <w:bCs w:val="1"/>
          <w:color w:val="1A6DBB"/>
        </w:rPr>
        <w:t>Cambridge, Massachusetts 02142</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Board of Directors of Biogen Inc. is soliciting your proxy to vote at our 2023 annual meeting of stockholders (Annual Meeting) originally scheduled to be held at 9:00 a.m. Eastern Time on Wednesday, June 14, 2023 and to be reconvened at 9:00 a.m. Eastern Time on Wednesday, June 26, 2023 for the purposes summarized in our Proxy Statement and this Revised Proxy.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Revised Proxy to “Biogen” or the “Company,” “we,” “us” and “our” refer to Biogen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6995160" cy="31375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3137535"/>
                    </a:xfrm>
                    <a:prstGeom prst="rect">
                      <a:avLst/>
                    </a:prstGeom>
                    <a:noFill/>
                  </pic:spPr>
                </pic:pic>
              </a:graphicData>
            </a:graphic>
          </wp:anchor>
        </w:drawing>
      </w:r>
    </w:p>
    <w:p>
      <w:pPr>
        <w:sectPr>
          <w:pgSz w:w="11900" w:h="16838" w:orient="portrait"/>
          <w:cols w:equalWidth="0" w:num="1">
            <w:col w:w="11020"/>
          </w:cols>
          <w:pgMar w:left="440" w:top="585" w:right="4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What is the purpose of the Annual Meeting?</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At the Annual Meeting, stockholders will vote upon the matters that are summarized in the formal meeting notice. This Proxy Statement contains important information for you to consider when deciding how to vote on the matters before the Annual Meeting.</w:t>
      </w:r>
    </w:p>
    <w:p>
      <w:pPr>
        <w:spacing w:after="0" w:line="94" w:lineRule="exact"/>
        <w:rPr>
          <w:sz w:val="20"/>
          <w:szCs w:val="20"/>
          <w:color w:val="auto"/>
        </w:rPr>
      </w:pPr>
    </w:p>
    <w:p>
      <w:pPr>
        <w:sectPr>
          <w:pgSz w:w="11900" w:h="16838" w:orient="portrait"/>
          <w:cols w:equalWidth="0" w:num="2">
            <w:col w:w="3380" w:space="580"/>
            <w:col w:w="7060"/>
          </w:cols>
          <w:pgMar w:left="440" w:top="585" w:right="43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1A6DBB"/>
        </w:rPr>
        <w:t>Can I attend the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will be virtual meeting only. You will not be able to attend the Annual Meeting in person.</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Any stockholder can listen to and participate in the Annual Meeting live via the Internet at </w:t>
      </w:r>
      <w:r>
        <w:rPr>
          <w:rFonts w:ascii="Arial" w:cs="Arial" w:eastAsia="Arial" w:hAnsi="Arial"/>
          <w:sz w:val="16"/>
          <w:szCs w:val="16"/>
          <w:u w:val="single" w:color="auto"/>
          <w:color w:val="auto"/>
        </w:rPr>
        <w:t>www.virtualshareholdermeeting.com/BIIB2023</w:t>
      </w:r>
      <w:r>
        <w:rPr>
          <w:rFonts w:ascii="Arial" w:cs="Arial" w:eastAsia="Arial" w:hAnsi="Arial"/>
          <w:sz w:val="16"/>
          <w:szCs w:val="16"/>
          <w:color w:val="auto"/>
        </w:rPr>
        <w:t>.</w:t>
      </w:r>
    </w:p>
    <w:p>
      <w:pPr>
        <w:spacing w:after="0" w:line="95" w:lineRule="exact"/>
        <w:rPr>
          <w:sz w:val="20"/>
          <w:szCs w:val="20"/>
          <w:color w:val="auto"/>
        </w:rPr>
      </w:pPr>
    </w:p>
    <w:p>
      <w:pPr>
        <w:sectPr>
          <w:pgSz w:w="11900" w:h="16838" w:orient="portrait"/>
          <w:cols w:equalWidth="0" w:num="2">
            <w:col w:w="3240" w:space="720"/>
            <w:col w:w="7060"/>
          </w:cols>
          <w:pgMar w:left="440" w:top="585" w:right="439" w:bottom="1440" w:gutter="0" w:footer="0" w:header="0"/>
          <w:type w:val="continuous"/>
        </w:sectPr>
      </w:pPr>
    </w:p>
    <w:p>
      <w:pPr>
        <w:jc w:val="both"/>
        <w:spacing w:after="0" w:line="302" w:lineRule="auto"/>
        <w:rPr>
          <w:sz w:val="20"/>
          <w:szCs w:val="20"/>
          <w:color w:val="auto"/>
        </w:rPr>
      </w:pPr>
      <w:r>
        <w:rPr>
          <w:rFonts w:ascii="Arial" w:cs="Arial" w:eastAsia="Arial" w:hAnsi="Arial"/>
          <w:sz w:val="16"/>
          <w:szCs w:val="16"/>
          <w:b w:val="1"/>
          <w:bCs w:val="1"/>
          <w:i w:val="1"/>
          <w:iCs w:val="1"/>
          <w:color w:val="1A6DBB"/>
        </w:rPr>
        <w:t>What do I need in order to be able to participate in the Annual Meeting virtually via the Internet?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6"/>
          <w:szCs w:val="16"/>
          <w:color w:val="auto"/>
        </w:rPr>
        <w:t>You will need the 16-digit control number included on your Notice or your proxy card or voting instruction form in order to be able to vote your shares or submit questions via the Internet during the Annual Meeting. If you do not have your 16-digit control number, you will be able to listen to the meeting only — you will not be able to vote or submit questions during the meeting.</w:t>
      </w:r>
    </w:p>
    <w:p>
      <w:pPr>
        <w:spacing w:after="0" w:line="84" w:lineRule="exact"/>
        <w:rPr>
          <w:sz w:val="20"/>
          <w:szCs w:val="20"/>
          <w:color w:val="auto"/>
        </w:rPr>
      </w:pPr>
    </w:p>
    <w:p>
      <w:pPr>
        <w:sectPr>
          <w:pgSz w:w="11900" w:h="16838" w:orient="portrait"/>
          <w:cols w:equalWidth="0" w:num="2">
            <w:col w:w="3660" w:space="300"/>
            <w:col w:w="7060"/>
          </w:cols>
          <w:pgMar w:left="440" w:top="585" w:right="439" w:bottom="1440" w:gutter="0" w:footer="0" w:header="0"/>
          <w:type w:val="continuous"/>
        </w:sectPr>
      </w:pPr>
    </w:p>
    <w:p>
      <w:pPr>
        <w:spacing w:after="0" w:line="302" w:lineRule="auto"/>
        <w:rPr>
          <w:sz w:val="20"/>
          <w:szCs w:val="20"/>
          <w:color w:val="auto"/>
        </w:rPr>
      </w:pPr>
      <w:r>
        <w:rPr>
          <w:rFonts w:ascii="Arial" w:cs="Arial" w:eastAsia="Arial" w:hAnsi="Arial"/>
          <w:sz w:val="16"/>
          <w:szCs w:val="16"/>
          <w:b w:val="1"/>
          <w:bCs w:val="1"/>
          <w:i w:val="1"/>
          <w:iCs w:val="1"/>
          <w:color w:val="1A6DBB"/>
        </w:rPr>
        <w:t>How many shares must be present to hold the Annual Meeting?</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6"/>
          <w:szCs w:val="16"/>
          <w:color w:val="auto"/>
        </w:rPr>
        <w:t>A majority of our issued and outstanding shares of common stock as of the Record Date must be present at the Annual Meeting to hold the Annual Meeting and conduct business. This is called a quorum. Shares voted in the manner described above (under the heading “How do I vote and what are the voting deadlines?”) will be counted as present at the Annual Meeting. Shares that are present and entitled to vote on one or more of the matters to be voted upon are counted as present for establishing a quorum. If a quorum is not present, we expect that the Annual Meeting will be adjourned until we obtain a quorum.</w:t>
      </w:r>
    </w:p>
    <w:p>
      <w:pPr>
        <w:spacing w:after="0" w:line="103" w:lineRule="exact"/>
        <w:rPr>
          <w:sz w:val="20"/>
          <w:szCs w:val="20"/>
          <w:color w:val="auto"/>
        </w:rPr>
      </w:pPr>
    </w:p>
    <w:p>
      <w:pPr>
        <w:sectPr>
          <w:pgSz w:w="11900" w:h="16838" w:orient="portrait"/>
          <w:cols w:equalWidth="0" w:num="2">
            <w:col w:w="3540" w:space="420"/>
            <w:col w:w="7060"/>
          </w:cols>
          <w:pgMar w:left="440" w:top="585" w:right="4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2560" w:type="dxa"/>
            <w:vAlign w:val="bottom"/>
          </w:tcPr>
          <w:p>
            <w:pPr>
              <w:spacing w:after="0"/>
              <w:rPr>
                <w:sz w:val="20"/>
                <w:szCs w:val="20"/>
                <w:color w:val="auto"/>
              </w:rPr>
            </w:pPr>
            <w:r>
              <w:rPr>
                <w:rFonts w:ascii="Arial" w:cs="Arial" w:eastAsia="Arial" w:hAnsi="Arial"/>
                <w:sz w:val="16"/>
                <w:szCs w:val="16"/>
                <w:b w:val="1"/>
                <w:bCs w:val="1"/>
                <w:i w:val="1"/>
                <w:iCs w:val="1"/>
                <w:color w:val="1A6DBB"/>
              </w:rPr>
              <w:t>Who can vote?</w:t>
            </w:r>
          </w:p>
        </w:tc>
        <w:tc>
          <w:tcPr>
            <w:tcW w:w="8460" w:type="dxa"/>
            <w:vAlign w:val="bottom"/>
          </w:tcPr>
          <w:p>
            <w:pPr>
              <w:ind w:left="1400"/>
              <w:spacing w:after="0"/>
              <w:rPr>
                <w:sz w:val="20"/>
                <w:szCs w:val="20"/>
                <w:color w:val="auto"/>
              </w:rPr>
            </w:pPr>
            <w:r>
              <w:rPr>
                <w:rFonts w:ascii="Arial" w:cs="Arial" w:eastAsia="Arial" w:hAnsi="Arial"/>
                <w:sz w:val="16"/>
                <w:szCs w:val="16"/>
                <w:color w:val="auto"/>
              </w:rPr>
              <w:t>Holders of Biogen common stock on the close of business on the record date of April 20, 2023</w:t>
            </w:r>
          </w:p>
        </w:tc>
      </w:tr>
      <w:tr>
        <w:trPr>
          <w:trHeight w:val="189"/>
        </w:trPr>
        <w:tc>
          <w:tcPr>
            <w:tcW w:w="2560" w:type="dxa"/>
            <w:vAlign w:val="bottom"/>
          </w:tcPr>
          <w:p>
            <w:pPr>
              <w:spacing w:after="0"/>
              <w:rPr>
                <w:sz w:val="16"/>
                <w:szCs w:val="16"/>
                <w:color w:val="auto"/>
              </w:rPr>
            </w:pPr>
          </w:p>
        </w:tc>
        <w:tc>
          <w:tcPr>
            <w:tcW w:w="8460" w:type="dxa"/>
            <w:vAlign w:val="bottom"/>
          </w:tcPr>
          <w:p>
            <w:pPr>
              <w:ind w:left="1400"/>
              <w:spacing w:after="0"/>
              <w:rPr>
                <w:sz w:val="20"/>
                <w:szCs w:val="20"/>
                <w:color w:val="auto"/>
              </w:rPr>
            </w:pPr>
            <w:r>
              <w:rPr>
                <w:rFonts w:ascii="Arial" w:cs="Arial" w:eastAsia="Arial" w:hAnsi="Arial"/>
                <w:sz w:val="16"/>
                <w:szCs w:val="16"/>
                <w:color w:val="auto"/>
              </w:rPr>
              <w:t>(Record Date) are entitled to receive the Notice of 2023 Annual Meeting, Proxy Statement and</w:t>
            </w:r>
          </w:p>
        </w:tc>
      </w:tr>
      <w:tr>
        <w:trPr>
          <w:trHeight w:val="189"/>
        </w:trPr>
        <w:tc>
          <w:tcPr>
            <w:tcW w:w="2560" w:type="dxa"/>
            <w:vAlign w:val="bottom"/>
          </w:tcPr>
          <w:p>
            <w:pPr>
              <w:spacing w:after="0"/>
              <w:rPr>
                <w:sz w:val="16"/>
                <w:szCs w:val="16"/>
                <w:color w:val="auto"/>
              </w:rPr>
            </w:pPr>
          </w:p>
        </w:tc>
        <w:tc>
          <w:tcPr>
            <w:tcW w:w="8460" w:type="dxa"/>
            <w:vAlign w:val="bottom"/>
          </w:tcPr>
          <w:p>
            <w:pPr>
              <w:ind w:left="1400"/>
              <w:spacing w:after="0"/>
              <w:rPr>
                <w:sz w:val="20"/>
                <w:szCs w:val="20"/>
                <w:color w:val="auto"/>
              </w:rPr>
            </w:pPr>
            <w:r>
              <w:rPr>
                <w:rFonts w:ascii="Arial" w:cs="Arial" w:eastAsia="Arial" w:hAnsi="Arial"/>
                <w:sz w:val="16"/>
                <w:szCs w:val="16"/>
                <w:color w:val="auto"/>
              </w:rPr>
              <w:t>Revised Proxy and to vote their shares at the Annual Meeting. As of the Record Date,</w:t>
            </w:r>
          </w:p>
        </w:tc>
      </w:tr>
      <w:tr>
        <w:trPr>
          <w:trHeight w:val="189"/>
        </w:trPr>
        <w:tc>
          <w:tcPr>
            <w:tcW w:w="2560" w:type="dxa"/>
            <w:vAlign w:val="bottom"/>
          </w:tcPr>
          <w:p>
            <w:pPr>
              <w:spacing w:after="0"/>
              <w:rPr>
                <w:sz w:val="16"/>
                <w:szCs w:val="16"/>
                <w:color w:val="auto"/>
              </w:rPr>
            </w:pPr>
          </w:p>
        </w:tc>
        <w:tc>
          <w:tcPr>
            <w:tcW w:w="8460" w:type="dxa"/>
            <w:vAlign w:val="bottom"/>
          </w:tcPr>
          <w:p>
            <w:pPr>
              <w:ind w:left="1400"/>
              <w:spacing w:after="0"/>
              <w:rPr>
                <w:sz w:val="20"/>
                <w:szCs w:val="20"/>
                <w:color w:val="auto"/>
              </w:rPr>
            </w:pPr>
            <w:r>
              <w:rPr>
                <w:rFonts w:ascii="Arial" w:cs="Arial" w:eastAsia="Arial" w:hAnsi="Arial"/>
                <w:sz w:val="16"/>
                <w:szCs w:val="16"/>
                <w:color w:val="auto"/>
              </w:rPr>
              <w:t>144,742,267 shares of our common stock were outstanding and entitled to vote. Each share of</w:t>
            </w:r>
          </w:p>
        </w:tc>
      </w:tr>
      <w:tr>
        <w:trPr>
          <w:trHeight w:val="207"/>
        </w:trPr>
        <w:tc>
          <w:tcPr>
            <w:tcW w:w="2560" w:type="dxa"/>
            <w:vAlign w:val="bottom"/>
          </w:tcPr>
          <w:p>
            <w:pPr>
              <w:spacing w:after="0"/>
              <w:rPr>
                <w:sz w:val="17"/>
                <w:szCs w:val="17"/>
                <w:color w:val="auto"/>
              </w:rPr>
            </w:pPr>
          </w:p>
        </w:tc>
        <w:tc>
          <w:tcPr>
            <w:tcW w:w="8460" w:type="dxa"/>
            <w:vAlign w:val="bottom"/>
          </w:tcPr>
          <w:p>
            <w:pPr>
              <w:ind w:left="1400"/>
              <w:spacing w:after="0"/>
              <w:rPr>
                <w:sz w:val="20"/>
                <w:szCs w:val="20"/>
                <w:color w:val="auto"/>
              </w:rPr>
            </w:pPr>
            <w:r>
              <w:rPr>
                <w:rFonts w:ascii="Arial" w:cs="Arial" w:eastAsia="Arial" w:hAnsi="Arial"/>
                <w:sz w:val="16"/>
                <w:szCs w:val="16"/>
                <w:color w:val="auto"/>
              </w:rPr>
              <w:t>common stock is entitled to on each matter properly brought before the meeting.</w:t>
            </w:r>
          </w:p>
        </w:tc>
      </w:tr>
      <w:tr>
        <w:trPr>
          <w:trHeight w:val="47"/>
        </w:trPr>
        <w:tc>
          <w:tcPr>
            <w:tcW w:w="2560" w:type="dxa"/>
            <w:vAlign w:val="bottom"/>
            <w:tcBorders>
              <w:bottom w:val="single" w:sz="8" w:color="1A6DBB"/>
            </w:tcBorders>
          </w:tcPr>
          <w:p>
            <w:pPr>
              <w:spacing w:after="0"/>
              <w:rPr>
                <w:sz w:val="4"/>
                <w:szCs w:val="4"/>
                <w:color w:val="auto"/>
              </w:rPr>
            </w:pPr>
          </w:p>
        </w:tc>
        <w:tc>
          <w:tcPr>
            <w:tcW w:w="8460" w:type="dxa"/>
            <w:vAlign w:val="bottom"/>
            <w:tcBorders>
              <w:bottom w:val="single" w:sz="8" w:color="1A6DB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94615</wp:posOffset>
            </wp:positionV>
            <wp:extent cx="41973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1A6DBB"/>
        </w:rPr>
        <w:t>2023 Proxy Statement -8-</w:t>
      </w:r>
    </w:p>
    <w:p>
      <w:pPr>
        <w:sectPr>
          <w:pgSz w:w="11900" w:h="16838" w:orient="portrait"/>
          <w:cols w:equalWidth="0" w:num="1">
            <w:col w:w="11020"/>
          </w:cols>
          <w:pgMar w:left="440" w:top="585" w:right="439" w:bottom="1440" w:gutter="0" w:footer="0" w:header="0"/>
          <w:type w:val="continuous"/>
        </w:sectPr>
      </w:pPr>
    </w:p>
    <w:bookmarkStart w:id="16" w:name="page17"/>
    <w:bookmarkEnd w:id="16"/>
    <w:p>
      <w:pPr>
        <w:ind w:left="88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320675</wp:posOffset>
            </wp:positionV>
            <wp:extent cx="1482725" cy="231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82725" cy="231140"/>
                    </a:xfrm>
                    <a:prstGeom prst="rect">
                      <a:avLst/>
                    </a:prstGeom>
                    <a:noFill/>
                  </pic:spPr>
                </pic:pic>
              </a:graphicData>
            </a:graphic>
          </wp:anchor>
        </w:drawing>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41"/>
          <w:szCs w:val="41"/>
          <w:color w:val="1A6DBB"/>
        </w:rPr>
        <w:t xml:space="preserve">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60" w:type="dxa"/>
            <w:vAlign w:val="bottom"/>
            <w:tcBorders>
              <w:top w:val="single" w:sz="8" w:color="1A6DBB"/>
            </w:tcBorders>
          </w:tcPr>
          <w:p>
            <w:pPr>
              <w:spacing w:after="0"/>
              <w:rPr>
                <w:sz w:val="20"/>
                <w:szCs w:val="20"/>
                <w:color w:val="auto"/>
              </w:rPr>
            </w:pPr>
            <w:r>
              <w:rPr>
                <w:rFonts w:ascii="Arial" w:cs="Arial" w:eastAsia="Arial" w:hAnsi="Arial"/>
                <w:sz w:val="16"/>
                <w:szCs w:val="16"/>
                <w:b w:val="1"/>
                <w:bCs w:val="1"/>
                <w:i w:val="1"/>
                <w:iCs w:val="1"/>
                <w:color w:val="1A6DBB"/>
              </w:rPr>
              <w:t>What am I voting on at the Annual Meeting?</w:t>
            </w:r>
          </w:p>
        </w:tc>
        <w:tc>
          <w:tcPr>
            <w:tcW w:w="7160" w:type="dxa"/>
            <w:vAlign w:val="bottom"/>
            <w:tcBorders>
              <w:top w:val="single" w:sz="8" w:color="1A6DBB"/>
            </w:tcBorders>
            <w:shd w:val="clear" w:color="auto" w:fill="E8F0F8"/>
          </w:tcPr>
          <w:p>
            <w:pPr>
              <w:ind w:left="100"/>
              <w:spacing w:after="0"/>
              <w:rPr>
                <w:sz w:val="20"/>
                <w:szCs w:val="20"/>
                <w:color w:val="auto"/>
              </w:rPr>
            </w:pPr>
            <w:r>
              <w:rPr>
                <w:rFonts w:ascii="Arial" w:cs="Arial" w:eastAsia="Arial" w:hAnsi="Arial"/>
                <w:sz w:val="16"/>
                <w:szCs w:val="16"/>
                <w:color w:val="auto"/>
              </w:rPr>
              <w:t>Stockholders will be asked to vote on the following items at the Annual Meeting:</w:t>
            </w:r>
          </w:p>
        </w:tc>
      </w:tr>
      <w:tr>
        <w:trPr>
          <w:trHeight w:val="380"/>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 The election to our Board of Directors of 7 director nominees (Proposal 1);</w:t>
            </w:r>
          </w:p>
        </w:tc>
      </w:tr>
      <w:tr>
        <w:trPr>
          <w:trHeight w:val="360"/>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 The ratification of the selection of PricewaterhouseCoopers LLP (PwC) as our independent</w:t>
            </w:r>
          </w:p>
        </w:tc>
      </w:tr>
      <w:tr>
        <w:trPr>
          <w:trHeight w:val="207"/>
        </w:trPr>
        <w:tc>
          <w:tcPr>
            <w:tcW w:w="3860" w:type="dxa"/>
            <w:vAlign w:val="bottom"/>
          </w:tcPr>
          <w:p>
            <w:pPr>
              <w:spacing w:after="0"/>
              <w:rPr>
                <w:sz w:val="17"/>
                <w:szCs w:val="17"/>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registered public accounting firm for the fiscal year ending December 31, 2023 (Proposal 2);</w:t>
            </w:r>
          </w:p>
        </w:tc>
      </w:tr>
      <w:tr>
        <w:trPr>
          <w:trHeight w:val="37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 The advisory vote on executive compensation (Proposal 3);</w:t>
            </w:r>
          </w:p>
        </w:tc>
      </w:tr>
      <w:tr>
        <w:trPr>
          <w:trHeight w:val="374"/>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 The  advisory  vote  on  the  frequency  of  the  advisory  vote  on  executive  compensation</w:t>
            </w:r>
          </w:p>
        </w:tc>
      </w:tr>
      <w:tr>
        <w:trPr>
          <w:trHeight w:val="207"/>
        </w:trPr>
        <w:tc>
          <w:tcPr>
            <w:tcW w:w="3860" w:type="dxa"/>
            <w:vAlign w:val="bottom"/>
          </w:tcPr>
          <w:p>
            <w:pPr>
              <w:spacing w:after="0"/>
              <w:rPr>
                <w:sz w:val="17"/>
                <w:szCs w:val="17"/>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(Proposal 4); and</w:t>
            </w:r>
          </w:p>
        </w:tc>
      </w:tr>
      <w:tr>
        <w:trPr>
          <w:trHeight w:val="37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 The election of Susan K. Langer to our Board of Directors (Proposal 5).</w:t>
            </w:r>
          </w:p>
        </w:tc>
      </w:tr>
      <w:tr>
        <w:trPr>
          <w:trHeight w:val="360"/>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 The transaction of such other business as may be properly brought before the meeting and any</w:t>
            </w:r>
          </w:p>
        </w:tc>
      </w:tr>
      <w:tr>
        <w:trPr>
          <w:trHeight w:val="207"/>
        </w:trPr>
        <w:tc>
          <w:tcPr>
            <w:tcW w:w="3860" w:type="dxa"/>
            <w:vAlign w:val="bottom"/>
          </w:tcPr>
          <w:p>
            <w:pPr>
              <w:spacing w:after="0"/>
              <w:rPr>
                <w:sz w:val="17"/>
                <w:szCs w:val="17"/>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adjournments or postponements.</w:t>
            </w:r>
          </w:p>
        </w:tc>
      </w:tr>
      <w:tr>
        <w:trPr>
          <w:trHeight w:val="73"/>
        </w:trPr>
        <w:tc>
          <w:tcPr>
            <w:tcW w:w="3860" w:type="dxa"/>
            <w:vAlign w:val="bottom"/>
            <w:tcBorders>
              <w:bottom w:val="single" w:sz="8" w:color="1A6DBB"/>
            </w:tcBorders>
          </w:tcPr>
          <w:p>
            <w:pPr>
              <w:spacing w:after="0"/>
              <w:rPr>
                <w:sz w:val="6"/>
                <w:szCs w:val="6"/>
                <w:color w:val="auto"/>
              </w:rPr>
            </w:pPr>
          </w:p>
        </w:tc>
        <w:tc>
          <w:tcPr>
            <w:tcW w:w="7160" w:type="dxa"/>
            <w:vAlign w:val="bottom"/>
            <w:tcBorders>
              <w:bottom w:val="single" w:sz="8" w:color="1A6DBB"/>
            </w:tcBorders>
            <w:shd w:val="clear" w:color="auto" w:fill="E8F0F8"/>
          </w:tcPr>
          <w:p>
            <w:pPr>
              <w:spacing w:after="0"/>
              <w:rPr>
                <w:sz w:val="6"/>
                <w:szCs w:val="6"/>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6"/>
                <w:szCs w:val="16"/>
                <w:b w:val="1"/>
                <w:bCs w:val="1"/>
                <w:i w:val="1"/>
                <w:iCs w:val="1"/>
                <w:color w:val="1A6DBB"/>
              </w:rPr>
              <w:t>How will my shares be voted?</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At the Meeting, the members of management appointed by the Board of Directors will vote your</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shares as you instruct. If you sign your proxy card and return it without indicating how you would</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like to vote your shares, your shares will be voted as the Board of Directors recommends, which</w:t>
            </w:r>
          </w:p>
        </w:tc>
      </w:tr>
      <w:tr>
        <w:trPr>
          <w:trHeight w:val="207"/>
        </w:trPr>
        <w:tc>
          <w:tcPr>
            <w:tcW w:w="3860" w:type="dxa"/>
            <w:vAlign w:val="bottom"/>
          </w:tcPr>
          <w:p>
            <w:pPr>
              <w:spacing w:after="0"/>
              <w:rPr>
                <w:sz w:val="17"/>
                <w:szCs w:val="17"/>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is:</w:t>
            </w:r>
          </w:p>
        </w:tc>
      </w:tr>
      <w:tr>
        <w:trPr>
          <w:trHeight w:val="391"/>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 FOR the election of each of the 7 Director nominees named in Proposal 1;</w:t>
            </w:r>
          </w:p>
        </w:tc>
      </w:tr>
      <w:tr>
        <w:trPr>
          <w:trHeight w:val="360"/>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 FOR the ratification of the selection of PricewaterhouseCoopers LLP (PwC) as our independent</w:t>
            </w:r>
          </w:p>
        </w:tc>
      </w:tr>
      <w:tr>
        <w:trPr>
          <w:trHeight w:val="207"/>
        </w:trPr>
        <w:tc>
          <w:tcPr>
            <w:tcW w:w="3860" w:type="dxa"/>
            <w:vAlign w:val="bottom"/>
          </w:tcPr>
          <w:p>
            <w:pPr>
              <w:spacing w:after="0"/>
              <w:rPr>
                <w:sz w:val="17"/>
                <w:szCs w:val="17"/>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registered public accounting firm for the 2023 fiscal year;</w:t>
            </w:r>
          </w:p>
        </w:tc>
      </w:tr>
      <w:tr>
        <w:trPr>
          <w:trHeight w:val="37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 FOR the approval, on an advisory basis, of the compensation of our Named Executive Officers;</w:t>
            </w:r>
          </w:p>
        </w:tc>
      </w:tr>
      <w:tr>
        <w:trPr>
          <w:trHeight w:val="391"/>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 ONE YEAR for frequency of future advisory votes to approve executive compensation; and</w:t>
            </w:r>
          </w:p>
        </w:tc>
      </w:tr>
      <w:tr>
        <w:trPr>
          <w:trHeight w:val="37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 FOR the election of Susan K. Langer as a director.</w:t>
            </w:r>
          </w:p>
        </w:tc>
      </w:tr>
      <w:tr>
        <w:trPr>
          <w:trHeight w:val="168"/>
        </w:trPr>
        <w:tc>
          <w:tcPr>
            <w:tcW w:w="3860" w:type="dxa"/>
            <w:vAlign w:val="bottom"/>
            <w:tcBorders>
              <w:bottom w:val="single" w:sz="8" w:color="1A6DBB"/>
            </w:tcBorders>
          </w:tcPr>
          <w:p>
            <w:pPr>
              <w:spacing w:after="0"/>
              <w:rPr>
                <w:sz w:val="14"/>
                <w:szCs w:val="14"/>
                <w:color w:val="auto"/>
              </w:rPr>
            </w:pPr>
          </w:p>
        </w:tc>
        <w:tc>
          <w:tcPr>
            <w:tcW w:w="7160" w:type="dxa"/>
            <w:vAlign w:val="bottom"/>
            <w:tcBorders>
              <w:bottom w:val="single" w:sz="8" w:color="1A6DBB"/>
            </w:tcBorders>
            <w:shd w:val="clear" w:color="auto" w:fill="E8F0F8"/>
          </w:tcPr>
          <w:p>
            <w:pPr>
              <w:spacing w:after="0"/>
              <w:rPr>
                <w:sz w:val="14"/>
                <w:szCs w:val="14"/>
                <w:color w:val="auto"/>
              </w:rPr>
            </w:pPr>
          </w:p>
        </w:tc>
      </w:tr>
      <w:tr>
        <w:trPr>
          <w:trHeight w:val="240"/>
        </w:trPr>
        <w:tc>
          <w:tcPr>
            <w:tcW w:w="3860" w:type="dxa"/>
            <w:vAlign w:val="bottom"/>
          </w:tcPr>
          <w:p>
            <w:pPr>
              <w:spacing w:after="0"/>
              <w:rPr>
                <w:sz w:val="20"/>
                <w:szCs w:val="20"/>
                <w:color w:val="auto"/>
              </w:rPr>
            </w:pPr>
            <w:r>
              <w:rPr>
                <w:rFonts w:ascii="Arial" w:cs="Arial" w:eastAsia="Arial" w:hAnsi="Arial"/>
                <w:sz w:val="16"/>
                <w:szCs w:val="16"/>
                <w:b w:val="1"/>
                <w:bCs w:val="1"/>
                <w:i w:val="1"/>
                <w:iCs w:val="1"/>
                <w:color w:val="1A6DBB"/>
              </w:rPr>
              <w:t>How do proxies work?</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If you are a registered stockholder, you will receive a proxy card for all the shares you hold of</w:t>
            </w:r>
          </w:p>
        </w:tc>
      </w:tr>
      <w:tr>
        <w:trPr>
          <w:trHeight w:val="207"/>
        </w:trPr>
        <w:tc>
          <w:tcPr>
            <w:tcW w:w="3860" w:type="dxa"/>
            <w:vAlign w:val="bottom"/>
          </w:tcPr>
          <w:p>
            <w:pPr>
              <w:spacing w:after="0"/>
              <w:rPr>
                <w:sz w:val="17"/>
                <w:szCs w:val="17"/>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record:</w:t>
            </w:r>
          </w:p>
        </w:tc>
      </w:tr>
      <w:tr>
        <w:trPr>
          <w:trHeight w:val="37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 in certificate form; or</w:t>
            </w:r>
          </w:p>
        </w:tc>
      </w:tr>
      <w:tr>
        <w:trPr>
          <w:trHeight w:val="37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 in book-entry form.</w:t>
            </w:r>
          </w:p>
        </w:tc>
      </w:tr>
      <w:tr>
        <w:trPr>
          <w:trHeight w:val="374"/>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Your proxy card will serve as a voting instruction form. If you do not vote your shares or specify</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your voting instructions on your proxy card or voting instruction form, the administrator of the</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applicable savings plan and/or the trustee of a Grantor Trust, as the case may be, will vote your</w:t>
            </w:r>
          </w:p>
        </w:tc>
      </w:tr>
      <w:tr>
        <w:trPr>
          <w:trHeight w:val="267"/>
        </w:trPr>
        <w:tc>
          <w:tcPr>
            <w:tcW w:w="3860" w:type="dxa"/>
            <w:vAlign w:val="bottom"/>
          </w:tcPr>
          <w:p>
            <w:pPr>
              <w:spacing w:after="0"/>
              <w:rPr>
                <w:sz w:val="23"/>
                <w:szCs w:val="23"/>
                <w:color w:val="auto"/>
              </w:rPr>
            </w:pPr>
          </w:p>
        </w:tc>
        <w:tc>
          <w:tcPr>
            <w:tcW w:w="716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shares in accordance with the terms of your plan and/or Grantor Trust</w:t>
            </w:r>
          </w:p>
        </w:tc>
      </w:tr>
      <w:tr>
        <w:trPr>
          <w:trHeight w:val="412"/>
        </w:trPr>
        <w:tc>
          <w:tcPr>
            <w:tcW w:w="3860" w:type="dxa"/>
            <w:vAlign w:val="bottom"/>
            <w:tcBorders>
              <w:top w:val="single" w:sz="8" w:color="1A6DBB"/>
            </w:tcBorders>
          </w:tcPr>
          <w:p>
            <w:pPr>
              <w:spacing w:after="0"/>
              <w:rPr>
                <w:sz w:val="24"/>
                <w:szCs w:val="24"/>
                <w:color w:val="auto"/>
              </w:rPr>
            </w:pPr>
          </w:p>
        </w:tc>
        <w:tc>
          <w:tcPr>
            <w:tcW w:w="7160" w:type="dxa"/>
            <w:vAlign w:val="bottom"/>
            <w:tcBorders>
              <w:top w:val="single" w:sz="8" w:color="1A6DBB"/>
            </w:tcBorders>
          </w:tcPr>
          <w:p>
            <w:pPr>
              <w:ind w:left="5060"/>
              <w:spacing w:after="0"/>
              <w:rPr>
                <w:sz w:val="20"/>
                <w:szCs w:val="20"/>
                <w:color w:val="auto"/>
              </w:rPr>
            </w:pPr>
            <w:r>
              <w:rPr>
                <w:rFonts w:ascii="Arial" w:cs="Arial" w:eastAsia="Arial" w:hAnsi="Arial"/>
                <w:sz w:val="18"/>
                <w:szCs w:val="18"/>
                <w:color w:val="1A6DBB"/>
              </w:rPr>
              <w:t>2023 Proxy Statement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-5485765</wp:posOffset>
            </wp:positionV>
            <wp:extent cx="44748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-5245735</wp:posOffset>
            </wp:positionV>
            <wp:extent cx="44748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-4885690</wp:posOffset>
            </wp:positionV>
            <wp:extent cx="4474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-4636770</wp:posOffset>
            </wp:positionV>
            <wp:extent cx="4474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-4276725</wp:posOffset>
            </wp:positionV>
            <wp:extent cx="4474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-4036695</wp:posOffset>
            </wp:positionV>
            <wp:extent cx="44748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-3094355</wp:posOffset>
            </wp:positionV>
            <wp:extent cx="44748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-2853690</wp:posOffset>
            </wp:positionV>
            <wp:extent cx="44748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-2493645</wp:posOffset>
            </wp:positionV>
            <wp:extent cx="4474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-2245360</wp:posOffset>
            </wp:positionV>
            <wp:extent cx="44748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-2005330</wp:posOffset>
            </wp:positionV>
            <wp:extent cx="4474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-1362075</wp:posOffset>
            </wp:positionV>
            <wp:extent cx="44748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-1122045</wp:posOffset>
            </wp:positionV>
            <wp:extent cx="44748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-873760</wp:posOffset>
            </wp:positionV>
            <wp:extent cx="44748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-170815</wp:posOffset>
            </wp:positionV>
            <wp:extent cx="41973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020"/>
          </w:cols>
          <w:pgMar w:left="440" w:top="585" w:right="439" w:bottom="1440" w:gutter="0" w:footer="0" w:header="0"/>
        </w:sectPr>
      </w:pPr>
    </w:p>
    <w:bookmarkStart w:id="17" w:name="page18"/>
    <w:bookmarkEnd w:id="17"/>
    <w:p>
      <w:pPr>
        <w:ind w:left="88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320675</wp:posOffset>
            </wp:positionV>
            <wp:extent cx="1482725" cy="231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82725" cy="231140"/>
                    </a:xfrm>
                    <a:prstGeom prst="rect">
                      <a:avLst/>
                    </a:prstGeom>
                    <a:noFill/>
                  </pic:spPr>
                </pic:pic>
              </a:graphicData>
            </a:graphic>
          </wp:anchor>
        </w:drawing>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41"/>
          <w:szCs w:val="41"/>
          <w:color w:val="1A6DBB"/>
        </w:rPr>
        <w:t xml:space="preserve">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6995160" cy="5212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5212080"/>
                    </a:xfrm>
                    <a:prstGeom prst="rect">
                      <a:avLst/>
                    </a:prstGeom>
                    <a:noFill/>
                  </pic:spPr>
                </pic:pic>
              </a:graphicData>
            </a:graphic>
          </wp:anchor>
        </w:drawing>
      </w:r>
    </w:p>
    <w:p>
      <w:pPr>
        <w:spacing w:after="0" w:line="287" w:lineRule="exact"/>
        <w:rPr>
          <w:sz w:val="20"/>
          <w:szCs w:val="20"/>
          <w:color w:val="auto"/>
        </w:rPr>
      </w:pPr>
    </w:p>
    <w:p>
      <w:pPr>
        <w:ind w:left="3960" w:hanging="3965"/>
        <w:spacing w:after="0" w:line="286" w:lineRule="auto"/>
        <w:tabs>
          <w:tab w:leader="none" w:pos="3940" w:val="left"/>
        </w:tabs>
        <w:rPr>
          <w:sz w:val="20"/>
          <w:szCs w:val="20"/>
          <w:color w:val="auto"/>
        </w:rPr>
      </w:pPr>
      <w:r>
        <w:rPr>
          <w:rFonts w:ascii="Arial" w:cs="Arial" w:eastAsia="Arial" w:hAnsi="Arial"/>
          <w:sz w:val="16"/>
          <w:szCs w:val="16"/>
          <w:b w:val="1"/>
          <w:bCs w:val="1"/>
          <w:i w:val="1"/>
          <w:iCs w:val="1"/>
          <w:color w:val="1A6DBB"/>
        </w:rPr>
        <w:t>How do I vote and what are the voting deadlines?</w:t>
      </w:r>
      <w:r>
        <w:rPr>
          <w:sz w:val="20"/>
          <w:szCs w:val="20"/>
          <w:color w:val="auto"/>
        </w:rPr>
        <w:tab/>
      </w: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a stockholder of record, there are several ways for you to</w:t>
      </w:r>
      <w:r>
        <w:rPr>
          <w:rFonts w:ascii="Arial" w:cs="Arial" w:eastAsia="Arial" w:hAnsi="Arial"/>
          <w:sz w:val="16"/>
          <w:szCs w:val="16"/>
          <w:b w:val="1"/>
          <w:bCs w:val="1"/>
          <w:color w:val="1A6DBB"/>
        </w:rPr>
        <w:t xml:space="preserve"> </w:t>
      </w:r>
      <w:r>
        <w:rPr>
          <w:rFonts w:ascii="Arial" w:cs="Arial" w:eastAsia="Arial" w:hAnsi="Arial"/>
          <w:sz w:val="16"/>
          <w:szCs w:val="16"/>
          <w:color w:val="000000"/>
        </w:rPr>
        <w:t>vote your shares.</w:t>
      </w:r>
    </w:p>
    <w:p>
      <w:pPr>
        <w:spacing w:after="0" w:line="79" w:lineRule="exact"/>
        <w:rPr>
          <w:sz w:val="20"/>
          <w:szCs w:val="20"/>
          <w:color w:val="auto"/>
        </w:rPr>
      </w:pPr>
    </w:p>
    <w:p>
      <w:pPr>
        <w:jc w:val="both"/>
        <w:ind w:left="4500" w:hanging="535"/>
        <w:spacing w:after="0"/>
        <w:rPr>
          <w:sz w:val="20"/>
          <w:szCs w:val="20"/>
          <w:color w:val="auto"/>
        </w:rPr>
      </w:pPr>
      <w:r>
        <w:rPr>
          <w:sz w:val="1"/>
          <w:szCs w:val="1"/>
          <w:color w:val="auto"/>
        </w:rPr>
        <w:drawing>
          <wp:inline distT="0" distB="0" distL="0" distR="0">
            <wp:extent cx="146050" cy="14541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145415"/>
                    </a:xfrm>
                    <a:prstGeom prst="rect">
                      <a:avLst/>
                    </a:prstGeom>
                    <a:noFill/>
                    <a:ln>
                      <a:noFill/>
                    </a:ln>
                  </pic:spPr>
                </pic:pic>
              </a:graphicData>
            </a:graphic>
          </wp:inline>
        </w:drawing>
      </w:r>
      <w:r>
        <w:rPr>
          <w:rFonts w:ascii="Arial" w:cs="Arial" w:eastAsia="Arial" w:hAnsi="Arial"/>
          <w:sz w:val="16"/>
          <w:szCs w:val="16"/>
          <w:b w:val="1"/>
          <w:bCs w:val="1"/>
          <w:color w:val="7F7F7F"/>
        </w:rPr>
        <w:t xml:space="preserve">     By Internet. </w:t>
      </w:r>
      <w:r>
        <w:rPr>
          <w:rFonts w:ascii="Arial" w:cs="Arial" w:eastAsia="Arial" w:hAnsi="Arial"/>
          <w:sz w:val="16"/>
          <w:szCs w:val="16"/>
          <w:color w:val="7F7F7F"/>
        </w:rPr>
        <w:t>You may vote at</w:t>
      </w:r>
      <w:r>
        <w:rPr>
          <w:rFonts w:ascii="Arial" w:cs="Arial" w:eastAsia="Arial" w:hAnsi="Arial"/>
          <w:sz w:val="16"/>
          <w:szCs w:val="16"/>
          <w:b w:val="1"/>
          <w:bCs w:val="1"/>
          <w:color w:val="7F7F7F"/>
        </w:rPr>
        <w:t xml:space="preserve"> </w:t>
      </w:r>
      <w:r>
        <w:rPr>
          <w:rFonts w:ascii="Arial" w:cs="Arial" w:eastAsia="Arial" w:hAnsi="Arial"/>
          <w:sz w:val="16"/>
          <w:szCs w:val="16"/>
          <w:b w:val="1"/>
          <w:bCs w:val="1"/>
          <w:i w:val="1"/>
          <w:iCs w:val="1"/>
          <w:u w:val="single" w:color="auto"/>
          <w:color w:val="7F7F7F"/>
        </w:rPr>
        <w:t>www.proxyvote.com</w:t>
      </w:r>
      <w:r>
        <w:rPr>
          <w:rFonts w:ascii="Arial" w:cs="Arial" w:eastAsia="Arial" w:hAnsi="Arial"/>
          <w:sz w:val="16"/>
          <w:szCs w:val="16"/>
          <w:color w:val="7F7F7F"/>
        </w:rPr>
        <w:t>, 24 hours a day, seven days a week.</w:t>
      </w:r>
      <w:r>
        <w:rPr>
          <w:rFonts w:ascii="Arial" w:cs="Arial" w:eastAsia="Arial" w:hAnsi="Arial"/>
          <w:sz w:val="16"/>
          <w:szCs w:val="16"/>
          <w:b w:val="1"/>
          <w:bCs w:val="1"/>
          <w:color w:val="7F7F7F"/>
        </w:rPr>
        <w:t xml:space="preserve"> </w:t>
      </w:r>
      <w:r>
        <w:rPr>
          <w:rFonts w:ascii="Arial" w:cs="Arial" w:eastAsia="Arial" w:hAnsi="Arial"/>
          <w:sz w:val="16"/>
          <w:szCs w:val="16"/>
          <w:color w:val="7F7F7F"/>
        </w:rPr>
        <w:t xml:space="preserve">You will need the 16-digit control number included on your Notice of Internet Availability of Proxy Materials or, if you received a printed copy of the proxy materials, on your proxy card or voting instruction form. Votes submitted through </w:t>
      </w:r>
      <w:r>
        <w:rPr>
          <w:rFonts w:ascii="Arial" w:cs="Arial" w:eastAsia="Arial" w:hAnsi="Arial"/>
          <w:sz w:val="16"/>
          <w:szCs w:val="16"/>
          <w:b w:val="1"/>
          <w:bCs w:val="1"/>
          <w:i w:val="1"/>
          <w:iCs w:val="1"/>
          <w:u w:val="single" w:color="auto"/>
          <w:color w:val="7F7F7F"/>
        </w:rPr>
        <w:t>www.proxyvote.com</w:t>
      </w:r>
      <w:r>
        <w:rPr>
          <w:rFonts w:ascii="Arial" w:cs="Arial" w:eastAsia="Arial" w:hAnsi="Arial"/>
          <w:sz w:val="16"/>
          <w:szCs w:val="16"/>
          <w:color w:val="7F7F7F"/>
        </w:rPr>
        <w:t xml:space="preserve"> must be received by 11:59 p.m. Eastern Time on June 25, 2023.</w:t>
      </w:r>
    </w:p>
    <w:p>
      <w:pPr>
        <w:spacing w:after="0" w:line="114" w:lineRule="exact"/>
        <w:rPr>
          <w:sz w:val="20"/>
          <w:szCs w:val="20"/>
          <w:color w:val="auto"/>
        </w:rPr>
      </w:pPr>
    </w:p>
    <w:p>
      <w:pPr>
        <w:jc w:val="both"/>
        <w:ind w:left="4500" w:hanging="535"/>
        <w:spacing w:after="0"/>
        <w:rPr>
          <w:sz w:val="20"/>
          <w:szCs w:val="20"/>
          <w:color w:val="auto"/>
        </w:rPr>
      </w:pPr>
      <w:r>
        <w:rPr>
          <w:sz w:val="1"/>
          <w:szCs w:val="1"/>
          <w:color w:val="auto"/>
        </w:rPr>
        <w:drawing>
          <wp:inline distT="0" distB="0" distL="0" distR="0">
            <wp:extent cx="146050" cy="14541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145415"/>
                    </a:xfrm>
                    <a:prstGeom prst="rect">
                      <a:avLst/>
                    </a:prstGeom>
                    <a:noFill/>
                    <a:ln>
                      <a:noFill/>
                    </a:ln>
                  </pic:spPr>
                </pic:pic>
              </a:graphicData>
            </a:graphic>
          </wp:inline>
        </w:drawing>
      </w:r>
      <w:r>
        <w:rPr>
          <w:rFonts w:ascii="Arial" w:cs="Arial" w:eastAsia="Arial" w:hAnsi="Arial"/>
          <w:sz w:val="16"/>
          <w:szCs w:val="16"/>
          <w:b w:val="1"/>
          <w:bCs w:val="1"/>
          <w:color w:val="7F7F7F"/>
        </w:rPr>
        <w:t xml:space="preserve">     By Telephone. </w:t>
      </w:r>
      <w:r>
        <w:rPr>
          <w:rFonts w:ascii="Arial" w:cs="Arial" w:eastAsia="Arial" w:hAnsi="Arial"/>
          <w:sz w:val="16"/>
          <w:szCs w:val="16"/>
          <w:color w:val="7F7F7F"/>
        </w:rPr>
        <w:t>You may vote using a touch-tone telephone by calling</w:t>
      </w:r>
      <w:r>
        <w:rPr>
          <w:rFonts w:ascii="Arial" w:cs="Arial" w:eastAsia="Arial" w:hAnsi="Arial"/>
          <w:sz w:val="16"/>
          <w:szCs w:val="16"/>
          <w:b w:val="1"/>
          <w:bCs w:val="1"/>
          <w:color w:val="7F7F7F"/>
        </w:rPr>
        <w:t xml:space="preserve"> 1-800-690-6903</w:t>
      </w:r>
      <w:r>
        <w:rPr>
          <w:rFonts w:ascii="Arial" w:cs="Arial" w:eastAsia="Arial" w:hAnsi="Arial"/>
          <w:sz w:val="16"/>
          <w:szCs w:val="16"/>
          <w:color w:val="7F7F7F"/>
        </w:rPr>
        <w:t>, 24</w:t>
      </w:r>
      <w:r>
        <w:rPr>
          <w:rFonts w:ascii="Arial" w:cs="Arial" w:eastAsia="Arial" w:hAnsi="Arial"/>
          <w:sz w:val="16"/>
          <w:szCs w:val="16"/>
          <w:b w:val="1"/>
          <w:bCs w:val="1"/>
          <w:color w:val="7F7F7F"/>
        </w:rPr>
        <w:t xml:space="preserve"> </w:t>
      </w:r>
      <w:r>
        <w:rPr>
          <w:rFonts w:ascii="Arial" w:cs="Arial" w:eastAsia="Arial" w:hAnsi="Arial"/>
          <w:sz w:val="16"/>
          <w:szCs w:val="16"/>
          <w:color w:val="7F7F7F"/>
        </w:rPr>
        <w:t>hours a day, seven days a week. You will need the 16-digit control number included on your Notice of Internet Availability of Proxy Materials or, if you received a printed copy of the proxy materials, on your proxy card or voting instruction form. Votes submitted by telephone must be received by 11:59 p.m. Eastern Time on June 25, 2023.</w:t>
      </w:r>
    </w:p>
    <w:p>
      <w:pPr>
        <w:spacing w:after="0" w:line="114" w:lineRule="exact"/>
        <w:rPr>
          <w:sz w:val="20"/>
          <w:szCs w:val="20"/>
          <w:color w:val="auto"/>
        </w:rPr>
      </w:pPr>
    </w:p>
    <w:p>
      <w:pPr>
        <w:jc w:val="both"/>
        <w:ind w:left="4500" w:hanging="535"/>
        <w:spacing w:after="0"/>
        <w:rPr>
          <w:sz w:val="20"/>
          <w:szCs w:val="20"/>
          <w:color w:val="auto"/>
        </w:rPr>
      </w:pPr>
      <w:r>
        <w:rPr>
          <w:sz w:val="1"/>
          <w:szCs w:val="1"/>
          <w:color w:val="auto"/>
        </w:rPr>
        <w:drawing>
          <wp:inline distT="0" distB="0" distL="0" distR="0">
            <wp:extent cx="146050" cy="14541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145415"/>
                    </a:xfrm>
                    <a:prstGeom prst="rect">
                      <a:avLst/>
                    </a:prstGeom>
                    <a:noFill/>
                    <a:ln>
                      <a:noFill/>
                    </a:ln>
                  </pic:spPr>
                </pic:pic>
              </a:graphicData>
            </a:graphic>
          </wp:inline>
        </w:drawing>
      </w:r>
      <w:r>
        <w:rPr>
          <w:rFonts w:ascii="Arial" w:cs="Arial" w:eastAsia="Arial" w:hAnsi="Arial"/>
          <w:sz w:val="16"/>
          <w:szCs w:val="16"/>
          <w:b w:val="1"/>
          <w:bCs w:val="1"/>
          <w:color w:val="7F7F7F"/>
        </w:rPr>
        <w:t xml:space="preserve">     By Mail. </w:t>
      </w:r>
      <w:r>
        <w:rPr>
          <w:rFonts w:ascii="Arial" w:cs="Arial" w:eastAsia="Arial" w:hAnsi="Arial"/>
          <w:sz w:val="16"/>
          <w:szCs w:val="16"/>
          <w:color w:val="7F7F7F"/>
        </w:rPr>
        <w:t>If you received printed proxy materials, you may submit your vote by completing,</w:t>
      </w:r>
      <w:r>
        <w:rPr>
          <w:rFonts w:ascii="Arial" w:cs="Arial" w:eastAsia="Arial" w:hAnsi="Arial"/>
          <w:sz w:val="16"/>
          <w:szCs w:val="16"/>
          <w:b w:val="1"/>
          <w:bCs w:val="1"/>
          <w:color w:val="7F7F7F"/>
        </w:rPr>
        <w:t xml:space="preserve"> </w:t>
      </w:r>
      <w:r>
        <w:rPr>
          <w:rFonts w:ascii="Arial" w:cs="Arial" w:eastAsia="Arial" w:hAnsi="Arial"/>
          <w:sz w:val="16"/>
          <w:szCs w:val="16"/>
          <w:color w:val="7F7F7F"/>
        </w:rPr>
        <w:t>signing and dating each proxy card or voting instruction form received and returning it in the prepaid envelope. Sign your name exactly as it appears on the proxy card or voting instruction form. Proxy cards or voting instruction form submitted by mail must be received no later than June 25, 2023, to be voted at the Annual Meeting.</w:t>
      </w:r>
    </w:p>
    <w:p>
      <w:pPr>
        <w:spacing w:after="0" w:line="114" w:lineRule="exact"/>
        <w:rPr>
          <w:sz w:val="20"/>
          <w:szCs w:val="20"/>
          <w:color w:val="auto"/>
        </w:rPr>
      </w:pPr>
    </w:p>
    <w:p>
      <w:pPr>
        <w:jc w:val="both"/>
        <w:ind w:left="4500" w:hanging="535"/>
        <w:spacing w:after="0"/>
        <w:rPr>
          <w:sz w:val="20"/>
          <w:szCs w:val="20"/>
          <w:color w:val="auto"/>
        </w:rPr>
      </w:pPr>
      <w:r>
        <w:rPr>
          <w:sz w:val="1"/>
          <w:szCs w:val="1"/>
          <w:color w:val="auto"/>
        </w:rPr>
        <w:drawing>
          <wp:inline distT="0" distB="0" distL="0" distR="0">
            <wp:extent cx="146050" cy="14541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145415"/>
                    </a:xfrm>
                    <a:prstGeom prst="rect">
                      <a:avLst/>
                    </a:prstGeom>
                    <a:noFill/>
                    <a:ln>
                      <a:noFill/>
                    </a:ln>
                  </pic:spPr>
                </pic:pic>
              </a:graphicData>
            </a:graphic>
          </wp:inline>
        </w:drawing>
      </w:r>
      <w:r>
        <w:rPr>
          <w:rFonts w:ascii="Arial" w:cs="Arial" w:eastAsia="Arial" w:hAnsi="Arial"/>
          <w:sz w:val="16"/>
          <w:szCs w:val="16"/>
          <w:b w:val="1"/>
          <w:bCs w:val="1"/>
          <w:color w:val="7F7F7F"/>
        </w:rPr>
        <w:t xml:space="preserve">     During the Annual Meeting. </w:t>
      </w:r>
      <w:r>
        <w:rPr>
          <w:rFonts w:ascii="Arial" w:cs="Arial" w:eastAsia="Arial" w:hAnsi="Arial"/>
          <w:sz w:val="16"/>
          <w:szCs w:val="16"/>
          <w:color w:val="7F7F7F"/>
        </w:rPr>
        <w:t>You may vote during the Annual Meeting by going to</w:t>
      </w:r>
      <w:r>
        <w:rPr>
          <w:rFonts w:ascii="Arial" w:cs="Arial" w:eastAsia="Arial" w:hAnsi="Arial"/>
          <w:sz w:val="16"/>
          <w:szCs w:val="16"/>
          <w:b w:val="1"/>
          <w:bCs w:val="1"/>
          <w:color w:val="7F7F7F"/>
        </w:rPr>
        <w:t xml:space="preserve"> </w:t>
      </w:r>
      <w:r>
        <w:rPr>
          <w:rFonts w:ascii="Arial" w:cs="Arial" w:eastAsia="Arial" w:hAnsi="Arial"/>
          <w:sz w:val="16"/>
          <w:szCs w:val="16"/>
          <w:u w:val="single" w:color="auto"/>
          <w:color w:val="7F7F7F"/>
        </w:rPr>
        <w:t>www.virtualshareholdermeeting.com/BIIB2023</w:t>
      </w:r>
      <w:r>
        <w:rPr>
          <w:rFonts w:ascii="Arial" w:cs="Arial" w:eastAsia="Arial" w:hAnsi="Arial"/>
          <w:sz w:val="16"/>
          <w:szCs w:val="16"/>
          <w:color w:val="7F7F7F"/>
        </w:rPr>
        <w:t>. You will need the 16-digit control number included on your Notice of Internet Availability of Proxy Materials or, if you received a printed copy of the proxy materials, on your proxy card or voting instruction form to be able to vote during the Annual Meeting.</w:t>
      </w:r>
    </w:p>
    <w:p>
      <w:pPr>
        <w:spacing w:after="0" w:line="104" w:lineRule="exact"/>
        <w:rPr>
          <w:sz w:val="20"/>
          <w:szCs w:val="20"/>
          <w:color w:val="auto"/>
        </w:rPr>
      </w:pPr>
    </w:p>
    <w:p>
      <w:pPr>
        <w:jc w:val="both"/>
        <w:ind w:left="3960"/>
        <w:spacing w:after="0" w:line="261" w:lineRule="auto"/>
        <w:rPr>
          <w:sz w:val="20"/>
          <w:szCs w:val="20"/>
          <w:color w:val="auto"/>
        </w:rPr>
      </w:pPr>
      <w:r>
        <w:rPr>
          <w:rFonts w:ascii="Arial" w:cs="Arial" w:eastAsia="Arial" w:hAnsi="Arial"/>
          <w:sz w:val="16"/>
          <w:szCs w:val="16"/>
          <w:color w:val="auto"/>
        </w:rPr>
        <w:t xml:space="preserve">If you vote via the Internet or by telephone before the Annual Meeting, your electronic vote authorizes the named proxies in the same manner as if you signed, dated and returned your proxy card or voting instruction form. </w:t>
      </w:r>
      <w:r>
        <w:rPr>
          <w:rFonts w:ascii="Arial" w:cs="Arial" w:eastAsia="Arial" w:hAnsi="Arial"/>
          <w:sz w:val="16"/>
          <w:szCs w:val="16"/>
          <w:b w:val="1"/>
          <w:bCs w:val="1"/>
          <w:color w:val="auto"/>
        </w:rPr>
        <w:t>If you vote via the Internet or by telephone before the Annual</w:t>
      </w:r>
      <w:r>
        <w:rPr>
          <w:rFonts w:ascii="Arial" w:cs="Arial" w:eastAsia="Arial" w:hAnsi="Arial"/>
          <w:sz w:val="16"/>
          <w:szCs w:val="16"/>
          <w:color w:val="auto"/>
        </w:rPr>
        <w:t xml:space="preserve"> </w:t>
      </w:r>
      <w:r>
        <w:rPr>
          <w:rFonts w:ascii="Arial" w:cs="Arial" w:eastAsia="Arial" w:hAnsi="Arial"/>
          <w:sz w:val="16"/>
          <w:szCs w:val="16"/>
          <w:b w:val="1"/>
          <w:bCs w:val="1"/>
          <w:color w:val="auto"/>
        </w:rPr>
        <w:t>Meeting, do not return your proxy card.</w:t>
      </w:r>
    </w:p>
    <w:p>
      <w:pPr>
        <w:spacing w:after="0" w:line="96" w:lineRule="exact"/>
        <w:rPr>
          <w:sz w:val="20"/>
          <w:szCs w:val="20"/>
          <w:color w:val="auto"/>
        </w:rPr>
      </w:pPr>
    </w:p>
    <w:p>
      <w:pPr>
        <w:jc w:val="both"/>
        <w:ind w:left="3960"/>
        <w:spacing w:after="0" w:line="252" w:lineRule="auto"/>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b w:val="1"/>
          <w:bCs w:val="1"/>
          <w:i w:val="1"/>
          <w:iCs w:val="1"/>
          <w:color w:val="000000"/>
        </w:rPr>
        <w:t>If your shares are held in a brokerage account in your broker’s name,</w:t>
      </w:r>
      <w:r>
        <w:rPr>
          <w:rFonts w:ascii="Arial" w:cs="Arial" w:eastAsia="Arial" w:hAnsi="Arial"/>
          <w:sz w:val="16"/>
          <w:szCs w:val="16"/>
          <w:b w:val="1"/>
          <w:bCs w:val="1"/>
          <w:color w:val="1A6DBB"/>
        </w:rPr>
        <w:t xml:space="preserve"> </w:t>
      </w:r>
      <w:r>
        <w:rPr>
          <w:rFonts w:ascii="Arial" w:cs="Arial" w:eastAsia="Arial" w:hAnsi="Arial"/>
          <w:sz w:val="16"/>
          <w:szCs w:val="16"/>
          <w:b w:val="1"/>
          <w:bCs w:val="1"/>
          <w:i w:val="1"/>
          <w:iCs w:val="1"/>
          <w:color w:val="000000"/>
        </w:rPr>
        <w:t xml:space="preserve">then you are the beneficial owner of shares held in “street name.” </w:t>
      </w:r>
      <w:r>
        <w:rPr>
          <w:rFonts w:ascii="Arial" w:cs="Arial" w:eastAsia="Arial" w:hAnsi="Arial"/>
          <w:sz w:val="16"/>
          <w:szCs w:val="16"/>
          <w:color w:val="000000"/>
        </w:rPr>
        <w:t>If you are a beneficial</w:t>
      </w:r>
      <w:r>
        <w:rPr>
          <w:rFonts w:ascii="Arial" w:cs="Arial" w:eastAsia="Arial" w:hAnsi="Arial"/>
          <w:sz w:val="16"/>
          <w:szCs w:val="16"/>
          <w:b w:val="1"/>
          <w:bCs w:val="1"/>
          <w:i w:val="1"/>
          <w:iCs w:val="1"/>
          <w:color w:val="000000"/>
        </w:rPr>
        <w:t xml:space="preserve"> </w:t>
      </w:r>
      <w:r>
        <w:rPr>
          <w:rFonts w:ascii="Arial" w:cs="Arial" w:eastAsia="Arial" w:hAnsi="Arial"/>
          <w:sz w:val="16"/>
          <w:szCs w:val="16"/>
          <w:color w:val="000000"/>
        </w:rPr>
        <w:t xml:space="preserve">owner of your shares, you should have received a Notice of Internet Availability of Proxy Materials or voting instructions from the bank, broker or other nominee holding your shares. You should follow the instructions in the Notice of Internet Availability of Proxy Materials or voting instructions provided by your bank, broker or other nominee in order to instruct your bank, broker or other nominee on how to vote your shares. The availability of telephone and Internet voting will depend on the voting process of the bank, broker or other nominee. </w:t>
      </w:r>
      <w:r>
        <w:rPr>
          <w:rFonts w:ascii="Arial" w:cs="Arial" w:eastAsia="Arial" w:hAnsi="Arial"/>
          <w:sz w:val="16"/>
          <w:szCs w:val="16"/>
          <w:b w:val="1"/>
          <w:bCs w:val="1"/>
          <w:color w:val="000000"/>
        </w:rPr>
        <w:t>Shares held beneficially may not be</w:t>
      </w:r>
      <w:r>
        <w:rPr>
          <w:rFonts w:ascii="Arial" w:cs="Arial" w:eastAsia="Arial" w:hAnsi="Arial"/>
          <w:sz w:val="16"/>
          <w:szCs w:val="16"/>
          <w:color w:val="000000"/>
        </w:rPr>
        <w:t xml:space="preserve"> </w:t>
      </w:r>
      <w:r>
        <w:rPr>
          <w:rFonts w:ascii="Arial" w:cs="Arial" w:eastAsia="Arial" w:hAnsi="Arial"/>
          <w:sz w:val="16"/>
          <w:szCs w:val="16"/>
          <w:b w:val="1"/>
          <w:bCs w:val="1"/>
          <w:color w:val="000000"/>
        </w:rPr>
        <w:t>voted during the Annual Meeting; instead a beneficial holder must instruct their bank, broker or other nominee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2"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1371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 -10-</w:t>
      </w:r>
    </w:p>
    <w:p>
      <w:pPr>
        <w:sectPr>
          <w:pgSz w:w="11900" w:h="16838" w:orient="portrait"/>
          <w:cols w:equalWidth="0" w:num="1">
            <w:col w:w="11020"/>
          </w:cols>
          <w:pgMar w:left="440" w:top="585" w:right="439" w:bottom="1440" w:gutter="0" w:footer="0" w:header="0"/>
        </w:sectPr>
      </w:pPr>
    </w:p>
    <w:bookmarkStart w:id="18" w:name="page19"/>
    <w:bookmarkEnd w:id="18"/>
    <w:p>
      <w:pPr>
        <w:jc w:val="right"/>
        <w:ind w:righ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320675</wp:posOffset>
            </wp:positionV>
            <wp:extent cx="1482725" cy="2311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82725" cy="231140"/>
                    </a:xfrm>
                    <a:prstGeom prst="rect">
                      <a:avLst/>
                    </a:prstGeom>
                    <a:noFill/>
                  </pic:spPr>
                </pic:pic>
              </a:graphicData>
            </a:graphic>
          </wp:anchor>
        </w:drawing>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41"/>
          <w:szCs w:val="41"/>
          <w:color w:val="1A6DBB"/>
        </w:rPr>
        <w:t xml:space="preserve">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6995160" cy="45434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4543425"/>
                    </a:xfrm>
                    <a:prstGeom prst="rect">
                      <a:avLst/>
                    </a:prstGeom>
                    <a:noFill/>
                  </pic:spPr>
                </pic:pic>
              </a:graphicData>
            </a:graphic>
          </wp:anchor>
        </w:drawing>
      </w:r>
    </w:p>
    <w:p>
      <w:pPr>
        <w:sectPr>
          <w:pgSz w:w="11900" w:h="16838" w:orient="portrait"/>
          <w:cols w:equalWidth="0" w:num="1">
            <w:col w:w="11020"/>
          </w:cols>
          <w:pgMar w:left="440" w:top="585" w:right="439" w:bottom="1440" w:gutter="0" w:footer="0" w:header="0"/>
        </w:sectPr>
      </w:pPr>
    </w:p>
    <w:p>
      <w:pPr>
        <w:spacing w:after="0" w:line="30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1A6DBB"/>
        </w:rPr>
        <w:t>Can I revoke or change my vote after I submit my proxy?</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a stockholder of record, you may revoke or change your vote</w:t>
      </w:r>
      <w:r>
        <w:rPr>
          <w:rFonts w:ascii="Arial" w:cs="Arial" w:eastAsia="Arial" w:hAnsi="Arial"/>
          <w:sz w:val="16"/>
          <w:szCs w:val="16"/>
          <w:b w:val="1"/>
          <w:bCs w:val="1"/>
          <w:color w:val="1A6DBB"/>
        </w:rPr>
        <w:t xml:space="preserve"> </w:t>
      </w:r>
      <w:r>
        <w:rPr>
          <w:rFonts w:ascii="Arial" w:cs="Arial" w:eastAsia="Arial" w:hAnsi="Arial"/>
          <w:sz w:val="16"/>
          <w:szCs w:val="16"/>
          <w:color w:val="000000"/>
        </w:rPr>
        <w:t>at any time before the final vote at the Annual Meeting by:</w:t>
      </w:r>
    </w:p>
    <w:p>
      <w:pPr>
        <w:spacing w:after="0" w:line="191" w:lineRule="exact"/>
        <w:rPr>
          <w:sz w:val="20"/>
          <w:szCs w:val="20"/>
          <w:color w:val="auto"/>
        </w:rPr>
      </w:pPr>
    </w:p>
    <w:p>
      <w:pPr>
        <w:jc w:val="both"/>
        <w:ind w:left="220" w:hanging="214"/>
        <w:spacing w:after="0" w:line="27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 signing and returning a new proxy card or voting instruction form with a later date, to be</w:t>
      </w:r>
      <w:r>
        <w:rPr>
          <w:rFonts w:ascii="Arial" w:cs="Arial" w:eastAsia="Arial" w:hAnsi="Arial"/>
          <w:sz w:val="16"/>
          <w:szCs w:val="16"/>
          <w:color w:val="1A6DBB"/>
        </w:rPr>
        <w:t xml:space="preserve"> </w:t>
      </w:r>
      <w:r>
        <w:rPr>
          <w:rFonts w:ascii="Arial" w:cs="Arial" w:eastAsia="Arial" w:hAnsi="Arial"/>
          <w:sz w:val="16"/>
          <w:szCs w:val="16"/>
          <w:color w:val="000000"/>
        </w:rPr>
        <w:t>received no later than June 25, 2023;</w:t>
      </w:r>
    </w:p>
    <w:p>
      <w:pPr>
        <w:spacing w:after="0" w:line="198" w:lineRule="exact"/>
        <w:rPr>
          <w:sz w:val="20"/>
          <w:szCs w:val="20"/>
          <w:color w:val="auto"/>
        </w:rPr>
      </w:pPr>
    </w:p>
    <w:p>
      <w:pPr>
        <w:jc w:val="both"/>
        <w:ind w:left="220" w:hanging="214"/>
        <w:spacing w:after="0" w:line="27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 submitting a later-dated vote by telephone or via the Internet — only your latest telephone or</w:t>
      </w:r>
      <w:r>
        <w:rPr>
          <w:rFonts w:ascii="Arial" w:cs="Arial" w:eastAsia="Arial" w:hAnsi="Arial"/>
          <w:sz w:val="16"/>
          <w:szCs w:val="16"/>
          <w:color w:val="1A6DBB"/>
        </w:rPr>
        <w:t xml:space="preserve"> </w:t>
      </w:r>
      <w:r>
        <w:rPr>
          <w:rFonts w:ascii="Arial" w:cs="Arial" w:eastAsia="Arial" w:hAnsi="Arial"/>
          <w:sz w:val="16"/>
          <w:szCs w:val="16"/>
          <w:color w:val="000000"/>
        </w:rPr>
        <w:t>Internet proxy received by 11:59 p.m. Eastern Time on June 25, 2023, will be counted;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 participating in the Annual Meeting virtually via the Internet and voting again; or</w:t>
      </w:r>
    </w:p>
    <w:p>
      <w:pPr>
        <w:spacing w:after="0" w:line="248" w:lineRule="exact"/>
        <w:rPr>
          <w:sz w:val="20"/>
          <w:szCs w:val="20"/>
          <w:color w:val="auto"/>
        </w:rPr>
      </w:pPr>
    </w:p>
    <w:p>
      <w:pPr>
        <w:jc w:val="both"/>
        <w:ind w:left="220" w:hanging="214"/>
        <w:spacing w:after="0" w:line="27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 delivering a written revocation to our Secretary at Biogen Inc., 225 Binney Street, Cambridge,</w:t>
      </w:r>
      <w:r>
        <w:rPr>
          <w:rFonts w:ascii="Arial" w:cs="Arial" w:eastAsia="Arial" w:hAnsi="Arial"/>
          <w:sz w:val="16"/>
          <w:szCs w:val="16"/>
          <w:color w:val="1A6DBB"/>
        </w:rPr>
        <w:t xml:space="preserve"> </w:t>
      </w:r>
      <w:r>
        <w:rPr>
          <w:rFonts w:ascii="Arial" w:cs="Arial" w:eastAsia="Arial" w:hAnsi="Arial"/>
          <w:sz w:val="16"/>
          <w:szCs w:val="16"/>
          <w:color w:val="000000"/>
        </w:rPr>
        <w:t>Massachusetts 02142, to be received no later than June 25, 2023.</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Only your latest vote, in whatever form, will be counted. The amended proxy card enclosed with this Revised Proxy differs from the original proxy card previously furnished to you in that the amended proxy card includes the election of Susan K. Langer as a nominee for director and no longer includes Alexander J. Denner, Ph.D., William D. Jones and Richard C. Mulligan, Ph.D., as nominees.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If you have already voted, we encourage you to resubmit your vote on all proposals by submitting the amended proxy card with this Revised Proxy or by submitting a proxy by telephone or through the Internet by following the procedures on your amended proxy card or as previously provided to you on your Notice of Internet Availability of Proxy Materials. However, if you return, or have returned, an original proxy card, your proxy will remain valid for all of the other proposals but will not be counted in the election of Ms. Langer because she is not listed as a nominee on the original proxy card.</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PLEASE NOTE THAT IF YOU SUBMIT A NEW PROXY CARD IT WILL REVOKE ALL PRIOR PROXY CARDS, SO IT IS IMPORTANT TO INDICATE YOUR VOTE ON EACH PROPOSAL ON THE NEW PROXY CARD.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color w:val="000000"/>
        </w:rPr>
        <w:t>If you are a beneficial owner of your shares, you must contact the bank,</w:t>
      </w:r>
      <w:r>
        <w:rPr>
          <w:rFonts w:ascii="Arial" w:cs="Arial" w:eastAsia="Arial" w:hAnsi="Arial"/>
          <w:sz w:val="16"/>
          <w:szCs w:val="16"/>
          <w:b w:val="1"/>
          <w:bCs w:val="1"/>
          <w:color w:val="1A6DBB"/>
        </w:rPr>
        <w:t xml:space="preserve"> </w:t>
      </w:r>
      <w:r>
        <w:rPr>
          <w:rFonts w:ascii="Arial" w:cs="Arial" w:eastAsia="Arial" w:hAnsi="Arial"/>
          <w:sz w:val="16"/>
          <w:szCs w:val="16"/>
          <w:color w:val="000000"/>
        </w:rPr>
        <w:t>broker or other nominee holding your shares and follow their instructions for revoking or changing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34290</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460"/>
            <w:col w:w="7060"/>
          </w:cols>
          <w:pgMar w:left="440" w:top="585" w:right="439" w:bottom="1440" w:gutter="0" w:footer="0" w:header="0"/>
          <w:type w:val="continuous"/>
        </w:sectPr>
      </w:pPr>
    </w:p>
    <w:p>
      <w:pPr>
        <w:spacing w:after="0" w:line="16" w:lineRule="exact"/>
        <w:rPr>
          <w:sz w:val="20"/>
          <w:szCs w:val="20"/>
          <w:color w:val="auto"/>
        </w:rPr>
      </w:pPr>
    </w:p>
    <w:p>
      <w:pPr>
        <w:ind w:left="8060"/>
        <w:spacing w:after="0"/>
        <w:rPr>
          <w:sz w:val="20"/>
          <w:szCs w:val="20"/>
          <w:color w:val="auto"/>
        </w:rPr>
      </w:pPr>
      <w:r>
        <w:rPr>
          <w:sz w:val="1"/>
          <w:szCs w:val="1"/>
          <w:color w:val="auto"/>
        </w:rPr>
        <w:drawing>
          <wp:inline distT="0" distB="0" distL="0" distR="0">
            <wp:extent cx="419735" cy="137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 -11-</w:t>
      </w:r>
    </w:p>
    <w:p>
      <w:pPr>
        <w:sectPr>
          <w:pgSz w:w="11900" w:h="16838" w:orient="portrait"/>
          <w:cols w:equalWidth="0" w:num="1">
            <w:col w:w="11020"/>
          </w:cols>
          <w:pgMar w:left="440" w:top="585" w:right="439" w:bottom="1440" w:gutter="0" w:footer="0" w:header="0"/>
          <w:type w:val="continuous"/>
        </w:sectPr>
      </w:pPr>
    </w:p>
    <w:bookmarkStart w:id="19" w:name="page20"/>
    <w:bookmarkEnd w:id="19"/>
    <w:p>
      <w:pPr>
        <w:ind w:left="88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320040</wp:posOffset>
            </wp:positionV>
            <wp:extent cx="1482725" cy="2311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82725" cy="231140"/>
                    </a:xfrm>
                    <a:prstGeom prst="rect">
                      <a:avLst/>
                    </a:prstGeom>
                    <a:noFill/>
                  </pic:spPr>
                </pic:pic>
              </a:graphicData>
            </a:graphic>
          </wp:anchor>
        </w:drawing>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41"/>
          <w:szCs w:val="41"/>
          <w:color w:val="1A6DBB"/>
        </w:rPr>
        <w:t xml:space="preserve">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6995160" cy="29832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2983230"/>
                    </a:xfrm>
                    <a:prstGeom prst="rect">
                      <a:avLst/>
                    </a:prstGeom>
                    <a:noFill/>
                  </pic:spPr>
                </pic:pic>
              </a:graphicData>
            </a:graphic>
          </wp:anchor>
        </w:drawing>
      </w:r>
    </w:p>
    <w:p>
      <w:pPr>
        <w:spacing w:after="0" w:line="287" w:lineRule="exact"/>
        <w:rPr>
          <w:sz w:val="20"/>
          <w:szCs w:val="20"/>
          <w:color w:val="auto"/>
        </w:rPr>
      </w:pPr>
    </w:p>
    <w:p>
      <w:pPr>
        <w:ind w:left="3960" w:hanging="3965"/>
        <w:spacing w:after="0" w:line="286" w:lineRule="auto"/>
        <w:tabs>
          <w:tab w:leader="none" w:pos="3940" w:val="left"/>
        </w:tabs>
        <w:rPr>
          <w:sz w:val="20"/>
          <w:szCs w:val="20"/>
          <w:color w:val="auto"/>
        </w:rPr>
      </w:pPr>
      <w:r>
        <w:rPr>
          <w:rFonts w:ascii="Arial" w:cs="Arial" w:eastAsia="Arial" w:hAnsi="Arial"/>
          <w:sz w:val="16"/>
          <w:szCs w:val="16"/>
          <w:b w:val="1"/>
          <w:bCs w:val="1"/>
          <w:i w:val="1"/>
          <w:iCs w:val="1"/>
          <w:color w:val="1A6DBB"/>
        </w:rPr>
        <w:t>Will my shares be counted if I do not vote?</w:t>
      </w:r>
      <w:r>
        <w:rPr>
          <w:sz w:val="20"/>
          <w:szCs w:val="20"/>
          <w:color w:val="auto"/>
        </w:rPr>
        <w:tab/>
      </w: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the stockholder of record and you do not vote before the</w:t>
      </w:r>
      <w:r>
        <w:rPr>
          <w:rFonts w:ascii="Arial" w:cs="Arial" w:eastAsia="Arial" w:hAnsi="Arial"/>
          <w:sz w:val="16"/>
          <w:szCs w:val="16"/>
          <w:b w:val="1"/>
          <w:bCs w:val="1"/>
          <w:color w:val="1A6DBB"/>
        </w:rPr>
        <w:t xml:space="preserve"> </w:t>
      </w:r>
      <w:r>
        <w:rPr>
          <w:rFonts w:ascii="Arial" w:cs="Arial" w:eastAsia="Arial" w:hAnsi="Arial"/>
          <w:sz w:val="16"/>
          <w:szCs w:val="16"/>
          <w:color w:val="000000"/>
        </w:rPr>
        <w:t>Annual Meeting your shares will not be voted at the Annual Meeting.</w:t>
      </w:r>
    </w:p>
    <w:p>
      <w:pPr>
        <w:spacing w:after="0" w:line="61" w:lineRule="exact"/>
        <w:rPr>
          <w:sz w:val="20"/>
          <w:szCs w:val="20"/>
          <w:color w:val="auto"/>
        </w:rPr>
      </w:pPr>
    </w:p>
    <w:p>
      <w:pPr>
        <w:jc w:val="both"/>
        <w:ind w:left="3960"/>
        <w:spacing w:after="0" w:line="254" w:lineRule="auto"/>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color w:val="000000"/>
        </w:rPr>
        <w:t>If you are the beneficial owner of shares, your bank, broker or other nominee,</w:t>
      </w:r>
      <w:r>
        <w:rPr>
          <w:rFonts w:ascii="Arial" w:cs="Arial" w:eastAsia="Arial" w:hAnsi="Arial"/>
          <w:sz w:val="16"/>
          <w:szCs w:val="16"/>
          <w:b w:val="1"/>
          <w:bCs w:val="1"/>
          <w:color w:val="1A6DBB"/>
        </w:rPr>
        <w:t xml:space="preserve"> </w:t>
      </w:r>
      <w:r>
        <w:rPr>
          <w:rFonts w:ascii="Arial" w:cs="Arial" w:eastAsia="Arial" w:hAnsi="Arial"/>
          <w:sz w:val="16"/>
          <w:szCs w:val="16"/>
          <w:color w:val="000000"/>
        </w:rPr>
        <w:t>as the record holder of the shares, is required to vote those shares in accordance with your instructions. If no voting instructions are provided, these record holders can vote your shares only on discretionary, or routine, matters and not on non-discretionary, or non-routine, matters. Uninstructed shares whose votes cannot be counted on non-routine matters result in what are commonly referred to as “broker non-votes.”</w:t>
      </w:r>
    </w:p>
    <w:p>
      <w:pPr>
        <w:spacing w:after="0" w:line="95" w:lineRule="exact"/>
        <w:rPr>
          <w:sz w:val="20"/>
          <w:szCs w:val="20"/>
          <w:color w:val="auto"/>
        </w:rPr>
      </w:pPr>
    </w:p>
    <w:p>
      <w:pPr>
        <w:jc w:val="both"/>
        <w:ind w:left="3960"/>
        <w:spacing w:after="0" w:line="252" w:lineRule="auto"/>
        <w:rPr>
          <w:sz w:val="20"/>
          <w:szCs w:val="20"/>
          <w:color w:val="auto"/>
        </w:rPr>
      </w:pPr>
      <w:r>
        <w:rPr>
          <w:rFonts w:ascii="Arial" w:cs="Arial" w:eastAsia="Arial" w:hAnsi="Arial"/>
          <w:sz w:val="16"/>
          <w:szCs w:val="16"/>
          <w:color w:val="auto"/>
        </w:rPr>
        <w:t>The proposal to ratify the selection of our independent registered public accounting firm is a routine matter and the other proposals are non-routine matters. If you do not give your broker voting instructions, your broker (1) will be entitled to vote your shares on the proposal to ratify the selection of our independent registered public accounting firm and (2) will not be entitled to vote your shares on the other proposals. We urge you to provide instructions to your bank, broker or other nominee so that your votes may be counted on all of these important matters.</w:t>
      </w:r>
    </w:p>
    <w:p>
      <w:pPr>
        <w:spacing w:after="0" w:line="115" w:lineRule="exact"/>
        <w:rPr>
          <w:sz w:val="20"/>
          <w:szCs w:val="20"/>
          <w:color w:val="auto"/>
        </w:rPr>
      </w:pPr>
    </w:p>
    <w:p>
      <w:pPr>
        <w:spacing w:after="0"/>
        <w:tabs>
          <w:tab w:leader="none" w:pos="3940" w:val="left"/>
        </w:tabs>
        <w:rPr>
          <w:sz w:val="20"/>
          <w:szCs w:val="20"/>
          <w:color w:val="auto"/>
        </w:rPr>
      </w:pPr>
      <w:r>
        <w:rPr>
          <w:rFonts w:ascii="Arial" w:cs="Arial" w:eastAsia="Arial" w:hAnsi="Arial"/>
          <w:sz w:val="16"/>
          <w:szCs w:val="16"/>
          <w:b w:val="1"/>
          <w:bCs w:val="1"/>
          <w:i w:val="1"/>
          <w:iCs w:val="1"/>
          <w:color w:val="1A6DBB"/>
        </w:rPr>
        <w:t>How many shares must be present to hold the</w:t>
      </w:r>
      <w:r>
        <w:rPr>
          <w:sz w:val="20"/>
          <w:szCs w:val="20"/>
          <w:color w:val="auto"/>
        </w:rPr>
        <w:tab/>
      </w:r>
      <w:r>
        <w:rPr>
          <w:rFonts w:ascii="Arial" w:cs="Arial" w:eastAsia="Arial" w:hAnsi="Arial"/>
          <w:sz w:val="16"/>
          <w:szCs w:val="16"/>
          <w:color w:val="auto"/>
        </w:rPr>
        <w:t>A majority of our issued and outstanding shares of common stock as of the Record Date must be</w:t>
      </w:r>
    </w:p>
    <w:p>
      <w:pPr>
        <w:spacing w:after="0" w:line="25" w:lineRule="exact"/>
        <w:rPr>
          <w:sz w:val="20"/>
          <w:szCs w:val="20"/>
          <w:color w:val="auto"/>
        </w:rPr>
      </w:pPr>
    </w:p>
    <w:p>
      <w:pPr>
        <w:jc w:val="both"/>
        <w:ind w:left="3960" w:hanging="3965"/>
        <w:spacing w:after="0" w:line="249" w:lineRule="auto"/>
        <w:tabs>
          <w:tab w:leader="none" w:pos="3940" w:val="left"/>
        </w:tabs>
        <w:rPr>
          <w:sz w:val="20"/>
          <w:szCs w:val="20"/>
          <w:color w:val="auto"/>
        </w:rPr>
      </w:pPr>
      <w:r>
        <w:rPr>
          <w:rFonts w:ascii="Arial" w:cs="Arial" w:eastAsia="Arial" w:hAnsi="Arial"/>
          <w:sz w:val="16"/>
          <w:szCs w:val="16"/>
          <w:b w:val="1"/>
          <w:bCs w:val="1"/>
          <w:i w:val="1"/>
          <w:iCs w:val="1"/>
          <w:color w:val="1A6DBB"/>
        </w:rPr>
        <w:t>Annual Meeting?</w:t>
      </w:r>
      <w:r>
        <w:rPr>
          <w:sz w:val="20"/>
          <w:szCs w:val="20"/>
          <w:color w:val="auto"/>
        </w:rPr>
        <w:tab/>
      </w:r>
      <w:r>
        <w:rPr>
          <w:rFonts w:ascii="Arial" w:cs="Arial" w:eastAsia="Arial" w:hAnsi="Arial"/>
          <w:sz w:val="16"/>
          <w:szCs w:val="16"/>
          <w:color w:val="auto"/>
        </w:rPr>
        <w:t>present at the Annual Meeting to hold the Annual Meeting and conduct business. This is called a quorum. Shares voted in the manner described above (under the heading “How do I vote and what are the voting deadlines?”) will be counted as present at the Annual Meeting. Shares that are present and entitled to vote on one or more of the matters to be voted upon are counted as present for establishing a quorum. If a quorum is not present, we expect that the Annual Meeting will be adjourned until we obtain a quorum.</w:t>
      </w:r>
    </w:p>
    <w:p>
      <w:pPr>
        <w:spacing w:after="0" w:line="203"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137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 -12-</w:t>
      </w:r>
    </w:p>
    <w:p>
      <w:pPr>
        <w:sectPr>
          <w:pgSz w:w="11900" w:h="16838" w:orient="portrait"/>
          <w:cols w:equalWidth="0" w:num="1">
            <w:col w:w="11020"/>
          </w:cols>
          <w:pgMar w:left="440" w:top="585" w:right="439" w:bottom="1440" w:gutter="0" w:footer="0" w:header="0"/>
        </w:sectPr>
      </w:pPr>
    </w:p>
    <w:bookmarkStart w:id="20" w:name="page21"/>
    <w:bookmarkEnd w:id="20"/>
    <w:p>
      <w:pPr>
        <w:spacing w:after="0"/>
        <w:rPr>
          <w:sz w:val="20"/>
          <w:szCs w:val="20"/>
          <w:color w:val="auto"/>
        </w:rPr>
      </w:pPr>
      <w:r>
        <w:rPr>
          <w:rFonts w:ascii="Arial" w:cs="Arial" w:eastAsia="Arial" w:hAnsi="Arial"/>
          <w:sz w:val="41"/>
          <w:szCs w:val="41"/>
          <w:color w:val="1A6DBB"/>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525780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t xml:space="preserve">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Borders>
              <w:top w:val="single" w:sz="8" w:color="1A6DBB"/>
            </w:tcBorders>
          </w:tcPr>
          <w:p>
            <w:pPr>
              <w:spacing w:after="0"/>
              <w:rPr>
                <w:sz w:val="20"/>
                <w:szCs w:val="20"/>
                <w:color w:val="auto"/>
              </w:rPr>
            </w:pPr>
            <w:r>
              <w:rPr>
                <w:rFonts w:ascii="Arial" w:cs="Arial" w:eastAsia="Arial" w:hAnsi="Arial"/>
                <w:sz w:val="16"/>
                <w:szCs w:val="16"/>
                <w:b w:val="1"/>
                <w:bCs w:val="1"/>
                <w:i w:val="1"/>
                <w:iCs w:val="1"/>
                <w:color w:val="1A6DBB"/>
              </w:rPr>
              <w:t>What vote is required to approve each proposal and</w:t>
            </w:r>
          </w:p>
        </w:tc>
        <w:tc>
          <w:tcPr>
            <w:tcW w:w="100" w:type="dxa"/>
            <w:vAlign w:val="bottom"/>
            <w:tcBorders>
              <w:top w:val="single" w:sz="8" w:color="1A6DBB"/>
            </w:tcBorders>
            <w:shd w:val="clear" w:color="auto" w:fill="1A6DBB"/>
          </w:tcPr>
          <w:p>
            <w:pPr>
              <w:spacing w:after="0"/>
              <w:rPr>
                <w:sz w:val="18"/>
                <w:szCs w:val="18"/>
                <w:color w:val="auto"/>
              </w:rPr>
            </w:pPr>
          </w:p>
        </w:tc>
        <w:tc>
          <w:tcPr>
            <w:tcW w:w="2200" w:type="dxa"/>
            <w:vAlign w:val="bottom"/>
            <w:tcBorders>
              <w:top w:val="single" w:sz="8" w:color="1A6DBB"/>
            </w:tcBorders>
            <w:shd w:val="clear" w:color="auto" w:fill="1A6DBB"/>
          </w:tcPr>
          <w:p>
            <w:pPr>
              <w:spacing w:after="0"/>
              <w:rPr>
                <w:sz w:val="18"/>
                <w:szCs w:val="18"/>
                <w:color w:val="auto"/>
              </w:rPr>
            </w:pPr>
          </w:p>
        </w:tc>
        <w:tc>
          <w:tcPr>
            <w:tcW w:w="2200" w:type="dxa"/>
            <w:vAlign w:val="bottom"/>
            <w:tcBorders>
              <w:top w:val="single" w:sz="8" w:color="1A6DBB"/>
            </w:tcBorders>
            <w:shd w:val="clear" w:color="auto" w:fill="1A6DBB"/>
          </w:tcPr>
          <w:p>
            <w:pPr>
              <w:spacing w:after="0"/>
              <w:rPr>
                <w:sz w:val="18"/>
                <w:szCs w:val="18"/>
                <w:color w:val="auto"/>
              </w:rPr>
            </w:pPr>
          </w:p>
        </w:tc>
        <w:tc>
          <w:tcPr>
            <w:tcW w:w="2440" w:type="dxa"/>
            <w:vAlign w:val="bottom"/>
            <w:tcBorders>
              <w:top w:val="single" w:sz="8" w:color="1A6DBB"/>
            </w:tcBorders>
            <w:shd w:val="clear" w:color="auto" w:fill="1A6DBB"/>
          </w:tcPr>
          <w:p>
            <w:pPr>
              <w:ind w:left="120"/>
              <w:spacing w:after="0"/>
              <w:rPr>
                <w:sz w:val="20"/>
                <w:szCs w:val="20"/>
                <w:color w:val="auto"/>
              </w:rPr>
            </w:pPr>
            <w:r>
              <w:rPr>
                <w:rFonts w:ascii="Arial" w:cs="Arial" w:eastAsia="Arial" w:hAnsi="Arial"/>
                <w:sz w:val="14"/>
                <w:szCs w:val="14"/>
                <w:color w:val="FFFFFF"/>
              </w:rPr>
              <w:t>Broker Discretionary Voting</w:t>
            </w:r>
          </w:p>
        </w:tc>
      </w:tr>
      <w:tr>
        <w:trPr>
          <w:trHeight w:val="216"/>
        </w:trPr>
        <w:tc>
          <w:tcPr>
            <w:tcW w:w="4080" w:type="dxa"/>
            <w:vAlign w:val="bottom"/>
          </w:tcPr>
          <w:p>
            <w:pPr>
              <w:spacing w:after="0"/>
              <w:rPr>
                <w:sz w:val="20"/>
                <w:szCs w:val="20"/>
                <w:color w:val="auto"/>
              </w:rPr>
            </w:pPr>
            <w:r>
              <w:rPr>
                <w:rFonts w:ascii="Arial" w:cs="Arial" w:eastAsia="Arial" w:hAnsi="Arial"/>
                <w:sz w:val="16"/>
                <w:szCs w:val="16"/>
                <w:b w:val="1"/>
                <w:bCs w:val="1"/>
                <w:i w:val="1"/>
                <w:iCs w:val="1"/>
                <w:color w:val="1A6DBB"/>
              </w:rPr>
              <w:t>how are votes counted?</w:t>
            </w:r>
          </w:p>
        </w:tc>
        <w:tc>
          <w:tcPr>
            <w:tcW w:w="100" w:type="dxa"/>
            <w:vAlign w:val="bottom"/>
            <w:shd w:val="clear" w:color="auto" w:fill="1A6DBB"/>
          </w:tcPr>
          <w:p>
            <w:pPr>
              <w:spacing w:after="0"/>
              <w:rPr>
                <w:sz w:val="18"/>
                <w:szCs w:val="18"/>
                <w:color w:val="auto"/>
              </w:rPr>
            </w:pPr>
          </w:p>
        </w:tc>
        <w:tc>
          <w:tcPr>
            <w:tcW w:w="2200" w:type="dxa"/>
            <w:vAlign w:val="bottom"/>
            <w:shd w:val="clear" w:color="auto" w:fill="1A6DBB"/>
          </w:tcPr>
          <w:p>
            <w:pPr>
              <w:spacing w:after="0"/>
              <w:rPr>
                <w:sz w:val="20"/>
                <w:szCs w:val="20"/>
                <w:color w:val="auto"/>
              </w:rPr>
            </w:pPr>
            <w:r>
              <w:rPr>
                <w:rFonts w:ascii="Arial" w:cs="Arial" w:eastAsia="Arial" w:hAnsi="Arial"/>
                <w:sz w:val="14"/>
                <w:szCs w:val="14"/>
                <w:color w:val="FFFFFF"/>
              </w:rPr>
              <w:t>Proposal</w:t>
            </w:r>
          </w:p>
        </w:tc>
        <w:tc>
          <w:tcPr>
            <w:tcW w:w="2200" w:type="dxa"/>
            <w:vAlign w:val="bottom"/>
            <w:shd w:val="clear" w:color="auto" w:fill="1A6DBB"/>
          </w:tcPr>
          <w:p>
            <w:pPr>
              <w:ind w:left="220"/>
              <w:spacing w:after="0"/>
              <w:rPr>
                <w:sz w:val="20"/>
                <w:szCs w:val="20"/>
                <w:color w:val="auto"/>
              </w:rPr>
            </w:pPr>
            <w:r>
              <w:rPr>
                <w:rFonts w:ascii="Arial" w:cs="Arial" w:eastAsia="Arial" w:hAnsi="Arial"/>
                <w:sz w:val="14"/>
                <w:szCs w:val="14"/>
                <w:color w:val="FFFFFF"/>
              </w:rPr>
              <w:t>Vote Required</w:t>
            </w:r>
          </w:p>
        </w:tc>
        <w:tc>
          <w:tcPr>
            <w:tcW w:w="2440" w:type="dxa"/>
            <w:vAlign w:val="bottom"/>
            <w:shd w:val="clear" w:color="auto" w:fill="1A6DBB"/>
          </w:tcPr>
          <w:p>
            <w:pPr>
              <w:ind w:left="120"/>
              <w:spacing w:after="0"/>
              <w:rPr>
                <w:sz w:val="20"/>
                <w:szCs w:val="20"/>
                <w:color w:val="auto"/>
              </w:rPr>
            </w:pPr>
            <w:r>
              <w:rPr>
                <w:rFonts w:ascii="Arial" w:cs="Arial" w:eastAsia="Arial" w:hAnsi="Arial"/>
                <w:sz w:val="14"/>
                <w:szCs w:val="14"/>
                <w:color w:val="FFFFFF"/>
              </w:rPr>
              <w:t>Allowed</w:t>
            </w:r>
          </w:p>
        </w:tc>
      </w:tr>
      <w:tr>
        <w:trPr>
          <w:trHeight w:val="246"/>
        </w:trPr>
        <w:tc>
          <w:tcPr>
            <w:tcW w:w="4080" w:type="dxa"/>
            <w:vAlign w:val="bottom"/>
          </w:tcPr>
          <w:p>
            <w:pPr>
              <w:spacing w:after="0"/>
              <w:rPr>
                <w:sz w:val="21"/>
                <w:szCs w:val="21"/>
                <w:color w:val="auto"/>
              </w:rPr>
            </w:pPr>
          </w:p>
        </w:tc>
        <w:tc>
          <w:tcPr>
            <w:tcW w:w="100" w:type="dxa"/>
            <w:vAlign w:val="bottom"/>
            <w:shd w:val="clear" w:color="auto" w:fill="E8F0F8"/>
          </w:tcPr>
          <w:p>
            <w:pPr>
              <w:spacing w:after="0"/>
              <w:rPr>
                <w:sz w:val="21"/>
                <w:szCs w:val="21"/>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Election of 7 Directors</w:t>
            </w:r>
          </w:p>
        </w:tc>
        <w:tc>
          <w:tcPr>
            <w:tcW w:w="2200" w:type="dxa"/>
            <w:vAlign w:val="bottom"/>
            <w:shd w:val="clear" w:color="auto" w:fill="E8F0F8"/>
          </w:tcPr>
          <w:p>
            <w:pPr>
              <w:ind w:left="220"/>
              <w:spacing w:after="0"/>
              <w:rPr>
                <w:sz w:val="20"/>
                <w:szCs w:val="20"/>
                <w:color w:val="auto"/>
              </w:rPr>
            </w:pPr>
            <w:r>
              <w:rPr>
                <w:rFonts w:ascii="Arial" w:cs="Arial" w:eastAsia="Arial" w:hAnsi="Arial"/>
                <w:sz w:val="16"/>
                <w:szCs w:val="16"/>
                <w:color w:val="auto"/>
              </w:rPr>
              <w:t>Majority of Votes Cast*</w:t>
            </w:r>
          </w:p>
        </w:tc>
        <w:tc>
          <w:tcPr>
            <w:tcW w:w="2440" w:type="dxa"/>
            <w:vAlign w:val="bottom"/>
            <w:shd w:val="clear" w:color="auto" w:fill="E8F0F8"/>
          </w:tcPr>
          <w:p>
            <w:pPr>
              <w:ind w:left="120"/>
              <w:spacing w:after="0"/>
              <w:rPr>
                <w:sz w:val="20"/>
                <w:szCs w:val="20"/>
                <w:color w:val="auto"/>
              </w:rPr>
            </w:pPr>
            <w:r>
              <w:rPr>
                <w:rFonts w:ascii="Arial" w:cs="Arial" w:eastAsia="Arial" w:hAnsi="Arial"/>
                <w:sz w:val="16"/>
                <w:szCs w:val="16"/>
                <w:color w:val="auto"/>
              </w:rPr>
              <w:t>No</w:t>
            </w:r>
          </w:p>
        </w:tc>
      </w:tr>
      <w:tr>
        <w:trPr>
          <w:trHeight w:val="213"/>
        </w:trPr>
        <w:tc>
          <w:tcPr>
            <w:tcW w:w="4080" w:type="dxa"/>
            <w:vAlign w:val="bottom"/>
          </w:tcPr>
          <w:p>
            <w:pPr>
              <w:spacing w:after="0"/>
              <w:rPr>
                <w:sz w:val="18"/>
                <w:szCs w:val="18"/>
                <w:color w:val="auto"/>
              </w:rPr>
            </w:pPr>
          </w:p>
        </w:tc>
        <w:tc>
          <w:tcPr>
            <w:tcW w:w="100" w:type="dxa"/>
            <w:vAlign w:val="bottom"/>
            <w:shd w:val="clear" w:color="auto" w:fill="E8F0F8"/>
          </w:tcPr>
          <w:p>
            <w:pPr>
              <w:spacing w:after="0"/>
              <w:rPr>
                <w:sz w:val="18"/>
                <w:szCs w:val="18"/>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(Proposal 1)</w:t>
            </w:r>
          </w:p>
        </w:tc>
        <w:tc>
          <w:tcPr>
            <w:tcW w:w="2200" w:type="dxa"/>
            <w:vAlign w:val="bottom"/>
            <w:shd w:val="clear" w:color="auto" w:fill="E8F0F8"/>
          </w:tcPr>
          <w:p>
            <w:pPr>
              <w:spacing w:after="0"/>
              <w:rPr>
                <w:sz w:val="18"/>
                <w:szCs w:val="18"/>
                <w:color w:val="auto"/>
              </w:rPr>
            </w:pPr>
          </w:p>
        </w:tc>
        <w:tc>
          <w:tcPr>
            <w:tcW w:w="2440" w:type="dxa"/>
            <w:vAlign w:val="bottom"/>
            <w:shd w:val="clear" w:color="auto" w:fill="E8F0F8"/>
          </w:tcPr>
          <w:p>
            <w:pPr>
              <w:spacing w:after="0"/>
              <w:rPr>
                <w:sz w:val="18"/>
                <w:szCs w:val="18"/>
                <w:color w:val="auto"/>
              </w:rPr>
            </w:pPr>
          </w:p>
        </w:tc>
      </w:tr>
      <w:tr>
        <w:trPr>
          <w:trHeight w:val="300"/>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Ratification of PwC (Proposal</w:t>
            </w:r>
          </w:p>
        </w:tc>
        <w:tc>
          <w:tcPr>
            <w:tcW w:w="2200" w:type="dxa"/>
            <w:vAlign w:val="bottom"/>
            <w:shd w:val="clear" w:color="auto" w:fill="E8F0F8"/>
          </w:tcPr>
          <w:p>
            <w:pPr>
              <w:ind w:left="220"/>
              <w:spacing w:after="0"/>
              <w:rPr>
                <w:sz w:val="20"/>
                <w:szCs w:val="20"/>
                <w:color w:val="auto"/>
              </w:rPr>
            </w:pPr>
            <w:r>
              <w:rPr>
                <w:rFonts w:ascii="Arial" w:cs="Arial" w:eastAsia="Arial" w:hAnsi="Arial"/>
                <w:sz w:val="16"/>
                <w:szCs w:val="16"/>
                <w:color w:val="auto"/>
              </w:rPr>
              <w:t>Majority of Votes Cast</w:t>
            </w:r>
          </w:p>
        </w:tc>
        <w:tc>
          <w:tcPr>
            <w:tcW w:w="2440" w:type="dxa"/>
            <w:vAlign w:val="bottom"/>
            <w:shd w:val="clear" w:color="auto" w:fill="E8F0F8"/>
          </w:tcPr>
          <w:p>
            <w:pPr>
              <w:ind w:left="120"/>
              <w:spacing w:after="0"/>
              <w:rPr>
                <w:sz w:val="20"/>
                <w:szCs w:val="20"/>
                <w:color w:val="auto"/>
              </w:rPr>
            </w:pPr>
            <w:r>
              <w:rPr>
                <w:rFonts w:ascii="Arial" w:cs="Arial" w:eastAsia="Arial" w:hAnsi="Arial"/>
                <w:sz w:val="16"/>
                <w:szCs w:val="16"/>
                <w:color w:val="auto"/>
              </w:rPr>
              <w:t>Yes</w:t>
            </w:r>
          </w:p>
        </w:tc>
      </w:tr>
      <w:tr>
        <w:trPr>
          <w:trHeight w:val="207"/>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2)</w:t>
            </w:r>
          </w:p>
        </w:tc>
        <w:tc>
          <w:tcPr>
            <w:tcW w:w="2200" w:type="dxa"/>
            <w:vAlign w:val="bottom"/>
            <w:shd w:val="clear" w:color="auto" w:fill="E8F0F8"/>
          </w:tcPr>
          <w:p>
            <w:pPr>
              <w:spacing w:after="0"/>
              <w:rPr>
                <w:sz w:val="17"/>
                <w:szCs w:val="17"/>
                <w:color w:val="auto"/>
              </w:rPr>
            </w:pPr>
          </w:p>
        </w:tc>
        <w:tc>
          <w:tcPr>
            <w:tcW w:w="2440" w:type="dxa"/>
            <w:vAlign w:val="bottom"/>
            <w:shd w:val="clear" w:color="auto" w:fill="E8F0F8"/>
          </w:tcPr>
          <w:p>
            <w:pPr>
              <w:spacing w:after="0"/>
              <w:rPr>
                <w:sz w:val="17"/>
                <w:szCs w:val="17"/>
                <w:color w:val="auto"/>
              </w:rPr>
            </w:pPr>
          </w:p>
        </w:tc>
      </w:tr>
      <w:tr>
        <w:trPr>
          <w:trHeight w:val="306"/>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Advisory Vote on Executive</w:t>
            </w:r>
          </w:p>
        </w:tc>
        <w:tc>
          <w:tcPr>
            <w:tcW w:w="2200" w:type="dxa"/>
            <w:vAlign w:val="bottom"/>
            <w:shd w:val="clear" w:color="auto" w:fill="E8F0F8"/>
          </w:tcPr>
          <w:p>
            <w:pPr>
              <w:ind w:left="240"/>
              <w:spacing w:after="0"/>
              <w:rPr>
                <w:sz w:val="20"/>
                <w:szCs w:val="20"/>
                <w:color w:val="auto"/>
              </w:rPr>
            </w:pPr>
            <w:r>
              <w:rPr>
                <w:rFonts w:ascii="Arial" w:cs="Arial" w:eastAsia="Arial" w:hAnsi="Arial"/>
                <w:sz w:val="16"/>
                <w:szCs w:val="16"/>
                <w:color w:val="auto"/>
              </w:rPr>
              <w:t>Not Applicable**</w:t>
            </w:r>
          </w:p>
        </w:tc>
        <w:tc>
          <w:tcPr>
            <w:tcW w:w="2440" w:type="dxa"/>
            <w:vAlign w:val="bottom"/>
            <w:shd w:val="clear" w:color="auto" w:fill="E8F0F8"/>
          </w:tcPr>
          <w:p>
            <w:pPr>
              <w:ind w:left="120"/>
              <w:spacing w:after="0"/>
              <w:rPr>
                <w:sz w:val="20"/>
                <w:szCs w:val="20"/>
                <w:color w:val="auto"/>
              </w:rPr>
            </w:pPr>
            <w:r>
              <w:rPr>
                <w:rFonts w:ascii="Arial" w:cs="Arial" w:eastAsia="Arial" w:hAnsi="Arial"/>
                <w:sz w:val="16"/>
                <w:szCs w:val="16"/>
                <w:color w:val="auto"/>
              </w:rPr>
              <w:t>No</w:t>
            </w:r>
          </w:p>
        </w:tc>
      </w:tr>
      <w:tr>
        <w:trPr>
          <w:trHeight w:val="207"/>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Compensation (Proposal 3)</w:t>
            </w:r>
          </w:p>
        </w:tc>
        <w:tc>
          <w:tcPr>
            <w:tcW w:w="2200" w:type="dxa"/>
            <w:vAlign w:val="bottom"/>
            <w:shd w:val="clear" w:color="auto" w:fill="E8F0F8"/>
          </w:tcPr>
          <w:p>
            <w:pPr>
              <w:spacing w:after="0"/>
              <w:rPr>
                <w:sz w:val="17"/>
                <w:szCs w:val="17"/>
                <w:color w:val="auto"/>
              </w:rPr>
            </w:pPr>
          </w:p>
        </w:tc>
        <w:tc>
          <w:tcPr>
            <w:tcW w:w="2440" w:type="dxa"/>
            <w:vAlign w:val="bottom"/>
            <w:shd w:val="clear" w:color="auto" w:fill="E8F0F8"/>
          </w:tcPr>
          <w:p>
            <w:pPr>
              <w:spacing w:after="0"/>
              <w:rPr>
                <w:sz w:val="17"/>
                <w:szCs w:val="17"/>
                <w:color w:val="auto"/>
              </w:rPr>
            </w:pPr>
          </w:p>
        </w:tc>
      </w:tr>
      <w:tr>
        <w:trPr>
          <w:trHeight w:val="320"/>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Advisory Vote on Frequency</w:t>
            </w:r>
          </w:p>
        </w:tc>
        <w:tc>
          <w:tcPr>
            <w:tcW w:w="2200" w:type="dxa"/>
            <w:vAlign w:val="bottom"/>
            <w:shd w:val="clear" w:color="auto" w:fill="E8F0F8"/>
          </w:tcPr>
          <w:p>
            <w:pPr>
              <w:ind w:left="240"/>
              <w:spacing w:after="0"/>
              <w:rPr>
                <w:sz w:val="20"/>
                <w:szCs w:val="20"/>
                <w:color w:val="auto"/>
              </w:rPr>
            </w:pPr>
            <w:r>
              <w:rPr>
                <w:rFonts w:ascii="Arial" w:cs="Arial" w:eastAsia="Arial" w:hAnsi="Arial"/>
                <w:sz w:val="16"/>
                <w:szCs w:val="16"/>
                <w:color w:val="auto"/>
              </w:rPr>
              <w:t>Not Applicable***</w:t>
            </w:r>
          </w:p>
        </w:tc>
        <w:tc>
          <w:tcPr>
            <w:tcW w:w="2440" w:type="dxa"/>
            <w:vAlign w:val="bottom"/>
            <w:shd w:val="clear" w:color="auto" w:fill="E8F0F8"/>
          </w:tcPr>
          <w:p>
            <w:pPr>
              <w:ind w:left="120"/>
              <w:spacing w:after="0"/>
              <w:rPr>
                <w:sz w:val="20"/>
                <w:szCs w:val="20"/>
                <w:color w:val="auto"/>
              </w:rPr>
            </w:pPr>
            <w:r>
              <w:rPr>
                <w:rFonts w:ascii="Arial" w:cs="Arial" w:eastAsia="Arial" w:hAnsi="Arial"/>
                <w:sz w:val="16"/>
                <w:szCs w:val="16"/>
                <w:color w:val="auto"/>
              </w:rPr>
              <w:t>No</w:t>
            </w:r>
          </w:p>
        </w:tc>
      </w:tr>
      <w:tr>
        <w:trPr>
          <w:trHeight w:val="189"/>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of Advisory Votes on</w:t>
            </w:r>
          </w:p>
        </w:tc>
        <w:tc>
          <w:tcPr>
            <w:tcW w:w="2200" w:type="dxa"/>
            <w:vAlign w:val="bottom"/>
            <w:shd w:val="clear" w:color="auto" w:fill="E8F0F8"/>
          </w:tcPr>
          <w:p>
            <w:pPr>
              <w:spacing w:after="0"/>
              <w:rPr>
                <w:sz w:val="16"/>
                <w:szCs w:val="16"/>
                <w:color w:val="auto"/>
              </w:rPr>
            </w:pPr>
          </w:p>
        </w:tc>
        <w:tc>
          <w:tcPr>
            <w:tcW w:w="2440" w:type="dxa"/>
            <w:vAlign w:val="bottom"/>
            <w:shd w:val="clear" w:color="auto" w:fill="E8F0F8"/>
          </w:tcPr>
          <w:p>
            <w:pPr>
              <w:spacing w:after="0"/>
              <w:rPr>
                <w:sz w:val="16"/>
                <w:szCs w:val="16"/>
                <w:color w:val="auto"/>
              </w:rPr>
            </w:pPr>
          </w:p>
        </w:tc>
      </w:tr>
      <w:tr>
        <w:trPr>
          <w:trHeight w:val="189"/>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Executive Compensation</w:t>
            </w:r>
          </w:p>
        </w:tc>
        <w:tc>
          <w:tcPr>
            <w:tcW w:w="2200" w:type="dxa"/>
            <w:vAlign w:val="bottom"/>
            <w:shd w:val="clear" w:color="auto" w:fill="E8F0F8"/>
          </w:tcPr>
          <w:p>
            <w:pPr>
              <w:spacing w:after="0"/>
              <w:rPr>
                <w:sz w:val="16"/>
                <w:szCs w:val="16"/>
                <w:color w:val="auto"/>
              </w:rPr>
            </w:pPr>
          </w:p>
        </w:tc>
        <w:tc>
          <w:tcPr>
            <w:tcW w:w="2440" w:type="dxa"/>
            <w:vAlign w:val="bottom"/>
            <w:shd w:val="clear" w:color="auto" w:fill="E8F0F8"/>
          </w:tcPr>
          <w:p>
            <w:pPr>
              <w:spacing w:after="0"/>
              <w:rPr>
                <w:sz w:val="16"/>
                <w:szCs w:val="16"/>
                <w:color w:val="auto"/>
              </w:rPr>
            </w:pPr>
          </w:p>
        </w:tc>
      </w:tr>
      <w:tr>
        <w:trPr>
          <w:trHeight w:val="207"/>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(Proposal 4)</w:t>
            </w:r>
          </w:p>
        </w:tc>
        <w:tc>
          <w:tcPr>
            <w:tcW w:w="2200" w:type="dxa"/>
            <w:vAlign w:val="bottom"/>
            <w:shd w:val="clear" w:color="auto" w:fill="E8F0F8"/>
          </w:tcPr>
          <w:p>
            <w:pPr>
              <w:spacing w:after="0"/>
              <w:rPr>
                <w:sz w:val="17"/>
                <w:szCs w:val="17"/>
                <w:color w:val="auto"/>
              </w:rPr>
            </w:pPr>
          </w:p>
        </w:tc>
        <w:tc>
          <w:tcPr>
            <w:tcW w:w="2440" w:type="dxa"/>
            <w:vAlign w:val="bottom"/>
            <w:shd w:val="clear" w:color="auto" w:fill="E8F0F8"/>
          </w:tcPr>
          <w:p>
            <w:pPr>
              <w:spacing w:after="0"/>
              <w:rPr>
                <w:sz w:val="17"/>
                <w:szCs w:val="17"/>
                <w:color w:val="auto"/>
              </w:rPr>
            </w:pPr>
          </w:p>
        </w:tc>
      </w:tr>
      <w:tr>
        <w:trPr>
          <w:trHeight w:val="306"/>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Election of Susan K.</w:t>
            </w:r>
          </w:p>
        </w:tc>
        <w:tc>
          <w:tcPr>
            <w:tcW w:w="2200" w:type="dxa"/>
            <w:vAlign w:val="bottom"/>
            <w:shd w:val="clear" w:color="auto" w:fill="E8F0F8"/>
          </w:tcPr>
          <w:p>
            <w:pPr>
              <w:ind w:left="240"/>
              <w:spacing w:after="0"/>
              <w:rPr>
                <w:sz w:val="20"/>
                <w:szCs w:val="20"/>
                <w:color w:val="auto"/>
              </w:rPr>
            </w:pPr>
            <w:r>
              <w:rPr>
                <w:rFonts w:ascii="Arial" w:cs="Arial" w:eastAsia="Arial" w:hAnsi="Arial"/>
                <w:sz w:val="16"/>
                <w:szCs w:val="16"/>
                <w:color w:val="auto"/>
              </w:rPr>
              <w:t>Majority of Votes Cast</w:t>
            </w:r>
          </w:p>
        </w:tc>
        <w:tc>
          <w:tcPr>
            <w:tcW w:w="2440" w:type="dxa"/>
            <w:vAlign w:val="bottom"/>
            <w:shd w:val="clear" w:color="auto" w:fill="E8F0F8"/>
          </w:tcPr>
          <w:p>
            <w:pPr>
              <w:ind w:left="120"/>
              <w:spacing w:after="0"/>
              <w:rPr>
                <w:sz w:val="20"/>
                <w:szCs w:val="20"/>
                <w:color w:val="auto"/>
              </w:rPr>
            </w:pPr>
            <w:r>
              <w:rPr>
                <w:rFonts w:ascii="Arial" w:cs="Arial" w:eastAsia="Arial" w:hAnsi="Arial"/>
                <w:sz w:val="16"/>
                <w:szCs w:val="16"/>
                <w:color w:val="auto"/>
              </w:rPr>
              <w:t>No</w:t>
            </w:r>
          </w:p>
        </w:tc>
      </w:tr>
      <w:tr>
        <w:trPr>
          <w:trHeight w:val="189"/>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Langer as a Director</w:t>
            </w:r>
          </w:p>
        </w:tc>
        <w:tc>
          <w:tcPr>
            <w:tcW w:w="2200" w:type="dxa"/>
            <w:vAlign w:val="bottom"/>
            <w:shd w:val="clear" w:color="auto" w:fill="E8F0F8"/>
          </w:tcPr>
          <w:p>
            <w:pPr>
              <w:spacing w:after="0"/>
              <w:rPr>
                <w:sz w:val="16"/>
                <w:szCs w:val="16"/>
                <w:color w:val="auto"/>
              </w:rPr>
            </w:pPr>
          </w:p>
        </w:tc>
        <w:tc>
          <w:tcPr>
            <w:tcW w:w="2440" w:type="dxa"/>
            <w:vAlign w:val="bottom"/>
            <w:shd w:val="clear" w:color="auto" w:fill="E8F0F8"/>
          </w:tcPr>
          <w:p>
            <w:pPr>
              <w:spacing w:after="0"/>
              <w:rPr>
                <w:sz w:val="16"/>
                <w:szCs w:val="16"/>
                <w:color w:val="auto"/>
              </w:rPr>
            </w:pPr>
          </w:p>
        </w:tc>
      </w:tr>
      <w:tr>
        <w:trPr>
          <w:trHeight w:val="213"/>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shd w:val="clear" w:color="auto" w:fill="E8F0F8"/>
          </w:tcPr>
          <w:p>
            <w:pPr>
              <w:spacing w:after="0"/>
              <w:rPr>
                <w:sz w:val="20"/>
                <w:szCs w:val="20"/>
                <w:color w:val="auto"/>
              </w:rPr>
            </w:pPr>
            <w:r>
              <w:rPr>
                <w:rFonts w:ascii="Arial" w:cs="Arial" w:eastAsia="Arial" w:hAnsi="Arial"/>
                <w:sz w:val="16"/>
                <w:szCs w:val="16"/>
                <w:color w:val="auto"/>
              </w:rPr>
              <w:t>(Proposal 5)</w:t>
            </w:r>
          </w:p>
        </w:tc>
        <w:tc>
          <w:tcPr>
            <w:tcW w:w="2200" w:type="dxa"/>
            <w:vAlign w:val="bottom"/>
            <w:shd w:val="clear" w:color="auto" w:fill="E8F0F8"/>
          </w:tcPr>
          <w:p>
            <w:pPr>
              <w:spacing w:after="0"/>
              <w:rPr>
                <w:sz w:val="18"/>
                <w:szCs w:val="18"/>
                <w:color w:val="auto"/>
              </w:rPr>
            </w:pPr>
          </w:p>
        </w:tc>
        <w:tc>
          <w:tcPr>
            <w:tcW w:w="2440" w:type="dxa"/>
            <w:vAlign w:val="bottom"/>
            <w:shd w:val="clear" w:color="auto" w:fill="E8F0F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-1962785</wp:posOffset>
            </wp:positionV>
            <wp:extent cx="4406265" cy="4123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06265" cy="4123690"/>
                    </a:xfrm>
                    <a:prstGeom prst="rect">
                      <a:avLst/>
                    </a:prstGeom>
                    <a:noFill/>
                  </pic:spPr>
                </pic:pic>
              </a:graphicData>
            </a:graphic>
          </wp:anchor>
        </w:drawing>
      </w:r>
    </w:p>
    <w:p>
      <w:pPr>
        <w:spacing w:after="0" w:line="91" w:lineRule="exact"/>
        <w:rPr>
          <w:sz w:val="20"/>
          <w:szCs w:val="20"/>
          <w:color w:val="auto"/>
        </w:rPr>
      </w:pPr>
    </w:p>
    <w:p>
      <w:pPr>
        <w:jc w:val="both"/>
        <w:ind w:left="4400" w:hanging="214"/>
        <w:spacing w:after="0" w:line="251" w:lineRule="auto"/>
        <w:rPr>
          <w:sz w:val="20"/>
          <w:szCs w:val="20"/>
          <w:color w:val="auto"/>
        </w:rPr>
      </w:pPr>
      <w:r>
        <w:rPr>
          <w:rFonts w:ascii="Arial" w:cs="Arial" w:eastAsia="Arial" w:hAnsi="Arial"/>
          <w:sz w:val="16"/>
          <w:szCs w:val="16"/>
          <w:color w:val="auto"/>
        </w:rPr>
        <w:t>*   Any nominee who does not receive a majority of votes cast “for” his or her election would be required to tender his or her resignation promptly following the failure to receive the required votes. the Board (excluding the director in question) shall, within ninety (90) days after certification of the election results, decide whether to accept the director’s resignation, taking into account such factors as it deems relevant. The Board shall promptly disclose its decision and, if applicable, the reasons for rejecting the resignation in a filing with the Securities and Exchange Commission.</w:t>
      </w:r>
    </w:p>
    <w:p>
      <w:pPr>
        <w:spacing w:after="0" w:line="98" w:lineRule="exact"/>
        <w:rPr>
          <w:sz w:val="20"/>
          <w:szCs w:val="20"/>
          <w:color w:val="auto"/>
        </w:rPr>
      </w:pPr>
    </w:p>
    <w:p>
      <w:pPr>
        <w:jc w:val="both"/>
        <w:ind w:left="4400" w:hanging="214"/>
        <w:spacing w:after="0" w:line="276" w:lineRule="auto"/>
        <w:rPr>
          <w:sz w:val="20"/>
          <w:szCs w:val="20"/>
          <w:color w:val="auto"/>
        </w:rPr>
      </w:pPr>
      <w:r>
        <w:rPr>
          <w:rFonts w:ascii="Arial" w:cs="Arial" w:eastAsia="Arial" w:hAnsi="Arial"/>
          <w:sz w:val="16"/>
          <w:szCs w:val="16"/>
          <w:color w:val="auto"/>
        </w:rPr>
        <w:t>** Because the Advisory Vote on Executive Compensation asks for a non-binding, advisory vote, there is no “required vote” that would constitute approval.</w:t>
      </w:r>
    </w:p>
    <w:p>
      <w:pPr>
        <w:spacing w:after="0" w:line="76" w:lineRule="exact"/>
        <w:rPr>
          <w:sz w:val="20"/>
          <w:szCs w:val="20"/>
          <w:color w:val="auto"/>
        </w:rPr>
      </w:pPr>
    </w:p>
    <w:p>
      <w:pPr>
        <w:jc w:val="both"/>
        <w:ind w:left="4400" w:hanging="214"/>
        <w:spacing w:after="0" w:line="268" w:lineRule="auto"/>
        <w:rPr>
          <w:sz w:val="20"/>
          <w:szCs w:val="20"/>
          <w:color w:val="auto"/>
        </w:rPr>
      </w:pPr>
      <w:r>
        <w:rPr>
          <w:rFonts w:ascii="Arial" w:cs="Arial" w:eastAsia="Arial" w:hAnsi="Arial"/>
          <w:sz w:val="16"/>
          <w:szCs w:val="16"/>
          <w:color w:val="auto"/>
        </w:rPr>
        <w:t>*** Because the Advisory Vote on Frequency of Advisory Votes on Executive Compensation calls for a non-binding, advisory vote, there is no “required vote” that would constitute approval.</w:t>
      </w:r>
    </w:p>
    <w:p>
      <w:pPr>
        <w:spacing w:after="0" w:line="278" w:lineRule="exact"/>
        <w:rPr>
          <w:sz w:val="20"/>
          <w:szCs w:val="20"/>
          <w:color w:val="auto"/>
        </w:rPr>
      </w:pPr>
    </w:p>
    <w:p>
      <w:pPr>
        <w:jc w:val="both"/>
        <w:ind w:left="4180"/>
        <w:spacing w:after="0" w:line="261" w:lineRule="auto"/>
        <w:rPr>
          <w:sz w:val="20"/>
          <w:szCs w:val="20"/>
          <w:color w:val="auto"/>
        </w:rPr>
      </w:pPr>
      <w:r>
        <w:rPr>
          <w:rFonts w:ascii="Arial" w:cs="Arial" w:eastAsia="Arial" w:hAnsi="Arial"/>
          <w:sz w:val="16"/>
          <w:szCs w:val="16"/>
          <w:color w:val="auto"/>
        </w:rPr>
        <w:t>Abstentions/Broker Non-Votes: If you abstain from voting or there is a broker non-vote in any matter, your abstention or broker nonvote will not affect the outcome of such vote, because abstentions and broker non-votes are not considered to be votes cast under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445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87" w:lineRule="exact"/>
        <w:rPr>
          <w:sz w:val="20"/>
          <w:szCs w:val="20"/>
          <w:color w:val="auto"/>
        </w:rPr>
      </w:pPr>
    </w:p>
    <w:p>
      <w:pPr>
        <w:spacing w:after="0"/>
        <w:tabs>
          <w:tab w:leader="none" w:pos="4160" w:val="left"/>
        </w:tabs>
        <w:rPr>
          <w:sz w:val="20"/>
          <w:szCs w:val="20"/>
          <w:color w:val="auto"/>
        </w:rPr>
      </w:pPr>
      <w:r>
        <w:rPr>
          <w:rFonts w:ascii="Arial" w:cs="Arial" w:eastAsia="Arial" w:hAnsi="Arial"/>
          <w:sz w:val="16"/>
          <w:szCs w:val="16"/>
          <w:b w:val="1"/>
          <w:bCs w:val="1"/>
          <w:i w:val="1"/>
          <w:iCs w:val="1"/>
          <w:color w:val="1A6DBB"/>
        </w:rPr>
        <w:t>Are there other matters to be voted on at the Annual</w:t>
      </w:r>
      <w:r>
        <w:rPr>
          <w:sz w:val="20"/>
          <w:szCs w:val="20"/>
          <w:color w:val="auto"/>
        </w:rPr>
        <w:tab/>
      </w:r>
      <w:r>
        <w:rPr>
          <w:rFonts w:ascii="Arial" w:cs="Arial" w:eastAsia="Arial" w:hAnsi="Arial"/>
          <w:sz w:val="16"/>
          <w:szCs w:val="16"/>
          <w:color w:val="auto"/>
        </w:rPr>
        <w:t>We do not know of any other matters that may come before the Annual Meeting. If any other</w:t>
      </w:r>
    </w:p>
    <w:p>
      <w:pPr>
        <w:spacing w:after="0" w:line="25" w:lineRule="exact"/>
        <w:rPr>
          <w:sz w:val="20"/>
          <w:szCs w:val="20"/>
          <w:color w:val="auto"/>
        </w:rPr>
      </w:pPr>
    </w:p>
    <w:p>
      <w:pPr>
        <w:ind w:left="4180" w:hanging="4179"/>
        <w:spacing w:after="0" w:line="260" w:lineRule="auto"/>
        <w:tabs>
          <w:tab w:leader="none" w:pos="4160" w:val="left"/>
        </w:tabs>
        <w:rPr>
          <w:sz w:val="20"/>
          <w:szCs w:val="20"/>
          <w:color w:val="auto"/>
        </w:rPr>
      </w:pPr>
      <w:r>
        <w:rPr>
          <w:rFonts w:ascii="Arial" w:cs="Arial" w:eastAsia="Arial" w:hAnsi="Arial"/>
          <w:sz w:val="16"/>
          <w:szCs w:val="16"/>
          <w:b w:val="1"/>
          <w:bCs w:val="1"/>
          <w:i w:val="1"/>
          <w:iCs w:val="1"/>
          <w:color w:val="1A6DBB"/>
        </w:rPr>
        <w:t>Meeting?</w:t>
      </w:r>
      <w:r>
        <w:rPr>
          <w:sz w:val="20"/>
          <w:szCs w:val="20"/>
          <w:color w:val="auto"/>
        </w:rPr>
        <w:tab/>
      </w:r>
      <w:r>
        <w:rPr>
          <w:rFonts w:ascii="Arial" w:cs="Arial" w:eastAsia="Arial" w:hAnsi="Arial"/>
          <w:sz w:val="16"/>
          <w:szCs w:val="16"/>
          <w:color w:val="auto"/>
        </w:rPr>
        <w:t>matters are properly presented at the Annual Meeting, your proxy authorizes the individuals named as proxies to vote, or otherwise act, in accordance with their best judgment.</w:t>
      </w:r>
    </w:p>
    <w:p>
      <w:pPr>
        <w:spacing w:after="0" w:line="193" w:lineRule="exact"/>
        <w:rPr>
          <w:sz w:val="20"/>
          <w:szCs w:val="20"/>
          <w:color w:val="auto"/>
        </w:rPr>
      </w:pPr>
    </w:p>
    <w:p>
      <w:pPr>
        <w:ind w:left="8060"/>
        <w:spacing w:after="0"/>
        <w:rPr>
          <w:sz w:val="20"/>
          <w:szCs w:val="20"/>
          <w:color w:val="auto"/>
        </w:rPr>
      </w:pPr>
      <w:r>
        <w:rPr>
          <w:sz w:val="1"/>
          <w:szCs w:val="1"/>
          <w:color w:val="auto"/>
        </w:rPr>
        <w:drawing>
          <wp:inline distT="0" distB="0" distL="0" distR="0">
            <wp:extent cx="420370" cy="137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 -13-</w:t>
      </w:r>
    </w:p>
    <w:p>
      <w:pPr>
        <w:sectPr>
          <w:pgSz w:w="11900" w:h="16838" w:orient="portrait"/>
          <w:cols w:equalWidth="0" w:num="1">
            <w:col w:w="11020"/>
          </w:cols>
          <w:pgMar w:left="440" w:top="1274" w:right="439" w:bottom="1440" w:gutter="0" w:footer="0" w:header="0"/>
        </w:sectPr>
      </w:pPr>
    </w:p>
    <w:bookmarkStart w:id="21" w:name="page22"/>
    <w:bookmarkEnd w:id="21"/>
    <w:p>
      <w:pPr>
        <w:spacing w:after="0"/>
        <w:rPr>
          <w:sz w:val="20"/>
          <w:szCs w:val="20"/>
          <w:color w:val="auto"/>
        </w:rPr>
      </w:pPr>
      <w:r>
        <w:rPr>
          <w:rFonts w:ascii="Arial" w:cs="Arial" w:eastAsia="Arial" w:hAnsi="Arial"/>
          <w:sz w:val="41"/>
          <w:szCs w:val="41"/>
          <w:color w:val="1A6DBB"/>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525780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t xml:space="preserve">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40119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4011930"/>
                    </a:xfrm>
                    <a:prstGeom prst="rect">
                      <a:avLst/>
                    </a:prstGeom>
                    <a:noFill/>
                  </pic:spPr>
                </pic:pic>
              </a:graphicData>
            </a:graphic>
          </wp:anchor>
        </w:drawing>
      </w:r>
    </w:p>
    <w:p>
      <w:pPr>
        <w:sectPr>
          <w:pgSz w:w="11900" w:h="16838" w:orient="portrait"/>
          <w:cols w:equalWidth="0" w:num="1">
            <w:col w:w="11020"/>
          </w:cols>
          <w:pgMar w:left="440" w:top="1274" w:right="439" w:bottom="1440" w:gutter="0" w:footer="0" w:header="0"/>
        </w:sectPr>
      </w:pPr>
    </w:p>
    <w:p>
      <w:pPr>
        <w:spacing w:after="0" w:line="320"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i w:val="1"/>
          <w:iCs w:val="1"/>
          <w:color w:val="1A6DBB"/>
        </w:rPr>
        <w:t>Why did I receive a one-page notice in the mail regarding the Internet availability of proxy materials instead of a full set of proxy materials?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We have elected to provide access to our proxy materials on the Internet, consistent with the rules of the SEC. Accordingly, in most instances we mailed a Notice of Internet Availability of Proxy Materials to our stockholders. This Revised Proxy is being mailed to our stockholders of record as of April 20, 2023, the record date for the Annual Meeting, and will also be made available on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 amended proxy card is also being mailed together with this Revised Proxy. For ten days before the Annual Meeting, a list of stockholders entitled to vote will be available for inspection at our offices located at 225 Binney Street, Cambridge, Massachusetts 02142 and will also be available for examination during the Annual Meeting at </w:t>
      </w:r>
      <w:r>
        <w:rPr>
          <w:rFonts w:ascii="Arial" w:cs="Arial" w:eastAsia="Arial" w:hAnsi="Arial"/>
          <w:sz w:val="16"/>
          <w:szCs w:val="16"/>
          <w:u w:val="single" w:color="auto"/>
          <w:color w:val="auto"/>
        </w:rPr>
        <w:t>www.virtualshareholdermeeting.com/BIIB2023</w:t>
      </w:r>
      <w:r>
        <w:rPr>
          <w:rFonts w:ascii="Arial" w:cs="Arial" w:eastAsia="Arial" w:hAnsi="Arial"/>
          <w:sz w:val="16"/>
          <w:szCs w:val="16"/>
          <w:color w:val="auto"/>
        </w:rPr>
        <w:t>. If you would like to review the list, please call our Investor Relations department at (781) 464-2442.</w:t>
      </w:r>
    </w:p>
    <w:p>
      <w:pPr>
        <w:spacing w:after="0" w:line="95" w:lineRule="exact"/>
        <w:rPr>
          <w:sz w:val="20"/>
          <w:szCs w:val="20"/>
          <w:color w:val="auto"/>
        </w:rPr>
      </w:pPr>
    </w:p>
    <w:p>
      <w:pPr>
        <w:sectPr>
          <w:pgSz w:w="11900" w:h="16838" w:orient="portrait"/>
          <w:cols w:equalWidth="0" w:num="2">
            <w:col w:w="3580" w:space="280"/>
            <w:col w:w="7160"/>
          </w:cols>
          <w:pgMar w:left="440" w:top="1274" w:right="439" w:bottom="1440" w:gutter="0" w:footer="0" w:header="0"/>
          <w:type w:val="continuous"/>
        </w:sectPr>
      </w:pPr>
    </w:p>
    <w:p>
      <w:pPr>
        <w:spacing w:after="0" w:line="265" w:lineRule="auto"/>
        <w:rPr>
          <w:sz w:val="20"/>
          <w:szCs w:val="20"/>
          <w:color w:val="auto"/>
        </w:rPr>
      </w:pPr>
      <w:r>
        <w:rPr>
          <w:rFonts w:ascii="Arial" w:cs="Arial" w:eastAsia="Arial" w:hAnsi="Arial"/>
          <w:sz w:val="16"/>
          <w:szCs w:val="16"/>
          <w:b w:val="1"/>
          <w:bCs w:val="1"/>
          <w:i w:val="1"/>
          <w:iCs w:val="1"/>
          <w:color w:val="1A6DBB"/>
        </w:rPr>
        <w:t>What does it mean if I receive more than one notice regarding the Internet availability of proxy materials or more than one set of printed proxy materials?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6"/>
          <w:szCs w:val="16"/>
          <w:color w:val="auto"/>
        </w:rPr>
        <w:t>If you hold your shares in more than one account, you may receive a separate Notice of Internet Availability of Proxy Materials or a separate set of printed proxy materials, including a separate proxy card or voting instruction form, for each account. To ensure that all of your shares are voted, please vote by telephone or by Internet or sign, date and return a proxy card or voting instruction form for each account.</w:t>
      </w:r>
    </w:p>
    <w:p>
      <w:pPr>
        <w:spacing w:after="0" w:line="102" w:lineRule="exact"/>
        <w:rPr>
          <w:sz w:val="20"/>
          <w:szCs w:val="20"/>
          <w:color w:val="auto"/>
        </w:rPr>
      </w:pPr>
    </w:p>
    <w:p>
      <w:pPr>
        <w:sectPr>
          <w:pgSz w:w="11900" w:h="16838" w:orient="portrait"/>
          <w:cols w:equalWidth="0" w:num="2">
            <w:col w:w="3420" w:space="440"/>
            <w:col w:w="7160"/>
          </w:cols>
          <w:pgMar w:left="440" w:top="1274" w:right="439" w:bottom="1440" w:gutter="0" w:footer="0" w:header="0"/>
          <w:type w:val="continuous"/>
        </w:sectPr>
      </w:pPr>
    </w:p>
    <w:p>
      <w:pPr>
        <w:ind w:right="100"/>
        <w:spacing w:after="0" w:line="302" w:lineRule="auto"/>
        <w:rPr>
          <w:sz w:val="20"/>
          <w:szCs w:val="20"/>
          <w:color w:val="auto"/>
        </w:rPr>
      </w:pPr>
      <w:r>
        <w:rPr>
          <w:rFonts w:ascii="Arial" w:cs="Arial" w:eastAsia="Arial" w:hAnsi="Arial"/>
          <w:sz w:val="16"/>
          <w:szCs w:val="16"/>
          <w:b w:val="1"/>
          <w:bCs w:val="1"/>
          <w:i w:val="1"/>
          <w:iCs w:val="1"/>
          <w:color w:val="1A6DBB"/>
        </w:rPr>
        <w:t>Where do I find the voting results of the Annual Meeting?</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6"/>
          <w:szCs w:val="16"/>
          <w:color w:val="auto"/>
        </w:rPr>
        <w:t xml:space="preserve">We will publish the voting results of the Annual Meeting in a Current Report on Form 8-K filed with the SEC within four business days after the end of the Annual Meeting. You may request a copy of this Form 8-K by contacting Investor Relations, Biogen Inc., 225 Binney Street, Cambridge, Massachusetts 02142, (781) 464-2442. You will also be able to find a copy of this Form 8-K on the Internet through the SEC’s electronic data system, called EDGAR,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xml:space="preserve"> under the “Financials” subsection of the “Investors” section of the website</w:t>
      </w:r>
      <w:r>
        <w:rPr>
          <w:rFonts w:ascii="Arial" w:cs="Arial" w:eastAsia="Arial" w:hAnsi="Arial"/>
          <w:sz w:val="16"/>
          <w:szCs w:val="16"/>
          <w:i w:val="1"/>
          <w:iCs w:val="1"/>
          <w:color w:val="auto"/>
        </w:rPr>
        <w:t>.</w:t>
      </w:r>
    </w:p>
    <w:p>
      <w:pPr>
        <w:spacing w:after="0" w:line="90" w:lineRule="exact"/>
        <w:rPr>
          <w:sz w:val="20"/>
          <w:szCs w:val="20"/>
          <w:color w:val="auto"/>
        </w:rPr>
      </w:pPr>
    </w:p>
    <w:p>
      <w:pPr>
        <w:sectPr>
          <w:pgSz w:w="11900" w:h="16838" w:orient="portrait"/>
          <w:cols w:equalWidth="0" w:num="2">
            <w:col w:w="3140" w:space="720"/>
            <w:col w:w="7160"/>
          </w:cols>
          <w:pgMar w:left="440" w:top="1274" w:right="43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1A6DBB"/>
        </w:rPr>
        <w:t>Who should I call if I have any questions?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Arial" w:cs="Arial" w:eastAsia="Arial" w:hAnsi="Arial"/>
          <w:sz w:val="16"/>
          <w:szCs w:val="16"/>
          <w:color w:val="auto"/>
        </w:rPr>
        <w:t>If you have any questions or require any assistance with voting your shares, please contact the bank, broker or other nominee holding your shares, or our Investor Relations department at (781) 464-2442.</w:t>
      </w:r>
    </w:p>
    <w:p>
      <w:pPr>
        <w:spacing w:after="0" w:line="94" w:lineRule="exact"/>
        <w:rPr>
          <w:sz w:val="20"/>
          <w:szCs w:val="20"/>
          <w:color w:val="auto"/>
        </w:rPr>
      </w:pPr>
    </w:p>
    <w:p>
      <w:pPr>
        <w:sectPr>
          <w:pgSz w:w="11900" w:h="16838" w:orient="portrait"/>
          <w:cols w:equalWidth="0" w:num="2">
            <w:col w:w="3220" w:space="640"/>
            <w:col w:w="7160"/>
          </w:cols>
          <w:pgMar w:left="440" w:top="1274" w:right="439" w:bottom="1440" w:gutter="0" w:footer="0" w:header="0"/>
          <w:type w:val="continuous"/>
        </w:sectPr>
      </w:pPr>
    </w:p>
    <w:p>
      <w:pPr>
        <w:spacing w:after="0" w:line="274" w:lineRule="auto"/>
        <w:rPr>
          <w:sz w:val="20"/>
          <w:szCs w:val="20"/>
          <w:color w:val="auto"/>
        </w:rPr>
      </w:pPr>
      <w:r>
        <w:rPr>
          <w:rFonts w:ascii="Arial" w:cs="Arial" w:eastAsia="Arial" w:hAnsi="Arial"/>
          <w:sz w:val="16"/>
          <w:szCs w:val="16"/>
          <w:b w:val="1"/>
          <w:bCs w:val="1"/>
          <w:i w:val="1"/>
          <w:iCs w:val="1"/>
          <w:color w:val="1A6DBB"/>
        </w:rPr>
        <w:t>Who do I contact if I experience technical difficulties trying to access or during the Annual Meeting?</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6"/>
          <w:szCs w:val="16"/>
          <w:color w:val="auto"/>
        </w:rPr>
        <w:t>If you have technical difficulties when accessing the Annual Meeting, there will be technicians available to assist you. If you encounter any technical difficulties accessing the virtual meeting during the check-in or meeting time, please call the technical support number that will be posted on the Annual Meeting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22225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180" w:space="680"/>
            <w:col w:w="7160"/>
          </w:cols>
          <w:pgMar w:left="440" w:top="1274" w:right="439" w:bottom="1440" w:gutter="0" w:footer="0" w:header="0"/>
          <w:type w:val="continuous"/>
        </w:sectPr>
      </w:pPr>
    </w:p>
    <w:p>
      <w:pPr>
        <w:ind w:left="8060"/>
        <w:spacing w:after="0"/>
        <w:rPr>
          <w:sz w:val="20"/>
          <w:szCs w:val="20"/>
          <w:color w:val="auto"/>
        </w:rPr>
      </w:pPr>
      <w:r>
        <w:rPr>
          <w:sz w:val="1"/>
          <w:szCs w:val="1"/>
          <w:color w:val="auto"/>
        </w:rPr>
        <w:drawing>
          <wp:inline distT="0" distB="0" distL="0" distR="0">
            <wp:extent cx="42037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 -14-</w:t>
      </w:r>
    </w:p>
    <w:p>
      <w:pPr>
        <w:sectPr>
          <w:pgSz w:w="11900" w:h="16838" w:orient="portrait"/>
          <w:cols w:equalWidth="0" w:num="1">
            <w:col w:w="11020"/>
          </w:cols>
          <w:pgMar w:left="440" w:top="1274"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41"/>
          <w:szCs w:val="41"/>
          <w:color w:val="1A6DBB"/>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OTHER MATTERS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than as set forth above, no items presented in the Proxy Statement are affected by this Revised Proxy, and you should carefully review the Proxy Statement prior to voting your shares. Our Board and management know of no other matters or business to be presented for consideration at the annual meeting. If, however, any other matters properly come before the Annual Meeting or any adjournment(s) or postponement(s) thereof, it is the intention of the persons named in the enclosed proxy to vote such proxy in accordance with their discretion on any such matters. The persons named in the enclosed proxy may also, if they deem it advisable, vote such proxy to adjourn the annual meeting from time to time.</w:t>
      </w:r>
    </w:p>
    <w:p>
      <w:pPr>
        <w:spacing w:after="0" w:line="134" w:lineRule="exact"/>
        <w:rPr>
          <w:sz w:val="20"/>
          <w:szCs w:val="20"/>
          <w:color w:val="auto"/>
        </w:rPr>
      </w:pPr>
    </w:p>
    <w:p>
      <w:pPr>
        <w:jc w:val="right"/>
        <w:spacing w:after="0"/>
        <w:tabs>
          <w:tab w:leader="none" w:pos="300" w:val="left"/>
        </w:tabs>
        <w:rPr>
          <w:sz w:val="20"/>
          <w:szCs w:val="20"/>
          <w:color w:val="auto"/>
        </w:rPr>
      </w:pPr>
      <w:r>
        <w:rPr>
          <w:sz w:val="1"/>
          <w:szCs w:val="1"/>
          <w:color w:val="auto"/>
        </w:rPr>
        <w:drawing>
          <wp:inline distT="0" distB="0" distL="0" distR="0">
            <wp:extent cx="420370" cy="137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8"/>
          <w:szCs w:val="18"/>
          <w:color w:val="1A6DBB"/>
        </w:rPr>
        <w:t xml:space="preserve"> 2023 Proxy Statement</w:t>
      </w:r>
      <w:r>
        <w:rPr>
          <w:sz w:val="20"/>
          <w:szCs w:val="20"/>
          <w:color w:val="auto"/>
        </w:rPr>
        <w:tab/>
      </w:r>
      <w:r>
        <w:rPr>
          <w:rFonts w:ascii="Arial" w:cs="Arial" w:eastAsia="Arial" w:hAnsi="Arial"/>
          <w:sz w:val="17"/>
          <w:szCs w:val="17"/>
          <w:color w:val="1A6DBB"/>
        </w:rPr>
        <w:t>-15-</w:t>
      </w:r>
    </w:p>
    <w:p>
      <w:pPr>
        <w:sectPr>
          <w:pgSz w:w="11900" w:h="16838" w:orient="portrait"/>
          <w:cols w:equalWidth="0" w:num="1">
            <w:col w:w="11020"/>
          </w:cols>
          <w:pgMar w:left="440" w:top="788" w:right="439" w:bottom="1440" w:gutter="0" w:footer="0" w:header="0"/>
        </w:sectPr>
      </w:pPr>
    </w:p>
    <w:bookmarkStart w:id="23" w:name="page24"/>
    <w:bookmarkEnd w:id="23"/>
    <w:p>
      <w:pPr>
        <w:jc w:val="right"/>
        <w:spacing w:after="0"/>
        <w:tabs>
          <w:tab w:leader="none" w:pos="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83362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833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tabs>
          <w:tab w:leader="none" w:pos="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83362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833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endash "/>
      <w:numFmt w:val="bullet"/>
      <w:start w:val="1"/>
    </w:lvl>
  </w:abstractNum>
  <w:abstractNum w:abstractNumId="9">
    <w:nsid w:val="3F2DBA31"/>
    <w:multiLevelType w:val="hybridMultilevel"/>
    <w:lvl w:ilvl="0">
      <w:lvlJc w:val="left"/>
      <w:lvlText w:val="\endash "/>
      <w:numFmt w:val="bullet"/>
      <w:start w:val="1"/>
    </w:lvl>
  </w:abstractNum>
  <w:abstractNum w:abstractNumId="10">
    <w:nsid w:val="7C83E458"/>
    <w:multiLevelType w:val="hybridMultilevel"/>
    <w:lvl w:ilvl="0">
      <w:lvlJc w:val="left"/>
      <w:lvlText w:val="\endash "/>
      <w:numFmt w:val="bullet"/>
      <w:start w:val="1"/>
    </w:lvl>
  </w:abstractNum>
  <w:abstractNum w:abstractNumId="11">
    <w:nsid w:val="257130A3"/>
    <w:multiLevelType w:val="hybridMultilevel"/>
    <w:lvl w:ilvl="0">
      <w:lvlJc w:val="left"/>
      <w:lvlText w:val="\endash "/>
      <w:numFmt w:val="bullet"/>
      <w:start w:val="1"/>
    </w:lvl>
  </w:abstractNum>
  <w:abstractNum w:abstractNumId="12">
    <w:nsid w:val="62BBD95A"/>
    <w:multiLevelType w:val="hybridMultilevel"/>
    <w:lvl w:ilvl="0">
      <w:lvlJc w:val="left"/>
      <w:lvlText w:val="\endash "/>
      <w:numFmt w:val="bullet"/>
      <w:start w:val="1"/>
    </w:lvl>
  </w:abstractNum>
  <w:abstractNum w:abstractNumId="13">
    <w:nsid w:val="436C6125"/>
    <w:multiLevelType w:val="hybridMultilevel"/>
    <w:lvl w:ilvl="0">
      <w:lvlJc w:val="left"/>
      <w:lvlText w:val="\endash "/>
      <w:numFmt w:val="bullet"/>
      <w:start w:val="1"/>
    </w:lvl>
  </w:abstractNum>
  <w:abstractNum w:abstractNumId="14">
    <w:nsid w:val="628C895D"/>
    <w:multiLevelType w:val="hybridMultilevel"/>
    <w:lvl w:ilvl="0">
      <w:lvlJc w:val="left"/>
      <w:lvlText w:val="\endash "/>
      <w:numFmt w:val="bullet"/>
      <w:start w:val="1"/>
    </w:lvl>
  </w:abstractNum>
  <w:abstractNum w:abstractNumId="15">
    <w:nsid w:val="333AB105"/>
    <w:multiLevelType w:val="hybridMultilevel"/>
    <w:lvl w:ilvl="0">
      <w:lvlJc w:val="left"/>
      <w:lvlText w:val="\endash "/>
      <w:numFmt w:val="bullet"/>
      <w:start w:val="1"/>
    </w:lvl>
  </w:abstractNum>
  <w:abstractNum w:abstractNumId="16">
    <w:nsid w:val="721DA317"/>
    <w:multiLevelType w:val="hybridMultilevel"/>
    <w:lvl w:ilvl="0">
      <w:lvlJc w:val="left"/>
      <w:lvlText w:val="\endash "/>
      <w:numFmt w:val="bullet"/>
      <w:start w:val="1"/>
    </w:lvl>
  </w:abstractNum>
  <w:abstractNum w:abstractNumId="17">
    <w:nsid w:val="2443A858"/>
    <w:multiLevelType w:val="hybridMultilevel"/>
    <w:lvl w:ilvl="0">
      <w:lvlJc w:val="left"/>
      <w:lvlText w:val="\endash "/>
      <w:numFmt w:val="bullet"/>
      <w:start w:val="1"/>
    </w:lvl>
  </w:abstractNum>
  <w:abstractNum w:abstractNumId="18">
    <w:nsid w:val="2D1D5AE9"/>
    <w:multiLevelType w:val="hybridMultilevel"/>
    <w:lvl w:ilvl="0">
      <w:lvlJc w:val="left"/>
      <w:lvlText w:val="\endash "/>
      <w:numFmt w:val="bullet"/>
      <w:start w:val="1"/>
    </w:lvl>
  </w:abstractNum>
  <w:abstractNum w:abstractNumId="19">
    <w:nsid w:val="6763845E"/>
    <w:multiLevelType w:val="hybridMultilevel"/>
    <w:lvl w:ilvl="0">
      <w:lvlJc w:val="left"/>
      <w:lvlText w:val="\endash "/>
      <w:numFmt w:val="bullet"/>
      <w:start w:val="1"/>
    </w:lvl>
  </w:abstractNum>
  <w:abstractNum w:abstractNumId="20">
    <w:nsid w:val="75A2A8D4"/>
    <w:multiLevelType w:val="hybridMultilevel"/>
    <w:lvl w:ilvl="0">
      <w:lvlJc w:val="left"/>
      <w:lvlText w:val="\endash "/>
      <w:numFmt w:val="bullet"/>
      <w:start w:val="1"/>
    </w:lvl>
  </w:abstractNum>
  <w:abstractNum w:abstractNumId="21">
    <w:nsid w:val="8EDBDAB"/>
    <w:multiLevelType w:val="hybridMultilevel"/>
    <w:lvl w:ilvl="0">
      <w:lvlJc w:val="left"/>
      <w:lvlText w:val="\endash "/>
      <w:numFmt w:val="bullet"/>
      <w:start w:val="1"/>
    </w:lvl>
  </w:abstractNum>
  <w:abstractNum w:abstractNumId="22">
    <w:nsid w:val="79838CB2"/>
    <w:multiLevelType w:val="hybridMultilevel"/>
    <w:lvl w:ilvl="0">
      <w:lvlJc w:val="left"/>
      <w:lvlText w:val="\endash "/>
      <w:numFmt w:val="bullet"/>
      <w:start w:val="1"/>
    </w:lvl>
  </w:abstractNum>
  <w:abstractNum w:abstractNumId="23">
    <w:nsid w:val="4353D0CD"/>
    <w:multiLevelType w:val="hybridMultilevel"/>
    <w:lvl w:ilvl="0">
      <w:lvlJc w:val="left"/>
      <w:lvlText w:val="\endash "/>
      <w:numFmt w:val="bullet"/>
      <w:start w:val="1"/>
    </w:lvl>
  </w:abstractNum>
  <w:abstractNum w:abstractNumId="24">
    <w:nsid w:val="B03E0C6"/>
    <w:multiLevelType w:val="hybridMultilevel"/>
    <w:lvl w:ilvl="0">
      <w:lvlJc w:val="left"/>
      <w:lvlText w:val="\endash "/>
      <w:numFmt w:val="bullet"/>
      <w:start w:val="1"/>
    </w:lvl>
  </w:abstractNum>
  <w:abstractNum w:abstractNumId="25">
    <w:nsid w:val="189A769B"/>
    <w:multiLevelType w:val="hybridMultilevel"/>
    <w:lvl w:ilvl="0">
      <w:lvlJc w:val="left"/>
      <w:lvlText w:val="\endash "/>
      <w:numFmt w:val="bullet"/>
      <w:start w:val="1"/>
    </w:lvl>
  </w:abstractNum>
  <w:abstractNum w:abstractNumId="26">
    <w:nsid w:val="54E49EB4"/>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2023-06-13T06:32:47Z</dcterms:created>
  <dcterms:modified xsi:type="dcterms:W3CDTF">2023-06-13T06:32:47Z</dcterms:modified>
</cp:coreProperties>
</file>