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UNITED STATES</w:t>
      </w: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jc w:val="center"/>
        <w:ind w:right="17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679"/>
        <w:spacing w:after="0"/>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IDEC PHARMACEUTICALS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449370 10 5</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IDEC PHARMACEUTICALS CORPORATION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William H. Rastetter,Ph.D., 11011 Torreyana Road, San Diego, California 92121</w:t>
      </w:r>
    </w:p>
    <w:p>
      <w:pPr>
        <w:ind w:left="4120" w:hanging="636"/>
        <w:spacing w:after="0" w:line="238" w:lineRule="auto"/>
        <w:tabs>
          <w:tab w:leader="none" w:pos="412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550-8500</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w:t>
      </w:r>
    </w:p>
    <w:p>
      <w:pPr>
        <w:ind w:left="2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May 9, 1996</w:t>
      </w:r>
    </w:p>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of Rule 13d-1(b)(3) or (4), check the following box [ ].</w:t>
      </w:r>
    </w:p>
    <w:p>
      <w:pPr>
        <w:spacing w:after="0" w:line="20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reporting person: (1) has a previous statement on file reporting beneficial ownership of more than five percent of the class of securities described in Item 1; and (2) has filed no amendment subsequent thereto reporting beneficial ownership of less than five percent of such class). (See Rule 13d-7.)</w:t>
      </w:r>
    </w:p>
    <w:p>
      <w:pPr>
        <w:spacing w:after="0" w:line="210"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Note: This document is being electronically filed with the Commission, using the EDGAR system. Additionally, one paper copy of the filing will subsequently be sent to the Commission. See Rule 13d-1(a) for other parties to whom copies are to be sent.</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should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tabs>
          <w:tab w:leader="none" w:pos="7160" w:val="left"/>
        </w:tabs>
        <w:rPr>
          <w:sz w:val="20"/>
          <w:szCs w:val="20"/>
          <w:color w:val="auto"/>
        </w:rPr>
      </w:pPr>
      <w:r>
        <w:rPr>
          <w:rFonts w:ascii="Courier New" w:cs="Courier New" w:eastAsia="Courier New" w:hAnsi="Courier New"/>
          <w:sz w:val="18"/>
          <w:szCs w:val="18"/>
          <w:color w:val="auto"/>
        </w:rPr>
        <w:t>CUSIP No. 4493070 10 5</w:t>
      </w:r>
      <w:r>
        <w:rPr>
          <w:sz w:val="20"/>
          <w:szCs w:val="20"/>
          <w:color w:val="auto"/>
        </w:rPr>
        <w:tab/>
      </w:r>
      <w:r>
        <w:rPr>
          <w:rFonts w:ascii="Courier New" w:cs="Courier New" w:eastAsia="Courier New" w:hAnsi="Courier New"/>
          <w:sz w:val="16"/>
          <w:szCs w:val="16"/>
          <w:color w:val="auto"/>
        </w:rPr>
        <w:t>Page 2 of 10</w:t>
      </w:r>
    </w:p>
    <w:p>
      <w:pPr>
        <w:spacing w:after="0" w:line="5"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520"/>
        <w:spacing w:after="0" w:line="235" w:lineRule="auto"/>
        <w:tabs>
          <w:tab w:leader="none" w:pos="11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S.S. or I.R.S. Identification Nos. of Above Persons</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11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Genentech, Inc.</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94-2347624</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520"/>
        <w:spacing w:after="0" w:line="238" w:lineRule="auto"/>
        <w:tabs>
          <w:tab w:leader="none" w:pos="11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160"/>
        <w:spacing w:after="0"/>
        <w:tabs>
          <w:tab w:leader="none" w:pos="630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(a) [ ]</w:t>
      </w:r>
    </w:p>
    <w:p>
      <w:pPr>
        <w:spacing w:after="0" w:line="200"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(b) [ ]</w:t>
      </w:r>
    </w:p>
    <w:p>
      <w:pPr>
        <w:spacing w:after="0" w:line="207"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520"/>
        <w:spacing w:after="0" w:line="238" w:lineRule="auto"/>
        <w:tabs>
          <w:tab w:leader="none" w:pos="11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160" w:hanging="520"/>
        <w:spacing w:after="0" w:line="238" w:lineRule="auto"/>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1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WC</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2319" w:hanging="520"/>
        <w:spacing w:after="0" w:line="235" w:lineRule="auto"/>
        <w:tabs>
          <w:tab w:leader="none" w:pos="11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ind w:left="2960" w:hanging="213"/>
        <w:spacing w:after="0"/>
        <w:tabs>
          <w:tab w:leader="none" w:pos="2960"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160" w:right="5259" w:hanging="520"/>
        <w:spacing w:after="0" w:line="470" w:lineRule="auto"/>
        <w:tabs>
          <w:tab w:leader="none" w:pos="11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Number of</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w w:val="98"/>
              </w:rPr>
              <w:t>Sole Voting Power: 160,514</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shares of non voting Series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 Bene-</w:t>
            </w:r>
          </w:p>
        </w:tc>
        <w:tc>
          <w:tcPr>
            <w:tcW w:w="900" w:type="dxa"/>
            <w:vAlign w:val="bottom"/>
          </w:tcPr>
          <w:p>
            <w:pPr>
              <w:spacing w:after="0"/>
              <w:rPr>
                <w:sz w:val="17"/>
                <w:szCs w:val="17"/>
                <w:color w:val="auto"/>
              </w:rPr>
            </w:pP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A-1, A-2 and A-3 Preferred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convertible into</w:t>
            </w:r>
          </w:p>
        </w:tc>
      </w:tr>
      <w:tr>
        <w:trPr>
          <w:trHeight w:val="203"/>
        </w:trPr>
        <w:tc>
          <w:tcPr>
            <w:tcW w:w="174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ficially</w:t>
            </w:r>
          </w:p>
        </w:tc>
        <w:tc>
          <w:tcPr>
            <w:tcW w:w="900" w:type="dxa"/>
            <w:vAlign w:val="bottom"/>
          </w:tcPr>
          <w:p>
            <w:pPr>
              <w:spacing w:after="0"/>
              <w:rPr>
                <w:sz w:val="17"/>
                <w:szCs w:val="17"/>
                <w:color w:val="auto"/>
              </w:rPr>
            </w:pP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1,605,140 shares of Common</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 100,000 shares of</w:t>
            </w:r>
          </w:p>
        </w:tc>
      </w:tr>
      <w:tr>
        <w:trPr>
          <w:trHeight w:val="203"/>
        </w:trPr>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non voting Series A-6 Preferred Stock. See ITEM 3</w:t>
            </w:r>
          </w:p>
        </w:tc>
      </w:tr>
      <w:tr>
        <w:trPr>
          <w:trHeight w:val="203"/>
        </w:trPr>
        <w:tc>
          <w:tcPr>
            <w:tcW w:w="1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below for conversion of Series A-6 to Common Stock.</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Owned by</w:t>
            </w:r>
          </w:p>
        </w:tc>
        <w:tc>
          <w:tcPr>
            <w:tcW w:w="9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Shares Voting Power</w:t>
            </w:r>
          </w:p>
        </w:tc>
        <w:tc>
          <w:tcPr>
            <w:tcW w:w="2900" w:type="dxa"/>
            <w:vAlign w:val="bottom"/>
          </w:tcPr>
          <w:p>
            <w:pPr>
              <w:spacing w:after="0"/>
              <w:rPr>
                <w:sz w:val="24"/>
                <w:szCs w:val="24"/>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w:t>
            </w:r>
          </w:p>
        </w:tc>
        <w:tc>
          <w:tcPr>
            <w:tcW w:w="900" w:type="dxa"/>
            <w:vAlign w:val="bottom"/>
          </w:tcPr>
          <w:p>
            <w:pPr>
              <w:spacing w:after="0"/>
              <w:rPr>
                <w:sz w:val="17"/>
                <w:szCs w:val="17"/>
                <w:color w:val="auto"/>
              </w:rPr>
            </w:pP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0</w:t>
            </w:r>
          </w:p>
        </w:tc>
        <w:tc>
          <w:tcPr>
            <w:tcW w:w="290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ing Person</w:t>
            </w:r>
          </w:p>
        </w:tc>
        <w:tc>
          <w:tcPr>
            <w:tcW w:w="9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900" w:type="dxa"/>
            <w:vAlign w:val="bottom"/>
          </w:tcPr>
          <w:p>
            <w:pPr>
              <w:spacing w:after="0"/>
              <w:rPr>
                <w:sz w:val="17"/>
                <w:szCs w:val="17"/>
                <w:color w:val="auto"/>
              </w:rPr>
            </w:pPr>
          </w:p>
        </w:tc>
      </w:tr>
    </w:tbl>
    <w:p>
      <w:pPr>
        <w:spacing w:after="0" w:line="4" w:lineRule="exact"/>
        <w:rPr>
          <w:sz w:val="20"/>
          <w:szCs w:val="20"/>
          <w:color w:val="auto"/>
        </w:rPr>
      </w:pPr>
    </w:p>
    <w:p>
      <w:pPr>
        <w:ind w:left="2740" w:right="1879" w:hanging="520"/>
        <w:spacing w:after="0" w:line="273" w:lineRule="auto"/>
        <w:tabs>
          <w:tab w:leader="none" w:pos="274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160,514 shares of non voting Series A-1, A-2 and A-3 Preferred Stock convertible into 1,605,140 shares of Common Stock. 100,000 shares of non voting Series A-6 Preferred Stock. See ITEM 3 below for conversion of Series A-6 to Common Stock.</w:t>
      </w:r>
    </w:p>
    <w:p>
      <w:pPr>
        <w:spacing w:after="0" w:line="184" w:lineRule="exact"/>
        <w:rPr>
          <w:rFonts w:ascii="Courier New" w:cs="Courier New" w:eastAsia="Courier New" w:hAnsi="Courier New"/>
          <w:sz w:val="16"/>
          <w:szCs w:val="16"/>
          <w:color w:val="auto"/>
        </w:rPr>
      </w:pPr>
    </w:p>
    <w:p>
      <w:pPr>
        <w:ind w:left="2740" w:right="4939" w:hanging="520"/>
        <w:spacing w:after="0" w:line="235" w:lineRule="auto"/>
        <w:tabs>
          <w:tab w:leader="none" w:pos="2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Dispositive Power 0</w:t>
      </w:r>
    </w:p>
    <w:p>
      <w:pPr>
        <w:spacing w:after="0" w:line="200" w:lineRule="exact"/>
        <w:rPr>
          <w:sz w:val="20"/>
          <w:szCs w:val="20"/>
          <w:color w:val="auto"/>
        </w:rPr>
      </w:pPr>
    </w:p>
    <w:p>
      <w:pPr>
        <w:spacing w:after="0" w:line="211"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640"/>
        <w:spacing w:after="0" w:line="238" w:lineRule="auto"/>
        <w:tabs>
          <w:tab w:leader="none" w:pos="12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5"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160,514 shares of non voting Series A-1, A-2 and A-3 Preferred Stock convertible into 1,605,140 shares of Common Stock. 100,000 shares of non voting Series A-6 Preferred Stock. See ITEM 3 below for conversion of Series A-6 to Common Stock.</w:t>
      </w:r>
    </w:p>
    <w:p>
      <w:pPr>
        <w:spacing w:after="0" w:line="178"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640"/>
        <w:spacing w:after="0" w:line="238" w:lineRule="auto"/>
        <w:tabs>
          <w:tab w:leader="none" w:pos="12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w:t>
      </w:r>
    </w:p>
    <w:p>
      <w:pPr>
        <w:ind w:left="1280"/>
        <w:spacing w:after="0"/>
        <w:tabs>
          <w:tab w:leader="none" w:pos="3260" w:val="left"/>
          <w:tab w:leader="none" w:pos="3560" w:val="left"/>
        </w:tabs>
        <w:rPr>
          <w:sz w:val="20"/>
          <w:szCs w:val="20"/>
          <w:color w:val="auto"/>
        </w:rPr>
      </w:pPr>
      <w:r>
        <w:rPr>
          <w:rFonts w:ascii="Courier New" w:cs="Courier New" w:eastAsia="Courier New" w:hAnsi="Courier New"/>
          <w:sz w:val="18"/>
          <w:szCs w:val="18"/>
          <w:color w:val="auto"/>
        </w:rPr>
        <w:t>Certain Shares</w:t>
      </w:r>
      <w:r>
        <w:rPr>
          <w:sz w:val="20"/>
          <w:szCs w:val="20"/>
          <w:color w:val="auto"/>
        </w:rPr>
        <w:tab/>
      </w:r>
      <w:r>
        <w:rPr>
          <w:rFonts w:ascii="Courier New" w:cs="Courier New" w:eastAsia="Courier New" w:hAnsi="Courier New"/>
          <w:sz w:val="18"/>
          <w:szCs w:val="18"/>
          <w:color w:val="auto"/>
        </w:rPr>
        <w:t>[</w:t>
        <w:tab/>
        <w:t>]</w:t>
      </w:r>
    </w:p>
    <w:p>
      <w:pPr>
        <w:ind w:left="1280"/>
        <w:spacing w:after="0" w:line="237"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640"/>
        <w:spacing w:after="0" w:line="238" w:lineRule="auto"/>
        <w:tabs>
          <w:tab w:leader="none" w:pos="12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9.5% of Common Stock</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hanging="640"/>
        <w:spacing w:after="0" w:line="238" w:lineRule="auto"/>
        <w:tabs>
          <w:tab w:leader="none" w:pos="12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w:t>
      </w:r>
    </w:p>
    <w:p>
      <w:pPr>
        <w:spacing w:after="0" w:line="201" w:lineRule="exact"/>
        <w:rPr>
          <w:rFonts w:ascii="Courier New" w:cs="Courier New" w:eastAsia="Courier New" w:hAnsi="Courier New"/>
          <w:sz w:val="18"/>
          <w:szCs w:val="18"/>
          <w:color w:val="auto"/>
        </w:rPr>
      </w:pPr>
    </w:p>
    <w:p>
      <w:pPr>
        <w:ind w:left="12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4493070 10 5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 of 10</w:t>
      </w:r>
    </w:p>
    <w:p>
      <w:pPr>
        <w:spacing w:after="0" w:line="200" w:lineRule="exact"/>
        <w:rPr>
          <w:sz w:val="20"/>
          <w:szCs w:val="20"/>
          <w:color w:val="auto"/>
        </w:rPr>
      </w:pPr>
    </w:p>
    <w:p>
      <w:pPr>
        <w:sectPr>
          <w:pgSz w:w="11900" w:h="16838" w:orient="portrait"/>
          <w:cols w:equalWidth="0" w:num="3">
            <w:col w:w="960" w:space="200"/>
            <w:col w:w="5300" w:space="720"/>
            <w:col w:w="30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SECURITY AND ISSUER</w:t>
      </w:r>
    </w:p>
    <w:p>
      <w:pPr>
        <w:spacing w:after="0" w:line="200" w:lineRule="exact"/>
        <w:rPr>
          <w:sz w:val="20"/>
          <w:szCs w:val="20"/>
          <w:color w:val="auto"/>
        </w:rPr>
      </w:pPr>
    </w:p>
    <w:p>
      <w:pPr>
        <w:sectPr>
          <w:pgSz w:w="11900" w:h="16838" w:orient="portrait"/>
          <w:cols w:equalWidth="0" w:num="2">
            <w:col w:w="740" w:space="220"/>
            <w:col w:w="9259"/>
          </w:cols>
          <w:pgMar w:left="240" w:top="317" w:right="1440" w:bottom="1440" w:gutter="0" w:footer="0" w:header="0"/>
          <w:type w:val="continuous"/>
        </w:sectPr>
      </w:pPr>
    </w:p>
    <w:p>
      <w:pPr>
        <w:spacing w:after="0" w:line="24" w:lineRule="exact"/>
        <w:rPr>
          <w:sz w:val="20"/>
          <w:szCs w:val="20"/>
          <w:color w:val="auto"/>
        </w:rPr>
      </w:pPr>
    </w:p>
    <w:p>
      <w:pPr>
        <w:ind w:left="960" w:right="1779" w:hanging="952"/>
        <w:spacing w:after="0" w:line="235" w:lineRule="auto"/>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Class of Securities: Common Stock issuable upon conversion of Preferred Stock</w:t>
      </w:r>
    </w:p>
    <w:p>
      <w:pPr>
        <w:spacing w:after="0" w:line="202"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Issuer:  IDEC Pharmaceuticals Corporation ("IDEC")</w:t>
      </w:r>
    </w:p>
    <w:p>
      <w:pPr>
        <w:spacing w:after="0" w:line="20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Address:  11011 Torreyana Road, San Diego, CA  92121</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left="1900" w:hanging="944"/>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  Genentech, Inc. ("Genentech")</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Delaware</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  Pharmaceutical company</w:t>
      </w:r>
    </w:p>
    <w:p>
      <w:pPr>
        <w:spacing w:after="0" w:line="206" w:lineRule="exact"/>
        <w:rPr>
          <w:rFonts w:ascii="Courier New" w:cs="Courier New" w:eastAsia="Courier New" w:hAnsi="Courier New"/>
          <w:sz w:val="18"/>
          <w:szCs w:val="18"/>
          <w:color w:val="auto"/>
        </w:rPr>
      </w:pPr>
    </w:p>
    <w:p>
      <w:pPr>
        <w:ind w:right="1999" w:firstLine="956"/>
        <w:spacing w:after="0" w:line="235" w:lineRule="auto"/>
        <w:tabs>
          <w:tab w:leader="none" w:pos="189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Business Address: 460 Point San Bruno Blvd., South San Francisco, CA 94080</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Office:  As above</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Criminal Convictions:  None</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Civil Adjudication of Violation of Securities Laws:  None</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Attached hereto as Exhibit A is a list of Genentech's executive officers and directors as required by Instruction C to Schedule 13D.</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Pursuant to the terms of a Preferred Stock Purchase Agreement between Genentech and IDEC dated March 16, 1995 (the "Purchase Agreement"), a copy of which was attached as Exhibit B to the Schedule 13D filed with the Securities and Exchange Commission on March 27, 1995 (the "Original Schedule 13D"), Genentech agreed to purchase up to six subseries of IDEC's Series A Preferred Stock. The six subseries of Series A Preferred Stock issuable pursuant to the Purchase Agreement are hereinafter referred to as the "Convertible Preferred Stock."</w:t>
      </w:r>
    </w:p>
    <w:p>
      <w:pPr>
        <w:spacing w:after="0" w:line="18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On May 9, 1996 Genentech and IDEC entered into the Acceleration Agreement which is attached hereto as Exhibit B (the Acceleration Agreement). Among other things, under the terms of the Acceleration Agreement, Genentech purchased 100,000 shares of IDEC's Series A-6 Preferred Stock at $75.00 per share of Series A-6 Preferred Stock. Under the terms of the Purchase Agreement, Genentech was originally scheduled to purchase the Series A-6 shares upon the public presentation of complete Phase III clinical results for IDEC's C2B8 product. As described in IDEC's Certificate of Determination of Preferences, each share of Series A-6 Preferred Stock will be convertible into a number of shares of IDEC Common Stock based upon a weighted average trading price of IDEC's Common Stock for the 20 trading days following the earlier to occur of (i) marketing approval of IDEC's C2B8 by the U.S. FDA, or (ii) September 16, 1999. The total purchase price of $7,500,000 for the Series A-6 Preferred Stock was paid from Genentech's working capital.</w:t>
      </w:r>
    </w:p>
    <w:p>
      <w:pPr>
        <w:spacing w:after="0" w:line="208"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Under the terms of the Acceleration Agreement, IDEC and Genentech amended the terms of the Option Agreement between Genentech and IDEC dated as of March 16, 1995 (the "Option Agreement"), a copy of which was attached to the Original Schedule 13D as Exhibit C, to provide that under certain circumstances IDEC would only cause Genentech to issue a $10,000,000 promissory note which may be repaid by IDEC or, upon the occurrence of future events, be convertible into shares of IDEC's Common Stock at market prices prevailing at the time of conversion. If issued, the note will accrue interest at the prime rate plus two percent. IDEC formerly had an option under the Option Agreement to cause Genentech to purchase shares of IDEC's Series A-7 Preferred Stock.</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terms of the Purchase Agreement, on April 4, 1995, Genentech purchased 100,000 shares of IDEC's Series A-1 Preferred Stock (initially convertible into 1,000,000 shares of IDEC Common Stock) for $50.00 per share of Series A-1 Preferred Stock. The total purchase</w:t>
      </w:r>
    </w:p>
    <w:p>
      <w:pPr>
        <w:sectPr>
          <w:pgSz w:w="11900" w:h="16838" w:orient="portrait"/>
          <w:cols w:equalWidth="0" w:num="1">
            <w:col w:w="10219"/>
          </w:cols>
          <w:pgMar w:left="240" w:top="317" w:right="1440" w:bottom="1440" w:gutter="0" w:footer="0" w:header="0"/>
          <w:type w:val="continuous"/>
        </w:sectPr>
      </w:pPr>
    </w:p>
    <w:bookmarkStart w:id="3" w:name="page4"/>
    <w:bookmarkEnd w:id="3"/>
    <w:p>
      <w:pPr>
        <w:ind w:left="3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4493070 10 5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4 of 10</w:t>
      </w:r>
    </w:p>
    <w:p>
      <w:pPr>
        <w:spacing w:after="0" w:line="200" w:lineRule="exact"/>
        <w:rPr>
          <w:sz w:val="20"/>
          <w:szCs w:val="20"/>
          <w:color w:val="auto"/>
        </w:rPr>
      </w:pPr>
    </w:p>
    <w:p>
      <w:pPr>
        <w:sectPr>
          <w:pgSz w:w="11900" w:h="16838" w:orient="portrait"/>
          <w:cols w:equalWidth="0" w:num="3">
            <w:col w:w="960" w:space="200"/>
            <w:col w:w="5300" w:space="720"/>
            <w:col w:w="3039"/>
          </w:cols>
          <w:pgMar w:left="240" w:top="317" w:right="1440" w:bottom="1440" w:gutter="0" w:footer="0" w:header="0"/>
          <w:type w:val="continuous"/>
        </w:sectPr>
      </w:pPr>
    </w:p>
    <w:p>
      <w:pPr>
        <w:spacing w:after="0" w:line="2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price of $5,000,000 for the Series A-1 Preferred Stock was paid from Genentech's working capital. Under the terms of the Purchase Agreement, on August 22, 1995, Genentech purchased 37,521 shares of IDEC's Series A-2 Preferred Stock (initially convertible into 375,210 shares of IDEC Common Stock) for $66.63 per share of Series A-2 Preferred Stock. The total purchase price of $2,500,000 for the Series A-2 Preferred Stock was paid from Genentech's working capital. Under the terms of the Purchase Agreement, on March 15, 1996, Genentech purchased 22,993 shares of IDEC's Series A-3 Preferred Stock (initially convertible into 229,930 shares of IDEC Common Stock) for $217.46 per share of Series A-3 Preferred Stock. The total purchase price of $5,000,000 for the Series A-3 Preferred Stock was paid from Genentech's working capital.</w:t>
      </w:r>
    </w:p>
    <w:p>
      <w:pPr>
        <w:spacing w:after="0" w:line="392"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Each share of Convertible Preferred Stock is convertible, at the option of Genentech, into shares of IDEC's Common Stock at predetermined rates described in IDEC's Certificate of Determination and will not have voting rights until converted into shares of IDEC Common Stock. Each share of Convertible Preferred Stock also will automatically convert into shares of IDEC's Common Stock at predetermined rates described in the Certificate of Determination upon transfer of ownership to a third party unaffiliated with Genentech. Under the 1995 Registration Rights Agreement, IDEC, at Genentech's request, will file resale registration statements covering certain of the shares of Common Stock issuable upon conversion of the Convertible Preferred Stock.</w:t>
      </w:r>
    </w:p>
    <w:p>
      <w:pPr>
        <w:spacing w:after="0" w:line="189"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Genentech and IDEC also entered into a Collaboration Agreement dated as of March 16, 1995, as amended, and an Expression Technology License dated as of March 16, 1995. Under the terms of the Collaboration Agreement, Genentech and IDEC will collaborate in the development of C2B8 for the treatment in humans of non-Hodgkins B Cell Lymphoma in the United States and Canada. The two companies will co-promote C2B8 for the treatment in humans of non-Hodgkins B Cell Lymphoma in the United States and Canada, and share profits from its commercialization. IDEC also granted Genentech exclusive marketing rights to all other markets outside the United States and Canada, and IDEC will receive a royalty on sales in such markets. Genentech has sublicensed its marketing rights in Japan to an unrelated third party and has agreed to sublicense its marketing rights other than in the United States and Japan to a related third party. Under the terms of the Collaboration Agreement, IDEC has elected a representative of Genentech to its Board of Directors. IDEC's obligation regarding the board seat shall continue until certain events occur, including termination of the Collaboration Agreement or Genentech holding less than the number of shares representing the Common Stock equivalent of the shares of Series A-1 and Series A-2 Preferred Stock, i.e., the equivalent of 1,375,210 shares of Common Stock. Under the terms of the Expression Technology License, IDEC licensed its proprietary vector technology for high expression of recombinant proteins in mammalian cells in consideration for an up-front licensing fee and royalties on sales of Genentech products manufactured using the technology.</w:t>
      </w:r>
    </w:p>
    <w:p>
      <w:pPr>
        <w:spacing w:after="0" w:line="200" w:lineRule="exact"/>
        <w:rPr>
          <w:sz w:val="20"/>
          <w:szCs w:val="20"/>
          <w:color w:val="auto"/>
        </w:rPr>
      </w:pPr>
    </w:p>
    <w:p>
      <w:pPr>
        <w:spacing w:after="0" w:line="39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purpose of the purchases of the shares of Convertible Preferred Stock on May 9, 1996, March 15, 1996, August 22, 1995 and April 4, 1995 is investment. Depending on its evaluation of IDEC's business, prospects, financial condition, the market for IDEC securities, other opportunities available to Genentech, general economic conditions, general market conditions, other future developments and the contractual restrictions described in Items 3 and 6, Genentech may decide to sell some or all of its investment in the capital stock of IDEC through open market sales or in negotiated transactions, to or through one or more broker dealers, or in underwritten offerings, block trades, agency placements, brokerage transactions or otherwise. Depending on the same factors, Genentech may in the future purchase additional capital stock of IDEC or enter into hedging or similar transactions as described in Item 6.</w:t>
      </w:r>
    </w:p>
    <w:p>
      <w:pPr>
        <w:spacing w:after="0" w:line="391"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Except as described in Items 3 and 6 and the foregoing paragraph, Genentech does not have any plan or proposal relating to, or which would result in, any event described in (a) - (j) of the instructions to this Item 4.</w:t>
      </w:r>
    </w:p>
    <w:p>
      <w:pPr>
        <w:sectPr>
          <w:pgSz w:w="11900" w:h="16838" w:orient="portrait"/>
          <w:cols w:equalWidth="0" w:num="1">
            <w:col w:w="10219"/>
          </w:cols>
          <w:pgMar w:left="240" w:top="317" w:right="1440" w:bottom="1440" w:gutter="0" w:footer="0" w:header="0"/>
          <w:type w:val="continuous"/>
        </w:sectPr>
      </w:pPr>
    </w:p>
    <w:bookmarkStart w:id="4" w:name="page5"/>
    <w:bookmarkEnd w:id="4"/>
    <w:p>
      <w:pPr>
        <w:ind w:left="3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4493070 10 5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5 of 10</w:t>
      </w:r>
    </w:p>
    <w:p>
      <w:pPr>
        <w:spacing w:after="0" w:line="200" w:lineRule="exact"/>
        <w:rPr>
          <w:sz w:val="20"/>
          <w:szCs w:val="20"/>
          <w:color w:val="auto"/>
        </w:rPr>
      </w:pPr>
    </w:p>
    <w:p>
      <w:pPr>
        <w:sectPr>
          <w:pgSz w:w="11900" w:h="16838" w:orient="portrait"/>
          <w:cols w:equalWidth="0" w:num="3">
            <w:col w:w="960" w:space="200"/>
            <w:col w:w="5300" w:space="720"/>
            <w:col w:w="30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IN SECURITIES OF ISSUER</w:t>
      </w:r>
    </w:p>
    <w:p>
      <w:pPr>
        <w:spacing w:after="0" w:line="200" w:lineRule="exact"/>
        <w:rPr>
          <w:sz w:val="20"/>
          <w:szCs w:val="20"/>
          <w:color w:val="auto"/>
        </w:rPr>
      </w:pPr>
    </w:p>
    <w:p>
      <w:pPr>
        <w:sectPr>
          <w:pgSz w:w="11900" w:h="16838" w:orient="portrait"/>
          <w:cols w:equalWidth="0" w:num="2">
            <w:col w:w="740" w:space="220"/>
            <w:col w:w="9259"/>
          </w:cols>
          <w:pgMar w:left="240" w:top="317" w:right="1440" w:bottom="1440" w:gutter="0" w:footer="0" w:header="0"/>
          <w:type w:val="continuous"/>
        </w:sectPr>
      </w:pPr>
    </w:p>
    <w:p>
      <w:pPr>
        <w:spacing w:after="0" w:line="18" w:lineRule="exact"/>
        <w:rPr>
          <w:sz w:val="20"/>
          <w:szCs w:val="20"/>
          <w:color w:val="auto"/>
        </w:rPr>
      </w:pPr>
    </w:p>
    <w:p>
      <w:pPr>
        <w:ind w:left="1900" w:hanging="944"/>
        <w:spacing w:after="0"/>
        <w:tabs>
          <w:tab w:leader="none" w:pos="19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by Genentech: 1,605,140(1)</w:t>
      </w:r>
    </w:p>
    <w:tbl>
      <w:tblPr>
        <w:tblLayout w:type="fixed"/>
        <w:tblInd w:w="1900" w:type="dxa"/>
        <w:tblCellMar>
          <w:top w:w="0" w:type="dxa"/>
          <w:left w:w="0" w:type="dxa"/>
          <w:bottom w:w="0" w:type="dxa"/>
          <w:right w:w="0" w:type="dxa"/>
        </w:tblCellMar>
      </w:tblP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Percentage Ownership by Genentech:</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w:t>
            </w:r>
          </w:p>
        </w:tc>
      </w:tr>
    </w:tbl>
    <w:p>
      <w:pPr>
        <w:spacing w:after="0" w:line="207"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Except as set forth herein, neither Genentech nor, to the best of its knowledge, any of the persons listed on Exhibit A hereto beneficially owns any Common Stock of IDEC.</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400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Sole Voting Power of Genentech:</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1,605,140</w:t>
            </w:r>
          </w:p>
        </w:tc>
      </w:tr>
      <w:tr>
        <w:trPr>
          <w:trHeight w:val="203"/>
        </w:trPr>
        <w:tc>
          <w:tcPr>
            <w:tcW w:w="58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Shared</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Voting Power: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580" w:type="dxa"/>
            <w:vAlign w:val="bottom"/>
          </w:tcPr>
          <w:p>
            <w:pPr>
              <w:spacing w:after="0"/>
              <w:rPr>
                <w:sz w:val="17"/>
                <w:szCs w:val="17"/>
                <w:color w:val="auto"/>
              </w:rPr>
            </w:pPr>
          </w:p>
        </w:tc>
        <w:tc>
          <w:tcPr>
            <w:tcW w:w="5320" w:type="dxa"/>
            <w:vAlign w:val="bottom"/>
            <w:gridSpan w:val="3"/>
          </w:tcPr>
          <w:p>
            <w:pPr>
              <w:ind w:left="360"/>
              <w:spacing w:after="0" w:line="203" w:lineRule="exact"/>
              <w:rPr>
                <w:sz w:val="20"/>
                <w:szCs w:val="20"/>
                <w:color w:val="auto"/>
              </w:rPr>
            </w:pPr>
            <w:r>
              <w:rPr>
                <w:rFonts w:ascii="Courier New" w:cs="Courier New" w:eastAsia="Courier New" w:hAnsi="Courier New"/>
                <w:sz w:val="18"/>
                <w:szCs w:val="18"/>
                <w:color w:val="auto"/>
                <w:w w:val="97"/>
              </w:rPr>
              <w:t>Sole Dispositive Power of Genentech:  1,605,140</w:t>
            </w:r>
          </w:p>
        </w:tc>
      </w:tr>
      <w:tr>
        <w:trPr>
          <w:trHeight w:val="203"/>
        </w:trPr>
        <w:tc>
          <w:tcPr>
            <w:tcW w:w="580" w:type="dxa"/>
            <w:vAlign w:val="bottom"/>
          </w:tcPr>
          <w:p>
            <w:pPr>
              <w:spacing w:after="0"/>
              <w:rPr>
                <w:sz w:val="17"/>
                <w:szCs w:val="17"/>
                <w:color w:val="auto"/>
              </w:rPr>
            </w:pPr>
          </w:p>
        </w:tc>
        <w:tc>
          <w:tcPr>
            <w:tcW w:w="10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Shared</w:t>
            </w:r>
          </w:p>
        </w:tc>
        <w:tc>
          <w:tcPr>
            <w:tcW w:w="2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Except as set forth herein, neither Genentech nor, to the best of its knowledge, any of the persons listed on Exhibit A hereto has any sole or shared power to vote or to direct the vote of any IDEC Common Stock nor sole or shared power to dispose of or direct the disposition of any IDEC Common Stock.</w:t>
      </w:r>
    </w:p>
    <w:p>
      <w:pPr>
        <w:spacing w:after="0" w:line="182" w:lineRule="exact"/>
        <w:rPr>
          <w:sz w:val="20"/>
          <w:szCs w:val="20"/>
          <w:color w:val="auto"/>
        </w:rPr>
      </w:pPr>
    </w:p>
    <w:p>
      <w:pPr>
        <w:ind w:right="1779" w:firstLine="956"/>
        <w:spacing w:after="0" w:line="237" w:lineRule="auto"/>
        <w:tabs>
          <w:tab w:leader="none" w:pos="1896"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Recent Transactions: Except as set forth in Item 3 above, no transactions in IDEC's Common Stock or the Convertible Preferred Stock have been effected during the past 60 days by Genentech nor, to the best of its knowledge, any of the persons listed on Exhibit A hereto.</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dividends, etc.:  Not applicable</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 below 5%:  Not applicable</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ITEM 6: CONTRACTS, ARRANGEMENTS, UNDERSTANDINGS OR RELATIONSHIP WITH RESPECT TO SECURITIES OF THE ISSUER</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the best knowledge of the undersigned, except as described below and in Item 3, there are no contracts, arrangements, understandings or relationships (legal or otherwise) among the persons named in Item 2 and between such persons and any person with respect to any securities of IDEC, including but not limited to transfer or voting of any of the securities, finder's fees, joint ventures, loan or option agreements, puts or calls, guarantees of profits, division of profits or losses, or the giving or withholding of proxies.</w:t>
      </w:r>
    </w:p>
    <w:p>
      <w:pPr>
        <w:spacing w:after="0" w:line="188"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Under the Standstill Agreement between the parties dated as of March 16, 1995 (the "Standstill Agreement"), a copy of which was attached to the Original Schedule 13D as Exhibit D, Genentech and IDEC have agreed as follows:</w:t>
      </w:r>
    </w:p>
    <w:p>
      <w:pPr>
        <w:spacing w:after="0" w:line="178" w:lineRule="exact"/>
        <w:rPr>
          <w:sz w:val="20"/>
          <w:szCs w:val="20"/>
          <w:color w:val="auto"/>
        </w:rPr>
      </w:pPr>
    </w:p>
    <w:p>
      <w:pPr>
        <w:ind w:right="1999" w:firstLine="1896"/>
        <w:spacing w:after="0" w:line="236" w:lineRule="auto"/>
        <w:rPr>
          <w:sz w:val="20"/>
          <w:szCs w:val="20"/>
          <w:color w:val="auto"/>
        </w:rPr>
      </w:pPr>
      <w:r>
        <w:rPr>
          <w:rFonts w:ascii="Courier New" w:cs="Courier New" w:eastAsia="Courier New" w:hAnsi="Courier New"/>
          <w:sz w:val="18"/>
          <w:szCs w:val="18"/>
          <w:color w:val="auto"/>
        </w:rPr>
        <w:t>1 . Prior to March 16, 2001, Genentech will not acquire any IDEC equity securities without the written consent of IDEC, except as described in Item 3; and</w:t>
      </w:r>
    </w:p>
    <w:p>
      <w:pPr>
        <w:spacing w:after="0" w:line="209" w:lineRule="exact"/>
        <w:rPr>
          <w:sz w:val="20"/>
          <w:szCs w:val="20"/>
          <w:color w:val="auto"/>
        </w:rPr>
      </w:pPr>
    </w:p>
    <w:p>
      <w:pPr>
        <w:ind w:right="1779" w:firstLine="1904"/>
        <w:spacing w:after="0" w:line="238" w:lineRule="auto"/>
        <w:tabs>
          <w:tab w:leader="none" w:pos="2844"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March 16, 2001, Genentech will not, without the written consent of IDEC, make, directly or indirectly, any solicitation of proxies from stockholders to vote (i) in any contest regarding the election of directors of IDEC except to the extent necessary to maintain the election of one director representing Genentech; or (ii) in any contest or on any proposition regarding any business combination, restructuring, liquidation, sale of assets, extraordinary dividend or other extraordinary transaction which (A) was initiated by Genentech or any affiliate of Genentech, or (B) involves IDEC and any third party or person controlled by, under common control with, controlling, or otherwise affiliated with Genentech. The foregoing obligations terminate earlier upon the occurrence of certain events described in the Standstill Agreement.</w:t>
      </w:r>
    </w:p>
    <w:p>
      <w:pPr>
        <w:spacing w:after="0" w:line="207" w:lineRule="exact"/>
        <w:rPr>
          <w:rFonts w:ascii="Courier New" w:cs="Courier New" w:eastAsia="Courier New" w:hAnsi="Courier New"/>
          <w:sz w:val="18"/>
          <w:szCs w:val="18"/>
          <w:color w:val="auto"/>
        </w:rPr>
      </w:pPr>
    </w:p>
    <w:p>
      <w:pPr>
        <w:ind w:right="1879" w:firstLine="8"/>
        <w:spacing w:after="0" w:line="237"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 Common Stock equivalent basis. As described in Item 3 above, this figure does not include Common Stock equivalent shares relating to the 100,000 shares of Series A-6 Preferred Stock since the conversion rate is not determinable at this time.</w:t>
      </w:r>
    </w:p>
    <w:p>
      <w:pPr>
        <w:sectPr>
          <w:pgSz w:w="11900" w:h="16838" w:orient="portrait"/>
          <w:cols w:equalWidth="0" w:num="1">
            <w:col w:w="10219"/>
          </w:cols>
          <w:pgMar w:left="240" w:top="317"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4493070 10 5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6 of 10</w:t>
      </w:r>
    </w:p>
    <w:p>
      <w:pPr>
        <w:spacing w:after="0" w:line="200" w:lineRule="exact"/>
        <w:rPr>
          <w:sz w:val="20"/>
          <w:szCs w:val="20"/>
          <w:color w:val="auto"/>
        </w:rPr>
      </w:pPr>
    </w:p>
    <w:p>
      <w:pPr>
        <w:sectPr>
          <w:pgSz w:w="11900" w:h="16838" w:orient="portrait"/>
          <w:cols w:equalWidth="0" w:num="3">
            <w:col w:w="960" w:space="200"/>
            <w:col w:w="5300" w:space="720"/>
            <w:col w:w="3039"/>
          </w:cols>
          <w:pgMar w:left="240" w:top="317" w:right="1440" w:bottom="1440" w:gutter="0" w:footer="0" w:header="0"/>
          <w:type w:val="continuous"/>
        </w:sectPr>
      </w:pPr>
    </w:p>
    <w:p>
      <w:pPr>
        <w:spacing w:after="0" w:line="2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the contractual restrictions described above, Genentech may from time to time enter into hedging transactions, including short sales and buying puts and selling calls, for its own account or with broker-dealers and the broker-dealers may engage in short sales of Common Stock of IDEC in the course of hedging the positions they assume with Genentech. In connection with such transactions, Genentech may also loan or pledge shares of Convertible Preferred Stock to a broker-dealer. As described in Item 3 above, shares of Convertible Preferred Stock automatically convert into shares of Common Stock upon transfer of ownership to a third party unaffiliated with Genentech.</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EXHIBITS</w:t>
      </w:r>
    </w:p>
    <w:p>
      <w:pPr>
        <w:spacing w:after="0" w:line="238" w:lineRule="auto"/>
        <w:rPr>
          <w:sz w:val="20"/>
          <w:szCs w:val="20"/>
          <w:color w:val="auto"/>
        </w:rPr>
      </w:pPr>
      <w:r>
        <w:rPr>
          <w:rFonts w:ascii="Courier New" w:cs="Courier New" w:eastAsia="Courier New" w:hAnsi="Courier New"/>
          <w:sz w:val="18"/>
          <w:szCs w:val="18"/>
          <w:color w:val="auto"/>
        </w:rPr>
        <w:t>Exhibit A Additional information regarding Item 2 hereof.</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Exhibit B Acceleration Agreement dated as of May 9, 1996 between Genentech and IDEC.</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May 20, 1996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GENENTECH,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Stephen G. Juelsgaard</w:t>
      </w:r>
    </w:p>
    <w:p>
      <w:pPr>
        <w:spacing w:after="0" w:line="238" w:lineRule="auto"/>
        <w:rPr>
          <w:sz w:val="20"/>
          <w:szCs w:val="20"/>
          <w:color w:val="auto"/>
        </w:rPr>
      </w:pPr>
      <w:r>
        <w:rPr>
          <w:rFonts w:ascii="Courier New" w:cs="Courier New" w:eastAsia="Courier New" w:hAnsi="Courier New"/>
          <w:sz w:val="18"/>
          <w:szCs w:val="18"/>
          <w:color w:val="auto"/>
        </w:rPr>
        <w:t>Stephen G. Juelsgaard</w:t>
      </w:r>
    </w:p>
    <w:p>
      <w:pPr>
        <w:spacing w:after="0"/>
        <w:rPr>
          <w:sz w:val="20"/>
          <w:szCs w:val="20"/>
          <w:color w:val="auto"/>
        </w:rPr>
      </w:pPr>
      <w:r>
        <w:rPr>
          <w:rFonts w:ascii="Courier New" w:cs="Courier New" w:eastAsia="Courier New" w:hAnsi="Courier New"/>
          <w:sz w:val="18"/>
          <w:szCs w:val="18"/>
          <w:color w:val="auto"/>
        </w:rPr>
        <w:t>Vice President and</w:t>
      </w:r>
    </w:p>
    <w:p>
      <w:pPr>
        <w:spacing w:after="0" w:line="237" w:lineRule="auto"/>
        <w:rPr>
          <w:sz w:val="20"/>
          <w:szCs w:val="20"/>
          <w:color w:val="auto"/>
        </w:rPr>
      </w:pPr>
      <w:r>
        <w:rPr>
          <w:rFonts w:ascii="Courier New" w:cs="Courier New" w:eastAsia="Courier New" w:hAnsi="Courier New"/>
          <w:sz w:val="18"/>
          <w:szCs w:val="18"/>
          <w:color w:val="auto"/>
        </w:rPr>
        <w:t>General Counsel</w:t>
      </w:r>
    </w:p>
    <w:p>
      <w:pPr>
        <w:sectPr>
          <w:pgSz w:w="11900" w:h="16838" w:orient="portrait"/>
          <w:cols w:equalWidth="0" w:num="1">
            <w:col w:w="10219"/>
          </w:cols>
          <w:pgMar w:left="240" w:top="317"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4493070 10 5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7 of 10</w:t>
      </w:r>
    </w:p>
    <w:p>
      <w:pPr>
        <w:spacing w:after="0" w:line="200" w:lineRule="exact"/>
        <w:rPr>
          <w:sz w:val="20"/>
          <w:szCs w:val="20"/>
          <w:color w:val="auto"/>
        </w:rPr>
      </w:pPr>
    </w:p>
    <w:p>
      <w:pPr>
        <w:sectPr>
          <w:pgSz w:w="11900" w:h="16838" w:orient="portrait"/>
          <w:cols w:equalWidth="0" w:num="3">
            <w:col w:w="960" w:space="200"/>
            <w:col w:w="5300" w:space="720"/>
            <w:col w:w="3039"/>
          </w:cols>
          <w:pgMar w:left="240" w:top="317" w:right="1440" w:bottom="1440" w:gutter="0" w:footer="0" w:header="0"/>
          <w:type w:val="continuous"/>
        </w:sectPr>
      </w:pPr>
    </w:p>
    <w:p>
      <w:pPr>
        <w:spacing w:after="0" w:line="2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EXHIBIT A</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 (ADDITIONAL INFORMATION):</w:t>
      </w:r>
    </w:p>
    <w:p>
      <w:pPr>
        <w:sectPr>
          <w:pgSz w:w="11900" w:h="16838" w:orient="portrait"/>
          <w:cols w:equalWidth="0" w:num="1">
            <w:col w:w="10219"/>
          </w:cols>
          <w:pgMar w:left="240" w:top="317" w:right="1440" w:bottom="1440" w:gutter="0" w:footer="0" w:header="0"/>
          <w:type w:val="continuous"/>
        </w:sectPr>
      </w:pP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LIST OF EXECUTIVE OFFICERS AND DIRECTORS OF GENENTECH,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740" w:type="dxa"/>
            <w:vAlign w:val="bottom"/>
            <w:gridSpan w:val="2"/>
          </w:tcPr>
          <w:p>
            <w:pPr>
              <w:ind w:left="1680"/>
              <w:spacing w:after="0"/>
              <w:rPr>
                <w:sz w:val="20"/>
                <w:szCs w:val="20"/>
                <w:color w:val="auto"/>
              </w:rPr>
            </w:pPr>
            <w:r>
              <w:rPr>
                <w:rFonts w:ascii="Courier New" w:cs="Courier New" w:eastAsia="Courier New" w:hAnsi="Courier New"/>
                <w:sz w:val="18"/>
                <w:szCs w:val="18"/>
                <w:color w:val="auto"/>
              </w:rPr>
              <w:t>Present Principal Occupation</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EXECUTIVE OFFICERS</w:t>
            </w:r>
          </w:p>
        </w:tc>
        <w:tc>
          <w:tcPr>
            <w:tcW w:w="24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William R. Arathoon</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4"/>
                <w:szCs w:val="24"/>
                <w:color w:val="auto"/>
              </w:rPr>
            </w:pPr>
          </w:p>
        </w:tc>
      </w:tr>
      <w:tr>
        <w:trPr>
          <w:trHeight w:val="203"/>
        </w:trPr>
        <w:tc>
          <w:tcPr>
            <w:tcW w:w="348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w w:val="96"/>
              </w:rPr>
              <w:t>Process Sciences</w:t>
            </w:r>
          </w:p>
        </w:tc>
        <w:tc>
          <w:tcPr>
            <w:tcW w:w="232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Gregory P. Baird</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4"/>
                <w:szCs w:val="24"/>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Corporate Communications</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Jerry Beers</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Marketing</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David W. Beier</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4"/>
                <w:szCs w:val="24"/>
                <w:color w:val="auto"/>
              </w:rPr>
            </w:pP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Government Affairs</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Robert L. Garnick, Ph.D.</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Quality</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Marty Glick</w:t>
            </w:r>
          </w:p>
        </w:tc>
        <w:tc>
          <w:tcPr>
            <w:tcW w:w="47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Vice President and</w:t>
            </w:r>
          </w:p>
        </w:tc>
      </w:tr>
      <w:tr>
        <w:trPr>
          <w:trHeight w:val="203"/>
        </w:trPr>
        <w:tc>
          <w:tcPr>
            <w:tcW w:w="348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Treasurer</w:t>
            </w:r>
          </w:p>
        </w:tc>
        <w:tc>
          <w:tcPr>
            <w:tcW w:w="232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Bradford S. Goodwin</w:t>
            </w:r>
          </w:p>
        </w:tc>
        <w:tc>
          <w:tcPr>
            <w:tcW w:w="47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Vice President and</w:t>
            </w:r>
          </w:p>
        </w:tc>
      </w:tr>
      <w:tr>
        <w:trPr>
          <w:trHeight w:val="203"/>
        </w:trPr>
        <w:tc>
          <w:tcPr>
            <w:tcW w:w="348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Controller</w:t>
            </w:r>
          </w:p>
        </w:tc>
        <w:tc>
          <w:tcPr>
            <w:tcW w:w="232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Susan D. Desmond-Hellman</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Medical</w:t>
            </w:r>
          </w:p>
        </w:tc>
      </w:tr>
      <w:tr>
        <w:trPr>
          <w:trHeight w:val="203"/>
        </w:trPr>
        <w:tc>
          <w:tcPr>
            <w:tcW w:w="348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Affairs</w:t>
            </w:r>
          </w:p>
        </w:tc>
        <w:tc>
          <w:tcPr>
            <w:tcW w:w="232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Dennis Henner</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Research</w:t>
            </w:r>
          </w:p>
        </w:tc>
      </w:tr>
      <w:tr>
        <w:trPr>
          <w:trHeight w:val="203"/>
        </w:trPr>
        <w:tc>
          <w:tcPr>
            <w:tcW w:w="348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Technology</w:t>
            </w:r>
          </w:p>
        </w:tc>
        <w:tc>
          <w:tcPr>
            <w:tcW w:w="232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Paul F. Hohenschuh</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Manufacturing</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Edmon R. Jennings</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Corporate</w:t>
            </w:r>
          </w:p>
        </w:tc>
      </w:tr>
      <w:tr>
        <w:trPr>
          <w:trHeight w:val="203"/>
        </w:trPr>
        <w:tc>
          <w:tcPr>
            <w:tcW w:w="348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Development</w:t>
            </w:r>
          </w:p>
        </w:tc>
        <w:tc>
          <w:tcPr>
            <w:tcW w:w="2320" w:type="dxa"/>
            <w:vAlign w:val="bottom"/>
          </w:tcPr>
          <w:p>
            <w:pPr>
              <w:spacing w:after="0"/>
              <w:rPr>
                <w:sz w:val="17"/>
                <w:szCs w:val="17"/>
                <w:color w:val="auto"/>
              </w:rPr>
            </w:pP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Stephen G. Juelsgaard</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General</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Counsel and Assistant Secretary</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Cynthia J. Ladd</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Corporate Law</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Louis J. Lavigne, Jr.</w:t>
            </w:r>
          </w:p>
        </w:tc>
        <w:tc>
          <w:tcPr>
            <w:tcW w:w="47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Senior Vice President and</w:t>
            </w:r>
          </w:p>
        </w:tc>
      </w:tr>
      <w:tr>
        <w:trPr>
          <w:trHeight w:val="203"/>
        </w:trPr>
        <w:tc>
          <w:tcPr>
            <w:tcW w:w="348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Chief Financial</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Arthur D. Levinson, Ph.D.</w:t>
            </w:r>
          </w:p>
        </w:tc>
        <w:tc>
          <w:tcPr>
            <w:tcW w:w="4740" w:type="dxa"/>
            <w:vAlign w:val="bottom"/>
            <w:gridSpan w:val="2"/>
          </w:tcPr>
          <w:p>
            <w:pPr>
              <w:ind w:left="740"/>
              <w:spacing w:after="0"/>
              <w:rPr>
                <w:sz w:val="20"/>
                <w:szCs w:val="20"/>
                <w:color w:val="auto"/>
              </w:rPr>
            </w:pPr>
            <w:r>
              <w:rPr>
                <w:rFonts w:ascii="Courier New" w:cs="Courier New" w:eastAsia="Courier New" w:hAnsi="Courier New"/>
                <w:sz w:val="18"/>
                <w:szCs w:val="18"/>
                <w:color w:val="auto"/>
              </w:rPr>
              <w:t>Director and President and</w:t>
            </w:r>
          </w:p>
        </w:tc>
      </w:tr>
      <w:tr>
        <w:trPr>
          <w:trHeight w:val="203"/>
        </w:trPr>
        <w:tc>
          <w:tcPr>
            <w:tcW w:w="348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Chief Executive</w:t>
            </w: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Officer</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Ted W. Love</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Product Development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M. David MacFarlane, Ph.D.</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Regulatory Affairs</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John P. McLaughlin</w:t>
            </w:r>
          </w:p>
        </w:tc>
        <w:tc>
          <w:tcPr>
            <w:tcW w:w="474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6"/>
              </w:rPr>
              <w:t>Executive Vice President and Secretary</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Polly Moore</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Information Resources</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James P. Panek</w:t>
            </w:r>
          </w:p>
        </w:tc>
        <w:tc>
          <w:tcPr>
            <w:tcW w:w="2420" w:type="dxa"/>
            <w:vAlign w:val="bottom"/>
          </w:tcPr>
          <w:p>
            <w:pPr>
              <w:ind w:left="740"/>
              <w:spacing w:after="0"/>
              <w:rPr>
                <w:sz w:val="20"/>
                <w:szCs w:val="20"/>
                <w:color w:val="auto"/>
              </w:rPr>
            </w:pPr>
            <w:r>
              <w:rPr>
                <w:rFonts w:ascii="Courier New" w:cs="Courier New" w:eastAsia="Courier New" w:hAnsi="Courier New"/>
                <w:sz w:val="18"/>
                <w:szCs w:val="18"/>
                <w:color w:val="auto"/>
              </w:rPr>
              <w:t>Vice President,</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Engineering &amp;</w:t>
            </w:r>
          </w:p>
        </w:tc>
      </w:tr>
      <w:tr>
        <w:trPr>
          <w:trHeight w:val="203"/>
        </w:trPr>
        <w:tc>
          <w:tcPr>
            <w:tcW w:w="3480" w:type="dxa"/>
            <w:vAlign w:val="bottom"/>
          </w:tcPr>
          <w:p>
            <w:pPr>
              <w:spacing w:after="0"/>
              <w:rPr>
                <w:sz w:val="17"/>
                <w:szCs w:val="17"/>
                <w:color w:val="auto"/>
              </w:rPr>
            </w:pPr>
          </w:p>
        </w:tc>
        <w:tc>
          <w:tcPr>
            <w:tcW w:w="242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Facilities</w:t>
            </w:r>
          </w:p>
        </w:tc>
        <w:tc>
          <w:tcPr>
            <w:tcW w:w="2320" w:type="dxa"/>
            <w:vAlign w:val="bottom"/>
          </w:tcPr>
          <w:p>
            <w:pPr>
              <w:spacing w:after="0"/>
              <w:rPr>
                <w:sz w:val="17"/>
                <w:szCs w:val="17"/>
                <w:color w:val="auto"/>
              </w:rPr>
            </w:pPr>
          </w:p>
        </w:tc>
      </w:tr>
    </w:tbl>
    <w:p>
      <w:pPr>
        <w:sectPr>
          <w:pgSz w:w="11900" w:h="16838" w:orient="portrait"/>
          <w:cols w:equalWidth="0" w:num="1">
            <w:col w:w="10219"/>
          </w:cols>
          <w:pgMar w:left="240" w:top="317"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4493070 10 5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 of 10</w:t>
      </w:r>
    </w:p>
    <w:p>
      <w:pPr>
        <w:spacing w:after="0" w:line="200" w:lineRule="exact"/>
        <w:rPr>
          <w:sz w:val="20"/>
          <w:szCs w:val="20"/>
          <w:color w:val="auto"/>
        </w:rPr>
      </w:pPr>
    </w:p>
    <w:p>
      <w:pPr>
        <w:sectPr>
          <w:pgSz w:w="11900" w:h="16838" w:orient="portrait"/>
          <w:cols w:equalWidth="0" w:num="3">
            <w:col w:w="960" w:space="200"/>
            <w:col w:w="5300" w:space="720"/>
            <w:col w:w="303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Kim Popovits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Sales</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Stephen Raines, Ph.D.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Intellectual Property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Assistant Secretary</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Nicholas J. Simon, III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Business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Development</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Stump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Vice President and Genentech Fellow</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D. Young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Executive Vice President</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2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DIRECTORS</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Herbert W. Boyer, Ph.D.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Genentech</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 Jurgen Drews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International Research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Development of the Roche Group</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Dr. Franz B. Humer</w:t>
      </w:r>
    </w:p>
    <w:p>
      <w:pPr>
        <w:spacing w:after="0" w:line="20" w:lineRule="exact"/>
        <w:rPr>
          <w:sz w:val="20"/>
          <w:szCs w:val="20"/>
          <w:color w:val="auto"/>
        </w:rPr>
      </w:pPr>
      <w:r>
        <w:rPr>
          <w:sz w:val="20"/>
          <w:szCs w:val="20"/>
          <w:color w:val="auto"/>
        </w:rPr>
        <w:br w:type="column"/>
      </w:r>
    </w:p>
    <w:p>
      <w:pPr>
        <w:ind w:right="1779"/>
        <w:spacing w:after="0" w:line="290" w:lineRule="auto"/>
        <w:rPr>
          <w:sz w:val="20"/>
          <w:szCs w:val="20"/>
          <w:color w:val="auto"/>
        </w:rPr>
      </w:pPr>
      <w:r>
        <w:rPr>
          <w:rFonts w:ascii="Courier New" w:cs="Courier New" w:eastAsia="Courier New" w:hAnsi="Courier New"/>
          <w:sz w:val="16"/>
          <w:szCs w:val="16"/>
          <w:color w:val="auto"/>
        </w:rPr>
        <w:t>Director and Head of the Pharmaceuticals Division of Roche Holding Ltd</w:t>
      </w:r>
    </w:p>
    <w:p>
      <w:pPr>
        <w:spacing w:after="0" w:line="17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Linda Fayne Levinson</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President of Fayne Levinson Associates, Inc.</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 Richard Munro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Executive Committee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Time Warner Inc.</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Donald L. Murfin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General Manager of Chemical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Materials Enterprise Associates, L.P.</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John T. Potts, Jr., M.D.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Physician-in-Chief at Massachusetts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 Hospital</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 Thomas Smith, Jr.</w:t>
      </w:r>
    </w:p>
    <w:p>
      <w:pPr>
        <w:spacing w:after="0" w:line="20" w:lineRule="exact"/>
        <w:rPr>
          <w:sz w:val="20"/>
          <w:szCs w:val="20"/>
          <w:color w:val="auto"/>
        </w:rPr>
      </w:pPr>
      <w:r>
        <w:rPr>
          <w:sz w:val="20"/>
          <w:szCs w:val="20"/>
          <w:color w:val="auto"/>
        </w:rPr>
        <w:br w:type="column"/>
      </w:r>
    </w:p>
    <w:p>
      <w:pPr>
        <w:ind w:right="1779"/>
        <w:spacing w:after="0" w:line="235" w:lineRule="auto"/>
        <w:rPr>
          <w:sz w:val="20"/>
          <w:szCs w:val="20"/>
          <w:color w:val="auto"/>
        </w:rPr>
      </w:pPr>
      <w:r>
        <w:rPr>
          <w:rFonts w:ascii="Courier New" w:cs="Courier New" w:eastAsia="Courier New" w:hAnsi="Courier New"/>
          <w:sz w:val="18"/>
          <w:szCs w:val="18"/>
          <w:color w:val="auto"/>
        </w:rPr>
        <w:t>President and Chief Executive Officer of VHA, Inc.</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A. Swanson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Chairman of the Board of Genentech, Inc.</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S. Tappan, Jr.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of Genentech, Inc.</w:t>
      </w:r>
    </w:p>
    <w:p>
      <w:pPr>
        <w:spacing w:after="0" w:line="200" w:lineRule="exact"/>
        <w:rPr>
          <w:sz w:val="20"/>
          <w:szCs w:val="20"/>
          <w:color w:val="auto"/>
        </w:rPr>
      </w:pPr>
    </w:p>
    <w:p>
      <w:pPr>
        <w:sectPr>
          <w:pgSz w:w="11900" w:h="16838" w:orient="portrait"/>
          <w:cols w:equalWidth="0" w:num="2">
            <w:col w:w="3500" w:space="720"/>
            <w:col w:w="5999"/>
          </w:cols>
          <w:pgMar w:left="240" w:top="317" w:right="1440" w:bottom="1440" w:gutter="0" w:footer="0" w:header="0"/>
          <w:type w:val="continuous"/>
        </w:sectPr>
      </w:pPr>
    </w:p>
    <w:p>
      <w:pPr>
        <w:spacing w:after="0" w:line="24" w:lineRule="exact"/>
        <w:rPr>
          <w:sz w:val="20"/>
          <w:szCs w:val="20"/>
          <w:color w:val="auto"/>
        </w:rPr>
      </w:pPr>
    </w:p>
    <w:p>
      <w:pPr>
        <w:ind w:right="120"/>
        <w:spacing w:after="0" w:line="290" w:lineRule="auto"/>
        <w:rPr>
          <w:sz w:val="20"/>
          <w:szCs w:val="20"/>
          <w:color w:val="auto"/>
        </w:rPr>
      </w:pPr>
      <w:r>
        <w:rPr>
          <w:rFonts w:ascii="Courier New" w:cs="Courier New" w:eastAsia="Courier New" w:hAnsi="Courier New"/>
          <w:sz w:val="16"/>
          <w:szCs w:val="16"/>
          <w:color w:val="auto"/>
        </w:rPr>
        <w:t>MAILING ADDRESS FOR ALL EXECUTIVE OFFICERS AND DIRECTORS:</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460 Point San Bruno Boulevard</w:t>
      </w:r>
    </w:p>
    <w:p>
      <w:pPr>
        <w:spacing w:after="0"/>
        <w:tabs>
          <w:tab w:leader="none" w:pos="2620" w:val="left"/>
        </w:tabs>
        <w:rPr>
          <w:sz w:val="20"/>
          <w:szCs w:val="20"/>
          <w:color w:val="auto"/>
        </w:rPr>
      </w:pPr>
      <w:r>
        <w:rPr>
          <w:rFonts w:ascii="Courier New" w:cs="Courier New" w:eastAsia="Courier New" w:hAnsi="Courier New"/>
          <w:sz w:val="18"/>
          <w:szCs w:val="18"/>
          <w:color w:val="auto"/>
        </w:rPr>
        <w:t>South San Francisco, CA</w:t>
      </w:r>
      <w:r>
        <w:rPr>
          <w:sz w:val="20"/>
          <w:szCs w:val="20"/>
          <w:color w:val="auto"/>
        </w:rPr>
        <w:tab/>
      </w:r>
      <w:r>
        <w:rPr>
          <w:rFonts w:ascii="Courier New" w:cs="Courier New" w:eastAsia="Courier New" w:hAnsi="Courier New"/>
          <w:sz w:val="16"/>
          <w:szCs w:val="16"/>
          <w:color w:val="auto"/>
        </w:rPr>
        <w:t>94080-4990</w:t>
      </w:r>
    </w:p>
    <w:p>
      <w:pPr>
        <w:spacing w:after="0" w:line="200" w:lineRule="exact"/>
        <w:rPr>
          <w:sz w:val="20"/>
          <w:szCs w:val="20"/>
          <w:color w:val="auto"/>
        </w:rPr>
      </w:pPr>
    </w:p>
    <w:p>
      <w:pPr>
        <w:sectPr>
          <w:pgSz w:w="11900" w:h="16838" w:orient="portrait"/>
          <w:cols w:equalWidth="0" w:num="2">
            <w:col w:w="3600" w:space="720"/>
            <w:col w:w="5899"/>
          </w:cols>
          <w:pgMar w:left="240" w:top="317" w:right="1440" w:bottom="1440" w:gutter="0" w:footer="0" w:header="0"/>
          <w:type w:val="continuous"/>
        </w:sectPr>
      </w:pPr>
    </w:p>
    <w:p>
      <w:pPr>
        <w:spacing w:after="0" w:line="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During the last five years: (i) none of the individuals described above has been convicted in a criminal proceeding (excluding traffic violations or similar misdemeanors); and (ii) none of the individuals described above has been a party to a civil proceeding of a judicial or administrative body of competent jurisdiction which as a result of such proceeding was or is subject to a judgment, decree or final order enjoining future violations of, or prohibiting or mandating activities subject to, federal or state securities laws or finding any violation with respect to such laws. Each of the individuals listed above is a U.S. citizen, except Dr. Humer who is a citizen of Switzerland and Dr. Drews who is a citizen of Germany.</w:t>
      </w:r>
    </w:p>
    <w:p>
      <w:pPr>
        <w:sectPr>
          <w:pgSz w:w="11900" w:h="16838" w:orient="portrait"/>
          <w:cols w:equalWidth="0" w:num="1">
            <w:col w:w="10219"/>
          </w:cols>
          <w:pgMar w:left="240" w:top="317" w:right="1440" w:bottom="1440"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17"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4493070 10 5</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9 of 10</w:t>
      </w:r>
    </w:p>
    <w:p>
      <w:pPr>
        <w:spacing w:after="0" w:line="200" w:lineRule="exact"/>
        <w:rPr>
          <w:sz w:val="20"/>
          <w:szCs w:val="20"/>
          <w:color w:val="auto"/>
        </w:rPr>
      </w:pPr>
    </w:p>
    <w:p>
      <w:pPr>
        <w:sectPr>
          <w:pgSz w:w="11900" w:h="16838" w:orient="portrait"/>
          <w:cols w:equalWidth="0" w:num="3">
            <w:col w:w="960" w:space="200"/>
            <w:col w:w="5300" w:space="720"/>
            <w:col w:w="3039"/>
          </w:cols>
          <w:pgMar w:left="240" w:top="317" w:right="1440" w:bottom="1440" w:gutter="0" w:footer="0" w:header="0"/>
          <w:type w:val="continuous"/>
        </w:sectPr>
      </w:pPr>
    </w:p>
    <w:p>
      <w:pPr>
        <w:spacing w:after="0" w:line="1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EXHIBIT B</w:t>
      </w: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ACCELERATION AGREEMENT</w:t>
      </w:r>
    </w:p>
    <w:p>
      <w:pPr>
        <w:sectPr>
          <w:pgSz w:w="11900" w:h="16838" w:orient="portrait"/>
          <w:cols w:equalWidth="0" w:num="1">
            <w:col w:w="10219"/>
          </w:cols>
          <w:pgMar w:left="240" w:top="317" w:right="1440" w:bottom="1440" w:gutter="0" w:footer="0" w:header="0"/>
          <w:type w:val="continuous"/>
        </w:sectPr>
      </w:pPr>
    </w:p>
    <w:p>
      <w:pPr>
        <w:spacing w:after="0" w:line="224"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This Acceleration Agreement (the Agreement) is made and entered into as of this 9th day of May, 1996 (the Effective Date) between IDEC Pharmaceuticals Corporation, a California corporation (the Company) and Genentech, Inc., a Delaware corporation (Buyer).</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WHEREAS, the Company and Buyer have entered into a Collaboration Agreement (the Collaboration Agreement), a Preferred Stock Purchase Agreement (the Purchase Agreement) and an Option Agreement (the Option), each dated as of March 16, 1995.</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WHEREAS, the Company and Buyer both desire to have Buyer accelerate the acquisition of 100,000 shares of the Company's Series A-6 Preferred Stock (the Third Purchase Shares) pursuant to Section 2(f) of the Purchase Agreement.</w:t>
      </w:r>
    </w:p>
    <w:p>
      <w:pPr>
        <w:spacing w:after="0" w:line="178"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WHEREAS, in consideration of Buyer's acceleration of the Third Purchase, the Company is willing to agree to exercise its rights under the Option, if at all, in the form of a subordinated note rather than as shares of Series A-7 Preferred Stock and to make certain other agreements, all as described below.</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NOW, THEREFORE, THE COMPANY AND BUYER AGREE AS FOLLOWS:</w:t>
      </w:r>
    </w:p>
    <w:p>
      <w:pPr>
        <w:spacing w:after="0" w:line="207" w:lineRule="exact"/>
        <w:rPr>
          <w:sz w:val="20"/>
          <w:szCs w:val="20"/>
          <w:color w:val="auto"/>
        </w:rPr>
      </w:pPr>
    </w:p>
    <w:p>
      <w:pPr>
        <w:ind w:right="1879" w:firstLine="956"/>
        <w:spacing w:after="0" w:line="236" w:lineRule="auto"/>
        <w:tabs>
          <w:tab w:leader="none" w:pos="189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Capitalized terms not defined herein shall have the meaning given them in the Collaboration Agreement or the Purchase Agreement, as applicable.</w:t>
      </w:r>
    </w:p>
    <w:p>
      <w:pPr>
        <w:spacing w:after="0" w:line="208" w:lineRule="exact"/>
        <w:rPr>
          <w:rFonts w:ascii="Courier New" w:cs="Courier New" w:eastAsia="Courier New" w:hAnsi="Courier New"/>
          <w:sz w:val="18"/>
          <w:szCs w:val="18"/>
          <w:color w:val="auto"/>
        </w:rPr>
      </w:pPr>
    </w:p>
    <w:p>
      <w:pPr>
        <w:ind w:right="1779" w:firstLine="956"/>
        <w:spacing w:after="0" w:line="237" w:lineRule="auto"/>
        <w:tabs>
          <w:tab w:leader="none" w:pos="189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Buyer agree that Buyer shall not be required to purchase the Further Delayed Second Purchase Shares as described in Section 2(e) of the Purchase Agreement. The Company further agrees that it shall not cancel, repurchase or redeem any shares of preferred stock or common stock owned by Buyer or its affiliates under Section B.6 of the Certificate of Determination of Preferences of Preferred Shares of the Company filed with the California Secretary of State on March 28, 1995.</w:t>
      </w:r>
    </w:p>
    <w:p>
      <w:pPr>
        <w:spacing w:after="0" w:line="211" w:lineRule="exact"/>
        <w:rPr>
          <w:rFonts w:ascii="Courier New" w:cs="Courier New" w:eastAsia="Courier New" w:hAnsi="Courier New"/>
          <w:sz w:val="18"/>
          <w:szCs w:val="18"/>
          <w:color w:val="auto"/>
        </w:rPr>
      </w:pPr>
    </w:p>
    <w:p>
      <w:pPr>
        <w:ind w:right="1879" w:firstLine="956"/>
        <w:spacing w:after="0" w:line="237" w:lineRule="auto"/>
        <w:tabs>
          <w:tab w:leader="none" w:pos="189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 Agreement shall be and hereby is amended to provide that, in lieu of the Third Purchase as specified in Section 2(f) of the Purchase Agreement, Buyer shall instead purchase the Third Purchase Shares (at $75.00 per share) on May 9, 1996 (the Closing Date). On the Closing Date, the Company will deliver to Buyer, stock certificates representing the Third Purchase Shares against payment of $7,500,000 by wire transfer of immediately available United States Dollars to such account of the Company as the Company may specify in writing to Buyer not less than three (3) Business Days prior to the Closing Date.</w:t>
      </w:r>
    </w:p>
    <w:p>
      <w:pPr>
        <w:spacing w:after="0" w:line="207"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shall be and hereby is amended as follows:</w:t>
      </w:r>
    </w:p>
    <w:p>
      <w:pPr>
        <w:spacing w:after="0" w:line="207" w:lineRule="exact"/>
        <w:rPr>
          <w:sz w:val="20"/>
          <w:szCs w:val="20"/>
          <w:color w:val="auto"/>
        </w:rPr>
      </w:pPr>
    </w:p>
    <w:p>
      <w:pPr>
        <w:ind w:left="1900" w:right="2199" w:hanging="944"/>
        <w:spacing w:after="0" w:line="235"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Sections 2 and 3 of the Option shall be amended to read as follows:</w:t>
      </w:r>
    </w:p>
    <w:p>
      <w:pPr>
        <w:spacing w:after="0" w:line="208" w:lineRule="exact"/>
        <w:rPr>
          <w:rFonts w:ascii="Courier New" w:cs="Courier New" w:eastAsia="Courier New" w:hAnsi="Courier New"/>
          <w:sz w:val="18"/>
          <w:szCs w:val="18"/>
          <w:color w:val="auto"/>
        </w:rPr>
      </w:pPr>
    </w:p>
    <w:p>
      <w:pPr>
        <w:ind w:right="1779" w:firstLine="8"/>
        <w:spacing w:after="0" w:line="237" w:lineRule="auto"/>
        <w:tabs>
          <w:tab w:leader="none" w:pos="948"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At any time after the Product License Application Filing Event but before the FDA Review Event, the Company shall have the right (the Put Right) to require Buyer to purchase for cash in the amount of Ten Million Dollars ($10,000,000) (the Purchase Price) a subordinated note, in substantially the form of Exhibit I hereto (the Note). The term Securities as used herein shall refer to the Note.</w:t>
      </w:r>
    </w:p>
    <w:p>
      <w:pPr>
        <w:spacing w:after="0" w:line="204"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3.1</w:t>
      </w:r>
      <w:r>
        <w:rPr>
          <w:rFonts w:ascii="Courier New" w:cs="Courier New" w:eastAsia="Courier New" w:hAnsi="Courier New"/>
          <w:sz w:val="16"/>
          <w:szCs w:val="16"/>
          <w:color w:val="auto"/>
        </w:rPr>
        <w:t>The closing of the purchase and sale of the Securities (the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Closing) shall take place, and payment of the Purchase Price shall be made, on the thirtieth (30th) day following notice given in the manner provided in Section 6 hereof by the Company of its intent to exercise the Put Right (the Closing Date). The Closing shall take place at 10:00 A.M. Pacific Time on the Closing Date at the offices of Brobeck, Phleger &amp; Harrison at Two Embarcadero Place, 2200 Geng Road, Palo Alto, California or at such other time or place as the Company and Buyer may agree in writing.</w:t>
      </w:r>
    </w:p>
    <w:p>
      <w:pPr>
        <w:sectPr>
          <w:pgSz w:w="11900" w:h="16838" w:orient="portrait"/>
          <w:cols w:equalWidth="0" w:num="1">
            <w:col w:w="10219"/>
          </w:cols>
          <w:pgMar w:left="240" w:top="317" w:right="1440" w:bottom="1440" w:gutter="0" w:footer="0" w:header="0"/>
          <w:type w:val="continuous"/>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312" w:right="1440" w:bottom="1440" w:gutter="0" w:footer="0" w:header="0"/>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4493070 10 5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 10 of 10</w:t>
      </w:r>
    </w:p>
    <w:p>
      <w:pPr>
        <w:spacing w:after="0" w:line="200" w:lineRule="exact"/>
        <w:rPr>
          <w:sz w:val="20"/>
          <w:szCs w:val="20"/>
          <w:color w:val="auto"/>
        </w:rPr>
      </w:pPr>
    </w:p>
    <w:p>
      <w:pPr>
        <w:sectPr>
          <w:pgSz w:w="11900" w:h="16838" w:orient="portrait"/>
          <w:cols w:equalWidth="0" w:num="3">
            <w:col w:w="960" w:space="200"/>
            <w:col w:w="5180" w:space="720"/>
            <w:col w:w="3159"/>
          </w:cols>
          <w:pgMar w:left="240" w:top="312" w:right="1440" w:bottom="1440" w:gutter="0" w:footer="0" w:header="0"/>
          <w:type w:val="continuous"/>
        </w:sectPr>
      </w:pPr>
    </w:p>
    <w:p>
      <w:pPr>
        <w:spacing w:after="0" w:line="226"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3.2 The Purchase Price shall be paid in full by Buyer at the Closing, by wire transfer of immediately available federal funds or by bank cashier's or certified check, against execution and delivery by the Company of the Note.</w:t>
      </w:r>
    </w:p>
    <w:p>
      <w:pPr>
        <w:spacing w:after="0" w:line="202" w:lineRule="exact"/>
        <w:rPr>
          <w:sz w:val="20"/>
          <w:szCs w:val="20"/>
          <w:color w:val="auto"/>
        </w:rPr>
      </w:pPr>
    </w:p>
    <w:p>
      <w:pPr>
        <w:ind w:left="1580" w:hanging="624"/>
        <w:spacing w:after="0"/>
        <w:tabs>
          <w:tab w:leader="none" w:pos="1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Sections 4.1(e) and 4.2(v) shall be deleted.</w:t>
      </w:r>
    </w:p>
    <w:p>
      <w:pPr>
        <w:spacing w:after="0" w:line="207" w:lineRule="exact"/>
        <w:rPr>
          <w:sz w:val="20"/>
          <w:szCs w:val="20"/>
          <w:color w:val="auto"/>
        </w:rPr>
      </w:pPr>
    </w:p>
    <w:p>
      <w:pPr>
        <w:ind w:right="2419" w:firstLine="956"/>
        <w:spacing w:after="0" w:line="235" w:lineRule="auto"/>
        <w:tabs>
          <w:tab w:leader="none" w:pos="1896"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amended hereby, the Purchase Agreement and the Option shall remain in full force and effect.</w:t>
      </w:r>
    </w:p>
    <w:p>
      <w:pPr>
        <w:spacing w:after="0" w:line="202"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the terms and conditions of this Agreement shall inure to the benefit of and be binding upon the respective successors and assigns of the parties.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205"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be governed by and construed</w:t>
      </w:r>
    </w:p>
    <w:p>
      <w:pPr>
        <w:spacing w:after="0" w:line="4" w:lineRule="exact"/>
        <w:rPr>
          <w:rFonts w:ascii="Courier New" w:cs="Courier New" w:eastAsia="Courier New" w:hAnsi="Courier New"/>
          <w:sz w:val="18"/>
          <w:szCs w:val="18"/>
          <w:color w:val="auto"/>
        </w:rPr>
      </w:pPr>
    </w:p>
    <w:p>
      <w:pPr>
        <w:ind w:right="26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under the laws of the State of California as applied to agreements among California residents entered into and to be performed entirely within California.</w:t>
      </w:r>
    </w:p>
    <w:p>
      <w:pPr>
        <w:spacing w:after="0" w:line="203"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may be executed in two or more</w:t>
      </w:r>
    </w:p>
    <w:p>
      <w:pPr>
        <w:spacing w:after="0" w:line="4" w:lineRule="exact"/>
        <w:rPr>
          <w:rFonts w:ascii="Courier New" w:cs="Courier New" w:eastAsia="Courier New" w:hAnsi="Courier New"/>
          <w:sz w:val="18"/>
          <w:szCs w:val="18"/>
          <w:color w:val="auto"/>
        </w:rPr>
      </w:pPr>
    </w:p>
    <w:p>
      <w:pPr>
        <w:ind w:right="2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each of which shall be deemed an original, but all of which together shall constitute one and the same instrument.</w:t>
      </w:r>
    </w:p>
    <w:p>
      <w:pPr>
        <w:spacing w:after="0" w:line="202"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titles and subtitles used in this Agreement are</w:t>
      </w:r>
    </w:p>
    <w:p>
      <w:pPr>
        <w:spacing w:after="0" w:line="4" w:lineRule="exact"/>
        <w:rPr>
          <w:rFonts w:ascii="Courier New" w:cs="Courier New" w:eastAsia="Courier New" w:hAnsi="Courier New"/>
          <w:sz w:val="18"/>
          <w:szCs w:val="18"/>
          <w:color w:val="auto"/>
        </w:rPr>
      </w:pPr>
    </w:p>
    <w:p>
      <w:pPr>
        <w:ind w:right="27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used for convenience only and are not to be considered in construing or interpreting this Agreement.</w:t>
      </w:r>
    </w:p>
    <w:p>
      <w:pPr>
        <w:spacing w:after="0" w:line="202" w:lineRule="exact"/>
        <w:rPr>
          <w:rFonts w:ascii="Courier New" w:cs="Courier New" w:eastAsia="Courier New" w:hAnsi="Courier New"/>
          <w:sz w:val="18"/>
          <w:szCs w:val="18"/>
          <w:color w:val="auto"/>
        </w:rPr>
      </w:pPr>
    </w:p>
    <w:p>
      <w:pPr>
        <w:ind w:left="2860" w:hanging="956"/>
        <w:spacing w:after="0"/>
        <w:tabs>
          <w:tab w:leader="none" w:pos="286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provided, any notice required or</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permitted under this Agreement shall be given as specified in the Purchase Agreement and the Option.</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84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term of this Agreement may be amended and the observance of any term of this Agreement may be waived (either generally or in a particular instance and either retroactively or prospectively), only with the written consent of the Company and Buyer.</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IN WITNESS WHEREOF, the Company and Buyer have caused this Agreement to be executed by their respective officers thereunto duly authorized, as of the date first 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IDEC PHARMACEUTICALS CORPORATION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William H. Rastetter</w:t>
      </w:r>
    </w:p>
    <w:p>
      <w:pPr>
        <w:ind w:left="3160"/>
        <w:spacing w:after="0" w:line="238" w:lineRule="auto"/>
        <w:rPr>
          <w:sz w:val="20"/>
          <w:szCs w:val="20"/>
          <w:color w:val="auto"/>
        </w:rPr>
      </w:pPr>
      <w:r>
        <w:rPr>
          <w:rFonts w:ascii="Courier New" w:cs="Courier New" w:eastAsia="Courier New" w:hAnsi="Courier New"/>
          <w:sz w:val="18"/>
          <w:szCs w:val="18"/>
          <w:color w:val="auto"/>
        </w:rPr>
        <w:t>Title: President and Chief Executive Officer</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GENENTECH, INC.</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Arthur D. Levinson</w:t>
      </w:r>
    </w:p>
    <w:p>
      <w:pPr>
        <w:ind w:left="3160"/>
        <w:spacing w:after="0" w:line="238" w:lineRule="auto"/>
        <w:rPr>
          <w:sz w:val="20"/>
          <w:szCs w:val="20"/>
          <w:color w:val="auto"/>
        </w:rPr>
      </w:pPr>
      <w:r>
        <w:rPr>
          <w:rFonts w:ascii="Courier New" w:cs="Courier New" w:eastAsia="Courier New" w:hAnsi="Courier New"/>
          <w:sz w:val="18"/>
          <w:szCs w:val="18"/>
          <w:color w:val="auto"/>
        </w:rPr>
        <w:t>Title: President and Chief Executive Officer</w:t>
      </w:r>
    </w:p>
    <w:sectPr>
      <w:pgSz w:w="11900" w:h="16838" w:orient="portrait"/>
      <w:cols w:equalWidth="0" w:num="1">
        <w:col w:w="10219"/>
      </w:cols>
      <w:pgMar w:left="240" w:top="3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lvl w:ilvl="1">
      <w:lvlJc w:val="left"/>
      <w:lvlText w:val="(%2)"/>
      <w:numFmt w:val="decimal"/>
      <w:start w:val="619"/>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lvl w:ilvl="1">
      <w:lvlJc w:val="left"/>
      <w:lvlText w:val="(%2)"/>
      <w:numFmt w:val="decimal"/>
      <w:start w:val="1"/>
    </w:lvl>
  </w:abstractNum>
  <w:abstractNum w:abstractNumId="6">
    <w:nsid w:val="25E45D32"/>
    <w:multiLevelType w:val="hybridMultilevel"/>
    <w:lvl w:ilvl="0">
      <w:lvlJc w:val="left"/>
      <w:lvlText w:val="-"/>
      <w:numFmt w:val="bullet"/>
      <w:start w:val="1"/>
    </w:lvl>
    <w:lvl w:ilvl="1">
      <w:lvlJc w:val="left"/>
      <w:lvlText w:val="(%2)"/>
      <w:numFmt w:val="decimal"/>
      <w:start w:val="2"/>
    </w:lvl>
  </w:abstractNum>
  <w:abstractNum w:abstractNumId="7">
    <w:nsid w:val="519B500D"/>
    <w:multiLevelType w:val="hybridMultilevel"/>
    <w:lvl w:ilvl="0">
      <w:lvlJc w:val="left"/>
      <w:lvlText w:val="-"/>
      <w:numFmt w:val="bullet"/>
      <w:start w:val="1"/>
    </w:lvl>
    <w:lvl w:ilvl="1">
      <w:lvlJc w:val="left"/>
      <w:lvlText w:val="(%2)"/>
      <w:numFmt w:val="decimal"/>
      <w:start w:val="3"/>
    </w:lvl>
  </w:abstractNum>
  <w:abstractNum w:abstractNumId="8">
    <w:nsid w:val="431BD7B7"/>
    <w:multiLevelType w:val="hybridMultilevel"/>
    <w:lvl w:ilvl="0">
      <w:lvlJc w:val="left"/>
      <w:lvlText w:val="-"/>
      <w:numFmt w:val="bullet"/>
      <w:start w:val="1"/>
    </w:lvl>
    <w:lvl w:ilvl="1">
      <w:lvlJc w:val="left"/>
      <w:lvlText w:val="(%2)"/>
      <w:numFmt w:val="decimal"/>
      <w:start w:val="4"/>
    </w:lvl>
  </w:abstractNum>
  <w:abstractNum w:abstractNumId="9">
    <w:nsid w:val="3F2DBA31"/>
    <w:multiLevelType w:val="hybridMultilevel"/>
    <w:lvl w:ilvl="0">
      <w:lvlJc w:val="left"/>
      <w:lvlText w:val="-"/>
      <w:numFmt w:val="bullet"/>
      <w:start w:val="1"/>
    </w:lvl>
    <w:lvl w:ilvl="1">
      <w:lvlJc w:val="left"/>
      <w:lvlText w:val="(%2)"/>
      <w:numFmt w:val="decimal"/>
      <w:start w:val="5"/>
    </w:lvl>
  </w:abstractNum>
  <w:abstractNum w:abstractNumId="10">
    <w:nsid w:val="7C83E458"/>
    <w:multiLevelType w:val="hybridMultilevel"/>
    <w:lvl w:ilvl="0">
      <w:lvlJc w:val="left"/>
      <w:lvlText w:val="-"/>
      <w:numFmt w:val="bullet"/>
      <w:start w:val="1"/>
    </w:lvl>
    <w:lvl w:ilvl="1">
      <w:lvlJc w:val="left"/>
      <w:lvlText w:val="(%2)"/>
      <w:numFmt w:val="decimal"/>
      <w:start w:val="6"/>
    </w:lvl>
    <w:lvl w:ilvl="2">
      <w:lvlJc w:val="left"/>
      <w:lvlText w:val="["/>
      <w:numFmt w:val="bullet"/>
      <w:start w:val="1"/>
    </w:lvl>
  </w:abstractNum>
  <w:abstractNum w:abstractNumId="11">
    <w:nsid w:val="257130A3"/>
    <w:multiLevelType w:val="hybridMultilevel"/>
    <w:lvl w:ilvl="0">
      <w:lvlJc w:val="left"/>
      <w:lvlText w:val="(%1)"/>
      <w:numFmt w:val="decimal"/>
      <w:start w:val="9"/>
    </w:lvl>
  </w:abstractNum>
  <w:abstractNum w:abstractNumId="12">
    <w:nsid w:val="62BBD95A"/>
    <w:multiLevelType w:val="hybridMultilevel"/>
    <w:lvl w:ilvl="0">
      <w:lvlJc w:val="left"/>
      <w:lvlText w:val="-"/>
      <w:numFmt w:val="bullet"/>
      <w:start w:val="1"/>
    </w:lvl>
    <w:lvl w:ilvl="1">
      <w:lvlJc w:val="left"/>
      <w:lvlText w:val="(%2)"/>
      <w:numFmt w:val="decimal"/>
      <w:start w:val="11"/>
    </w:lvl>
  </w:abstractNum>
  <w:abstractNum w:abstractNumId="13">
    <w:nsid w:val="436C6125"/>
    <w:multiLevelType w:val="hybridMultilevel"/>
    <w:lvl w:ilvl="0">
      <w:lvlJc w:val="left"/>
      <w:lvlText w:val="-"/>
      <w:numFmt w:val="bullet"/>
      <w:start w:val="1"/>
    </w:lvl>
    <w:lvl w:ilvl="1">
      <w:lvlJc w:val="left"/>
      <w:lvlText w:val="(%2)"/>
      <w:numFmt w:val="decimal"/>
      <w:start w:val="12"/>
    </w:lvl>
  </w:abstractNum>
  <w:abstractNum w:abstractNumId="14">
    <w:nsid w:val="628C895D"/>
    <w:multiLevelType w:val="hybridMultilevel"/>
    <w:lvl w:ilvl="0">
      <w:lvlJc w:val="left"/>
      <w:lvlText w:val="-"/>
      <w:numFmt w:val="bullet"/>
      <w:start w:val="1"/>
    </w:lvl>
    <w:lvl w:ilvl="1">
      <w:lvlJc w:val="left"/>
      <w:lvlText w:val="(%2)"/>
      <w:numFmt w:val="decimal"/>
      <w:start w:val="13"/>
    </w:lvl>
  </w:abstractNum>
  <w:abstractNum w:abstractNumId="15">
    <w:nsid w:val="333AB105"/>
    <w:multiLevelType w:val="hybridMultilevel"/>
    <w:lvl w:ilvl="0">
      <w:lvlJc w:val="left"/>
      <w:lvlText w:val="-"/>
      <w:numFmt w:val="bullet"/>
      <w:start w:val="1"/>
    </w:lvl>
    <w:lvl w:ilvl="1">
      <w:lvlJc w:val="left"/>
      <w:lvlText w:val="(%2)"/>
      <w:numFmt w:val="decimal"/>
      <w:start w:val="14"/>
    </w:lvl>
  </w:abstractNum>
  <w:abstractNum w:abstractNumId="16">
    <w:nsid w:val="721DA317"/>
    <w:multiLevelType w:val="hybridMultilevel"/>
    <w:lvl w:ilvl="0">
      <w:lvlJc w:val="left"/>
      <w:lvlText w:val="%1."/>
      <w:numFmt w:val="decimal"/>
      <w:start w:val="1"/>
    </w:lvl>
  </w:abstractNum>
  <w:abstractNum w:abstractNumId="17">
    <w:nsid w:val="2443A858"/>
    <w:multiLevelType w:val="hybridMultilevel"/>
    <w:lvl w:ilvl="0">
      <w:lvlJc w:val="left"/>
      <w:lvlText w:val="%1."/>
      <w:numFmt w:val="lowerLetter"/>
      <w:start w:val="1"/>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lowerLetter"/>
      <w:start w:val="3"/>
    </w:lvl>
  </w:abstractNum>
  <w:abstractNum w:abstractNumId="20">
    <w:nsid w:val="75A2A8D4"/>
    <w:multiLevelType w:val="hybridMultilevel"/>
    <w:lvl w:ilvl="0">
      <w:lvlJc w:val="left"/>
      <w:lvlText w:val="%1"/>
      <w:numFmt w:val="decimal"/>
      <w:start w:val="1"/>
    </w:lvl>
    <w:lvl w:ilvl="1">
      <w:lvlJc w:val="left"/>
      <w:lvlText w:val="%2."/>
      <w:numFmt w:val="decimal"/>
      <w:start w:val="2"/>
    </w:lvl>
  </w:abstractNum>
  <w:abstractNum w:abstractNumId="21">
    <w:nsid w:val="8EDBDAB"/>
    <w:multiLevelType w:val="hybridMultilevel"/>
    <w:lvl w:ilvl="0">
      <w:lvlJc w:val="left"/>
      <w:lvlText w:val="(%1)"/>
      <w:numFmt w:val="decimal"/>
      <w:start w:val="1"/>
    </w:lvl>
    <w:lvl w:ilvl="1">
      <w:lvlJc w:val="left"/>
      <w:lvlText w:val="%2"/>
      <w:numFmt w:val="decimal"/>
      <w:start w:val="1"/>
    </w:lvl>
  </w:abstractNum>
  <w:abstractNum w:abstractNumId="22">
    <w:nsid w:val="79838CB2"/>
    <w:multiLevelType w:val="hybridMultilevel"/>
    <w:lvl w:ilvl="0">
      <w:lvlJc w:val="left"/>
      <w:lvlText w:val="%1."/>
      <w:numFmt w:val="decimal"/>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2"/>
    </w:lvl>
    <w:lvl w:ilvl="1">
      <w:lvlJc w:val="left"/>
      <w:lvlText w:val="%2"/>
      <w:numFmt w:val="lowerLetter"/>
      <w:start w:val="1"/>
    </w:lvl>
  </w:abstractNum>
  <w:abstractNum w:abstractNumId="25">
    <w:nsid w:val="189A769B"/>
    <w:multiLevelType w:val="hybridMultilevel"/>
    <w:lvl w:ilvl="0">
      <w:lvlJc w:val="left"/>
      <w:lvlText w:val="%1."/>
      <w:numFmt w:val="lowerLetter"/>
      <w:start w:val="2"/>
    </w:lvl>
  </w:abstractNum>
  <w:abstractNum w:abstractNumId="26">
    <w:nsid w:val="54E49EB4"/>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2019-12-13T20:02:43Z</dcterms:created>
  <dcterms:modified xsi:type="dcterms:W3CDTF">2019-12-13T20:02:43Z</dcterms:modified>
</cp:coreProperties>
</file>