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82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Sandrock Alfred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BIOGEN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225 BINNEY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BIOGEN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BIIB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02/23/2016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343"/>
        <w:spacing w:after="0"/>
        <w:rPr>
          <w:sz w:val="20"/>
          <w:szCs w:val="20"/>
          <w:color w:val="auto"/>
        </w:rPr>
      </w:pPr>
      <w:r>
        <w:rPr>
          <w:rFonts w:ascii="Arial" w:cs="Arial" w:eastAsia="Arial" w:hAnsi="Arial"/>
          <w:sz w:val="16"/>
          <w:szCs w:val="16"/>
          <w:color w:val="0000FF"/>
        </w:rPr>
        <w:t>EVP CMO Neuro &amp; Neurodegenerat</w:t>
      </w:r>
    </w:p>
    <w:p>
      <w:pPr>
        <w:spacing w:after="0" w:line="429"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80" w:type="dxa"/>
            <w:vAlign w:val="bottom"/>
            <w:gridSpan w:val="7"/>
          </w:tcPr>
          <w:p>
            <w:pPr>
              <w:jc w:val="right"/>
              <w:ind w:right="134"/>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720" w:type="dxa"/>
            <w:vAlign w:val="bottom"/>
            <w:gridSpan w:val="7"/>
          </w:tcPr>
          <w:p>
            <w:pPr>
              <w:ind w:left="3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02142</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w w:val="90"/>
              </w:rPr>
              <w:t>Person</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4140" w:type="dxa"/>
            <w:vAlign w:val="bottom"/>
            <w:tcBorders>
              <w:bottom w:val="single" w:sz="8" w:color="2C2C2C"/>
            </w:tcBorders>
            <w:gridSpan w:val="7"/>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4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840" w:type="dxa"/>
            <w:vAlign w:val="bottom"/>
            <w:gridSpan w:val="3"/>
          </w:tcPr>
          <w:p>
            <w:pPr>
              <w:ind w:left="840"/>
              <w:spacing w:after="0"/>
              <w:rPr>
                <w:sz w:val="20"/>
                <w:szCs w:val="20"/>
                <w:color w:val="auto"/>
              </w:rPr>
            </w:pPr>
            <w:r>
              <w:rPr>
                <w:rFonts w:ascii="Arial" w:cs="Arial" w:eastAsia="Arial" w:hAnsi="Arial"/>
                <w:sz w:val="18"/>
                <w:szCs w:val="18"/>
                <w:color w:val="0000FF"/>
              </w:rPr>
              <w:t>02/23/2016</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4"/>
                <w:szCs w:val="14"/>
                <w:color w:val="0000FF"/>
              </w:rPr>
              <w:t>M</w:t>
            </w:r>
          </w:p>
        </w:tc>
        <w:tc>
          <w:tcPr>
            <w:tcW w:w="760" w:type="dxa"/>
            <w:vAlign w:val="bottom"/>
          </w:tcPr>
          <w:p>
            <w:pPr>
              <w:ind w:left="440"/>
              <w:spacing w:after="0"/>
              <w:rPr>
                <w:sz w:val="20"/>
                <w:szCs w:val="20"/>
                <w:color w:val="auto"/>
              </w:rPr>
            </w:pPr>
            <w:r>
              <w:rPr>
                <w:rFonts w:ascii="Arial" w:cs="Arial" w:eastAsia="Arial" w:hAnsi="Arial"/>
                <w:sz w:val="18"/>
                <w:szCs w:val="18"/>
                <w:color w:val="0000FF"/>
                <w:w w:val="99"/>
              </w:rPr>
              <w:t>347</w:t>
            </w:r>
          </w:p>
        </w:tc>
        <w:tc>
          <w:tcPr>
            <w:tcW w:w="70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ind w:left="3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220" w:type="dxa"/>
            <w:vAlign w:val="bottom"/>
          </w:tcPr>
          <w:p>
            <w:pPr>
              <w:spacing w:after="0"/>
              <w:rPr>
                <w:sz w:val="23"/>
                <w:szCs w:val="23"/>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color w:val="0000FF"/>
              </w:rPr>
              <w:t>8,337</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840" w:type="dxa"/>
            <w:vAlign w:val="bottom"/>
            <w:gridSpan w:val="3"/>
          </w:tcPr>
          <w:p>
            <w:pPr>
              <w:ind w:left="840"/>
              <w:spacing w:after="0"/>
              <w:rPr>
                <w:sz w:val="20"/>
                <w:szCs w:val="20"/>
                <w:color w:val="auto"/>
              </w:rPr>
            </w:pPr>
            <w:r>
              <w:rPr>
                <w:rFonts w:ascii="Arial" w:cs="Arial" w:eastAsia="Arial" w:hAnsi="Arial"/>
                <w:sz w:val="18"/>
                <w:szCs w:val="18"/>
                <w:color w:val="0000FF"/>
              </w:rPr>
              <w:t>02/23/2016</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4"/>
                <w:szCs w:val="14"/>
                <w:color w:val="0000FF"/>
                <w:w w:val="92"/>
              </w:rPr>
              <w:t>F</w:t>
            </w:r>
          </w:p>
        </w:tc>
        <w:tc>
          <w:tcPr>
            <w:tcW w:w="760" w:type="dxa"/>
            <w:vAlign w:val="bottom"/>
          </w:tcPr>
          <w:p>
            <w:pPr>
              <w:ind w:left="440"/>
              <w:spacing w:after="0"/>
              <w:rPr>
                <w:sz w:val="20"/>
                <w:szCs w:val="20"/>
                <w:color w:val="auto"/>
              </w:rPr>
            </w:pPr>
            <w:r>
              <w:rPr>
                <w:rFonts w:ascii="Arial" w:cs="Arial" w:eastAsia="Arial" w:hAnsi="Arial"/>
                <w:sz w:val="18"/>
                <w:szCs w:val="18"/>
                <w:color w:val="0000FF"/>
                <w:w w:val="99"/>
              </w:rPr>
              <w:t>164</w:t>
            </w:r>
          </w:p>
        </w:tc>
        <w:tc>
          <w:tcPr>
            <w:tcW w:w="700" w:type="dxa"/>
            <w:vAlign w:val="bottom"/>
          </w:tcPr>
          <w:p>
            <w:pPr>
              <w:ind w:left="420"/>
              <w:spacing w:after="0"/>
              <w:rPr>
                <w:sz w:val="20"/>
                <w:szCs w:val="20"/>
                <w:color w:val="auto"/>
              </w:rPr>
            </w:pPr>
            <w:r>
              <w:rPr>
                <w:rFonts w:ascii="Arial" w:cs="Arial" w:eastAsia="Arial" w:hAnsi="Arial"/>
                <w:sz w:val="18"/>
                <w:szCs w:val="18"/>
                <w:color w:val="0000FF"/>
              </w:rPr>
              <w:t>D</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258.99</w:t>
            </w:r>
          </w:p>
        </w:tc>
        <w:tc>
          <w:tcPr>
            <w:tcW w:w="1260" w:type="dxa"/>
            <w:vAlign w:val="bottom"/>
            <w:gridSpan w:val="2"/>
          </w:tcPr>
          <w:p>
            <w:pPr>
              <w:ind w:left="400"/>
              <w:spacing w:after="0"/>
              <w:rPr>
                <w:sz w:val="20"/>
                <w:szCs w:val="20"/>
                <w:color w:val="auto"/>
              </w:rPr>
            </w:pPr>
            <w:r>
              <w:rPr>
                <w:rFonts w:ascii="Arial" w:cs="Arial" w:eastAsia="Arial" w:hAnsi="Arial"/>
                <w:sz w:val="18"/>
                <w:szCs w:val="18"/>
                <w:color w:val="0000FF"/>
              </w:rPr>
              <w:t>8,173</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3460" w:type="dxa"/>
            <w:vAlign w:val="bottom"/>
            <w:tcBorders>
              <w:bottom w:val="single" w:sz="8" w:color="2C2C2C"/>
            </w:tcBorders>
            <w:gridSpan w:val="6"/>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10"/>
          </w:tcPr>
          <w:p>
            <w:pPr>
              <w:ind w:left="7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02/23/2016</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jc w:val="center"/>
              <w:ind w:right="216"/>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6"/>
                <w:szCs w:val="16"/>
                <w:color w:val="auto"/>
              </w:rPr>
            </w:pPr>
          </w:p>
        </w:tc>
        <w:tc>
          <w:tcPr>
            <w:tcW w:w="800" w:type="dxa"/>
            <w:vAlign w:val="bottom"/>
            <w:vMerge w:val="restart"/>
          </w:tcPr>
          <w:p>
            <w:pPr>
              <w:ind w:left="460"/>
              <w:spacing w:after="0"/>
              <w:rPr>
                <w:sz w:val="20"/>
                <w:szCs w:val="20"/>
                <w:color w:val="auto"/>
              </w:rPr>
            </w:pPr>
            <w:r>
              <w:rPr>
                <w:rFonts w:ascii="Arial" w:cs="Arial" w:eastAsia="Arial" w:hAnsi="Arial"/>
                <w:sz w:val="14"/>
                <w:szCs w:val="14"/>
                <w:color w:val="0000FF"/>
              </w:rPr>
              <w:t>347</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760" w:type="dxa"/>
            <w:vAlign w:val="bottom"/>
            <w:vMerge w:val="restart"/>
          </w:tcPr>
          <w:p>
            <w:pPr>
              <w:ind w:left="60"/>
              <w:spacing w:after="0"/>
              <w:rPr>
                <w:sz w:val="20"/>
                <w:szCs w:val="20"/>
                <w:color w:val="auto"/>
              </w:rPr>
            </w:pPr>
            <w:r>
              <w:rPr>
                <w:rFonts w:ascii="Arial" w:cs="Arial" w:eastAsia="Arial" w:hAnsi="Arial"/>
                <w:sz w:val="14"/>
                <w:szCs w:val="14"/>
                <w:color w:val="0000FF"/>
                <w:w w:val="96"/>
              </w:rPr>
              <w:t>02/23/2018</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0000FF"/>
              </w:rPr>
              <w:t>347</w:t>
            </w:r>
          </w:p>
        </w:tc>
        <w:tc>
          <w:tcPr>
            <w:tcW w:w="22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vMerge w:val="restart"/>
          </w:tcPr>
          <w:p>
            <w:pPr>
              <w:ind w:left="260"/>
              <w:spacing w:after="0"/>
              <w:rPr>
                <w:sz w:val="20"/>
                <w:szCs w:val="20"/>
                <w:color w:val="auto"/>
              </w:rPr>
            </w:pPr>
            <w:r>
              <w:rPr>
                <w:rFonts w:ascii="Arial" w:cs="Arial" w:eastAsia="Arial" w:hAnsi="Arial"/>
                <w:sz w:val="14"/>
                <w:szCs w:val="14"/>
                <w:color w:val="0000FF"/>
              </w:rPr>
              <w:t>2,763</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 Unit</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02/23/2016</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jc w:val="center"/>
              <w:ind w:right="236"/>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(2)</w:t>
            </w:r>
          </w:p>
        </w:tc>
        <w:tc>
          <w:tcPr>
            <w:tcW w:w="180" w:type="dxa"/>
            <w:vAlign w:val="bottom"/>
          </w:tcPr>
          <w:p>
            <w:pPr>
              <w:spacing w:after="0"/>
              <w:rPr>
                <w:sz w:val="16"/>
                <w:szCs w:val="16"/>
                <w:color w:val="auto"/>
              </w:rPr>
            </w:pPr>
          </w:p>
        </w:tc>
        <w:tc>
          <w:tcPr>
            <w:tcW w:w="800" w:type="dxa"/>
            <w:vAlign w:val="bottom"/>
            <w:vMerge w:val="restart"/>
          </w:tcPr>
          <w:p>
            <w:pPr>
              <w:ind w:left="460"/>
              <w:spacing w:after="0"/>
              <w:rPr>
                <w:sz w:val="20"/>
                <w:szCs w:val="20"/>
                <w:color w:val="auto"/>
              </w:rPr>
            </w:pPr>
            <w:r>
              <w:rPr>
                <w:rFonts w:ascii="Arial" w:cs="Arial" w:eastAsia="Arial" w:hAnsi="Arial"/>
                <w:sz w:val="14"/>
                <w:szCs w:val="14"/>
                <w:color w:val="0000FF"/>
              </w:rPr>
              <w:t>689</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760" w:type="dxa"/>
            <w:vAlign w:val="bottom"/>
            <w:vMerge w:val="restart"/>
          </w:tcPr>
          <w:p>
            <w:pPr>
              <w:ind w:left="60"/>
              <w:spacing w:after="0"/>
              <w:rPr>
                <w:sz w:val="20"/>
                <w:szCs w:val="20"/>
                <w:color w:val="auto"/>
              </w:rPr>
            </w:pPr>
            <w:r>
              <w:rPr>
                <w:rFonts w:ascii="Arial" w:cs="Arial" w:eastAsia="Arial" w:hAnsi="Arial"/>
                <w:sz w:val="14"/>
                <w:szCs w:val="14"/>
                <w:color w:val="0000FF"/>
                <w:w w:val="96"/>
              </w:rPr>
              <w:t>02/23/2018</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0000FF"/>
              </w:rPr>
              <w:t>689</w:t>
            </w:r>
          </w:p>
        </w:tc>
        <w:tc>
          <w:tcPr>
            <w:tcW w:w="22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vMerge w:val="restart"/>
          </w:tcPr>
          <w:p>
            <w:pPr>
              <w:ind w:left="260"/>
              <w:spacing w:after="0"/>
              <w:rPr>
                <w:sz w:val="20"/>
                <w:szCs w:val="20"/>
                <w:color w:val="auto"/>
              </w:rPr>
            </w:pPr>
            <w:r>
              <w:rPr>
                <w:rFonts w:ascii="Arial" w:cs="Arial" w:eastAsia="Arial" w:hAnsi="Arial"/>
                <w:sz w:val="14"/>
                <w:szCs w:val="14"/>
                <w:color w:val="0000FF"/>
              </w:rPr>
              <w:t>2,074</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 Unit</w:t>
            </w:r>
          </w:p>
        </w:tc>
        <w:tc>
          <w:tcPr>
            <w:tcW w:w="8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number of RSUs reported represents the maximum possible number of shares that are eligible for vesting, which is 200% of the number of shares at target payout. One-third of these RSUs are eligible to vest on each of the first three anniversaries of the grant date. The actual number of shares that will vest on each vesting date will be determined by comparing the price of Biogen Idec common stock on such vesting date to the price on the grant date (i.e., number of vested shares = number of shares at target payout times [the 30-day average closing stock price ending on the vesting date divided by the 30-day average closing stock price on the grant date]).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represents the difference between the maximum possible number of shares that were eligible for vesting and the actual number that vested.</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Matthew S. Gilman,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 Fact for Alfred W. Sandrock, 02/25/2016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2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2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7061" TargetMode="External"/><Relationship Id="rId13" Type="http://schemas.openxmlformats.org/officeDocument/2006/relationships/hyperlink" Target="http://www.sec.gov/cgi-bin/browse-edgar?action=getcompany&amp;CIK=00008750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2019-12-23T20:54:00Z</dcterms:created>
  <dcterms:modified xsi:type="dcterms:W3CDTF">2019-12-23T20:54:00Z</dcterms:modified>
</cp:coreProperties>
</file>