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Franklin Gothic Book;sans-serif" w:hAnsi="Franklin Gothic Book;sans-serif"/>
          <w:b/>
          <w:color w:val="000000"/>
          <w:sz w:val="28"/>
        </w:rPr>
      </w:pPr>
      <w:r>
        <w:rPr>
          <w:rFonts w:ascii="Franklin Gothic Book;sans-serif" w:hAnsi="Franklin Gothic Book;sans-serif"/>
          <w:b/>
          <w:color w:val="000000"/>
          <w:sz w:val="28"/>
        </w:rPr>
        <w:t>UNITED STATES</w:t>
      </w:r>
    </w:p>
    <w:p>
      <w:pPr>
        <w:pStyle w:val="TextBody"/>
        <w:bidi w:val="0"/>
        <w:spacing w:lineRule="auto" w:line="288" w:before="0" w:after="0"/>
        <w:jc w:val="center"/>
        <w:rPr>
          <w:rFonts w:ascii="Franklin Gothic Book;sans-serif" w:hAnsi="Franklin Gothic Book;sans-serif"/>
          <w:b/>
          <w:color w:val="000000"/>
          <w:sz w:val="28"/>
        </w:rPr>
      </w:pPr>
      <w:r>
        <w:rPr>
          <w:rFonts w:ascii="Franklin Gothic Book;sans-serif" w:hAnsi="Franklin Gothic Book;sans-serif"/>
          <w:b/>
          <w:color w:val="000000"/>
          <w:sz w:val="28"/>
        </w:rPr>
        <w:t>SECURITIES AND EXCHANGE COMMISSION</w:t>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000000"/>
          <w:sz w:val="36"/>
        </w:rPr>
      </w:pPr>
      <w:r>
        <w:rPr>
          <w:rFonts w:ascii="Franklin Gothic Book;sans-serif" w:hAnsi="Franklin Gothic Book;sans-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CURRENT REPORT</w:t>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Franklin Gothic Book;sans-serif" w:hAnsi="Franklin Gothic Book;sans-serif"/>
          <w:b w:val="false"/>
          <w:color w:val="000000"/>
          <w:sz w:val="24"/>
        </w:rPr>
        <w:t xml:space="preserve">Date of Report (Date of earliest event reported): </w:t>
      </w:r>
      <w:r>
        <w:rPr>
          <w:rFonts w:ascii="Franklin Gothic Book;sans-serif" w:hAnsi="Franklin Gothic Book;sans-serif"/>
          <w:b/>
          <w:color w:val="000000"/>
          <w:sz w:val="24"/>
        </w:rPr>
        <w:t>July 29, 2026</w:t>
      </w:r>
      <w:r>
        <w:rPr>
          <w:color w:val="000000"/>
        </w:rPr>
        <w:t xml:space="preserve"> </w:t>
      </w:r>
    </w:p>
    <w:p>
      <w:pPr>
        <w:pStyle w:val="TextBody"/>
        <w:bidi w:val="0"/>
        <w:spacing w:lineRule="auto" w:line="288" w:before="100" w:after="100"/>
        <w:jc w:val="center"/>
        <w:rPr/>
      </w:pPr>
      <w:r>
        <w:rPr>
          <w:rFonts w:ascii="Franklin Gothic Book;sans-serif" w:hAnsi="Franklin Gothic Book;sans-serif"/>
          <w:b/>
          <w:color w:val="000000"/>
          <w:sz w:val="48"/>
        </w:rPr>
        <w:t>BIOGEN INC.</w:t>
      </w:r>
      <w:r>
        <w:rPr>
          <w:color w:val="000000"/>
        </w:rPr>
        <w:t xml:space="preserve"> </w:t>
      </w:r>
    </w:p>
    <w:p>
      <w:pPr>
        <w:pStyle w:val="TextBody"/>
        <w:bidi w:val="0"/>
        <w:spacing w:lineRule="auto" w:line="288" w:before="100" w:after="100"/>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 xml:space="preserve">(Exact name of registrant as specified in its charter) </w:t>
      </w:r>
    </w:p>
    <w:tbl>
      <w:tblPr>
        <w:tblW w:w="8879" w:type="dxa"/>
        <w:jc w:val="center"/>
        <w:tblInd w:w="0" w:type="dxa"/>
        <w:tblLayout w:type="fixed"/>
        <w:tblCellMar>
          <w:top w:w="28" w:type="dxa"/>
          <w:left w:w="28" w:type="dxa"/>
          <w:bottom w:w="28" w:type="dxa"/>
          <w:right w:w="28" w:type="dxa"/>
        </w:tblCellMar>
      </w:tblPr>
      <w:tblGrid>
        <w:gridCol w:w="1352"/>
        <w:gridCol w:w="1187"/>
        <w:gridCol w:w="1196"/>
        <w:gridCol w:w="767"/>
        <w:gridCol w:w="767"/>
        <w:gridCol w:w="775"/>
        <w:gridCol w:w="831"/>
        <w:gridCol w:w="831"/>
        <w:gridCol w:w="1173"/>
      </w:tblGrid>
      <w:tr>
        <w:trPr/>
        <w:tc>
          <w:tcPr>
            <w:tcW w:w="135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Delaware</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0-19311</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33-0112644</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(State or other jurisdiction of incorporation)</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(Commission File Number)</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225 Binney Street, Cambridge, Massachusetts 02142 </w:t>
      </w:r>
    </w:p>
    <w:p>
      <w:pPr>
        <w:pStyle w:val="TextBody"/>
        <w:bidi w:val="0"/>
        <w:spacing w:lineRule="auto" w:line="288" w:before="0" w:after="0"/>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(Address of principal executive offices; Zip Code)</w:t>
      </w:r>
    </w:p>
    <w:p>
      <w:pPr>
        <w:pStyle w:val="TextBody"/>
        <w:bidi w:val="0"/>
        <w:spacing w:lineRule="auto" w:line="288" w:before="0" w:after="0"/>
        <w:jc w:val="left"/>
        <w:rPr>
          <w:color w:val="000000"/>
        </w:rPr>
      </w:pPr>
      <w:r>
        <w:rPr>
          <w:color w:val="000000"/>
        </w:rPr>
        <w:t>    </w:t>
      </w:r>
    </w:p>
    <w:p>
      <w:pPr>
        <w:pStyle w:val="TextBody"/>
        <w:bidi w:val="0"/>
        <w:spacing w:lineRule="auto" w:line="288" w:before="100" w:after="100"/>
        <w:jc w:val="center"/>
        <w:rPr/>
      </w:pPr>
      <w:r>
        <w:rPr>
          <w:rFonts w:ascii="Franklin Gothic Book;sans-serif" w:hAnsi="Franklin Gothic Book;sans-serif"/>
          <w:b w:val="false"/>
          <w:color w:val="000000"/>
          <w:sz w:val="20"/>
        </w:rPr>
        <w:t xml:space="preserve">Registrant’s telephone number, including area code: </w:t>
      </w:r>
      <w:r>
        <w:rPr>
          <w:rFonts w:ascii="Franklin Gothic Book;sans-serif" w:hAnsi="Franklin Gothic Book;sans-serif"/>
          <w:b/>
          <w:color w:val="000000"/>
          <w:sz w:val="20"/>
        </w:rPr>
        <w:t>(617) 679-2000</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(Former name or former address, if changed since last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Franklin Gothic Book;sans-serif" w:hAnsi="Franklin Gothic Book;sans-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Franklin Gothic Book;sans-serif" w:hAnsi="Franklin Gothic Book;sans-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Franklin Gothic Book;sans-serif" w:hAnsi="Franklin Gothic Book;sans-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Franklin Gothic Book;sans-serif" w:hAnsi="Franklin Gothic Book;sans-serif"/>
          <w:b w:val="false"/>
          <w:color w:val="000000"/>
          <w:sz w:val="20"/>
        </w:rPr>
        <w:t>Pre-commencement communications pursuant to Rule 13e-4(c) under the Exchange Act (17 CFR 240.13e-4(c))</w:t>
      </w:r>
    </w:p>
    <w:tbl>
      <w:tblPr>
        <w:tblW w:w="10072" w:type="dxa"/>
        <w:jc w:val="center"/>
        <w:tblInd w:w="0" w:type="dxa"/>
        <w:tblLayout w:type="fixed"/>
        <w:tblCellMar>
          <w:top w:w="28" w:type="dxa"/>
          <w:left w:w="28" w:type="dxa"/>
          <w:bottom w:w="28" w:type="dxa"/>
          <w:right w:w="28" w:type="dxa"/>
        </w:tblCellMar>
      </w:tblPr>
      <w:tblGrid>
        <w:gridCol w:w="1418"/>
        <w:gridCol w:w="1245"/>
        <w:gridCol w:w="1252"/>
        <w:gridCol w:w="109"/>
        <w:gridCol w:w="109"/>
        <w:gridCol w:w="109"/>
        <w:gridCol w:w="544"/>
        <w:gridCol w:w="544"/>
        <w:gridCol w:w="546"/>
        <w:gridCol w:w="109"/>
        <w:gridCol w:w="109"/>
        <w:gridCol w:w="109"/>
        <w:gridCol w:w="1133"/>
        <w:gridCol w:w="1133"/>
        <w:gridCol w:w="1603"/>
      </w:tblGrid>
      <w:tr>
        <w:trPr/>
        <w:tc>
          <w:tcPr>
            <w:tcW w:w="141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Name of each exchange on which registered</w:t>
            </w:r>
          </w:p>
        </w:tc>
      </w:tr>
      <w:tr>
        <w:trPr/>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Common Stock, $0.0005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BIIB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The Nasdaq Global Select Market</w:t>
            </w:r>
          </w:p>
        </w:tc>
      </w:tr>
    </w:tbl>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Franklin Gothic Book;sans-serif" w:hAnsi="Franklin Gothic Book;sans-serif"/>
          <w:b w:val="false"/>
          <w:color w:val="000000"/>
          <w:sz w:val="20"/>
        </w:rPr>
        <w:t xml:space="preserve">Emerging growth company </w:t>
      </w:r>
    </w:p>
    <w:p>
      <w:pPr>
        <w:pStyle w:val="TextBody"/>
        <w:bidi w:val="0"/>
        <w:spacing w:before="0" w:after="0"/>
        <w:jc w:val="left"/>
        <w:rPr/>
      </w:pPr>
      <w:r>
        <w:rPr/>
      </w:r>
    </w:p>
    <w:p>
      <w:pPr>
        <w:pStyle w:val="TextBody"/>
        <w:bidi w:val="0"/>
        <w:spacing w:lineRule="auto" w:line="288" w:before="0" w:after="0"/>
        <w:jc w:val="left"/>
        <w:rPr/>
      </w:pPr>
      <w:r>
        <w:rPr>
          <w:rFonts w:ascii="Franklin Gothic Book;sans-serif" w:hAnsi="Franklin Gothic Book;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color w:val="1C5A7D"/>
          <w:sz w:val="24"/>
        </w:rPr>
      </w:pPr>
      <w:r>
        <w:rPr>
          <w:rFonts w:ascii="Franklin Gothic Book;sans-serif" w:hAnsi="Franklin Gothic Book;sans-serif"/>
          <w:b/>
          <w:color w:val="1C5A7D"/>
          <w:sz w:val="24"/>
        </w:rPr>
        <w:t xml:space="preserve">Item 2.02    Results of Operations and Financial Condition. </w:t>
      </w:r>
    </w:p>
    <w:p>
      <w:pPr>
        <w:pStyle w:val="TextBody"/>
        <w:bidi w:val="0"/>
        <w:spacing w:lineRule="auto" w:line="288" w:before="0" w:after="0"/>
        <w:jc w:val="both"/>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On July 29, 2026, Biogen Inc. issued a press release announcing its results of operations and financial condition for the second quarter ended June 30, 2026. A copy of the press release is furnished as Exhibit 99.1 and is incorporated herein by reference. </w:t>
      </w:r>
    </w:p>
    <w:p>
      <w:pPr>
        <w:pStyle w:val="TextBody"/>
        <w:bidi w:val="0"/>
        <w:spacing w:lineRule="auto" w:line="288" w:before="180" w:after="283"/>
        <w:jc w:val="both"/>
        <w:rPr>
          <w:rFonts w:ascii="Franklin Gothic Book;sans-serif" w:hAnsi="Franklin Gothic Book;sans-serif"/>
          <w:b w:val="false"/>
          <w:color w:val="000000"/>
          <w:sz w:val="20"/>
        </w:rPr>
      </w:pPr>
      <w:r>
        <w:rPr>
          <w:rFonts w:ascii="Franklin Gothic Book;sans-serif" w:hAnsi="Franklin Gothic Book;sans-serif"/>
          <w:b w:val="false"/>
          <w:color w:val="000000"/>
          <w:sz w:val="20"/>
        </w:rPr>
        <w:t>The press release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w:t>
      </w:r>
    </w:p>
    <w:p>
      <w:pPr>
        <w:pStyle w:val="TextBody"/>
        <w:bidi w:val="0"/>
        <w:spacing w:lineRule="auto" w:line="288" w:before="280" w:after="283"/>
        <w:jc w:val="left"/>
        <w:rPr>
          <w:rFonts w:ascii="Franklin Gothic Book;sans-serif" w:hAnsi="Franklin Gothic Book;sans-serif"/>
          <w:b/>
          <w:color w:val="1C5A7D"/>
          <w:sz w:val="24"/>
        </w:rPr>
      </w:pPr>
      <w:r>
        <w:rPr>
          <w:rFonts w:ascii="Franklin Gothic Book;sans-serif" w:hAnsi="Franklin Gothic Book;sans-serif"/>
          <w:b/>
          <w:color w:val="1C5A7D"/>
          <w:sz w:val="24"/>
        </w:rPr>
        <w:t>Item 9.01    Financial Statements and Exhibits.</w:t>
      </w:r>
    </w:p>
    <w:p>
      <w:pPr>
        <w:pStyle w:val="TextBody"/>
        <w:bidi w:val="0"/>
        <w:spacing w:before="0" w:after="0"/>
        <w:ind w:left="0" w:right="0" w:firstLine="675"/>
        <w:jc w:val="both"/>
        <w:rPr/>
      </w:pPr>
      <w:r>
        <w:rPr/>
      </w:r>
    </w:p>
    <w:p>
      <w:pPr>
        <w:pStyle w:val="TextBody"/>
        <w:bidi w:val="0"/>
        <w:spacing w:lineRule="auto" w:line="288" w:before="0" w:after="240"/>
        <w:jc w:val="left"/>
        <w:rPr>
          <w:rFonts w:ascii="Franklin Gothic Book;sans-serif" w:hAnsi="Franklin Gothic Book;sans-serif"/>
          <w:b/>
          <w:color w:val="000000"/>
          <w:sz w:val="20"/>
        </w:rPr>
      </w:pPr>
      <w:r>
        <w:rPr>
          <w:rFonts w:ascii="Franklin Gothic Book;sans-serif" w:hAnsi="Franklin Gothic Book;sans-serif"/>
          <w:b/>
          <w:color w:val="000000"/>
          <w:sz w:val="20"/>
        </w:rPr>
        <w:t>(d)    Exhibits</w:t>
      </w:r>
    </w:p>
    <w:p>
      <w:pPr>
        <w:pStyle w:val="TextBody"/>
        <w:bidi w:val="0"/>
        <w:spacing w:lineRule="auto" w:line="288" w:before="0" w:after="0"/>
        <w:ind w:left="0" w:right="0" w:firstLine="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exhibits listed below are furnished as part of this Current Report on Form 8-K.</w:t>
      </w:r>
    </w:p>
    <w:tbl>
      <w:tblPr>
        <w:tblW w:w="8969" w:type="dxa"/>
        <w:jc w:val="left"/>
        <w:tblInd w:w="0" w:type="dxa"/>
        <w:tblLayout w:type="fixed"/>
        <w:tblCellMar>
          <w:top w:w="28" w:type="dxa"/>
          <w:left w:w="28" w:type="dxa"/>
          <w:bottom w:w="28" w:type="dxa"/>
          <w:right w:w="28" w:type="dxa"/>
        </w:tblCellMar>
      </w:tblPr>
      <w:tblGrid>
        <w:gridCol w:w="429"/>
        <w:gridCol w:w="376"/>
        <w:gridCol w:w="379"/>
        <w:gridCol w:w="2278"/>
        <w:gridCol w:w="2278"/>
        <w:gridCol w:w="3229"/>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3229"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Exhibit No.</w:t>
            </w:r>
          </w:p>
        </w:tc>
        <w:tc>
          <w:tcPr>
            <w:tcW w:w="7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Description</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99.1</w:t>
            </w:r>
          </w:p>
        </w:tc>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q22026pressrele.htm">
              <w:r>
                <w:rPr>
                  <w:rStyle w:val="InternetLink"/>
                  <w:rFonts w:ascii="Franklin Gothic Book;sans-serif" w:hAnsi="Franklin Gothic Book;sans-serif"/>
                  <w:b w:val="false"/>
                  <w:color w:val="0000FF"/>
                  <w:sz w:val="20"/>
                  <w:u w:val="single"/>
                </w:rPr>
                <w:t>Biogen's press release dated July 29, 2026</w:t>
              </w:r>
            </w:hyperlink>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104</w:t>
            </w:r>
          </w:p>
        </w:tc>
        <w:tc>
          <w:tcPr>
            <w:tcW w:w="7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Cover Page Interactive Data File (embedded within the Inline XBRL document)</w:t>
            </w:r>
          </w:p>
        </w:tc>
      </w:tr>
    </w:tbl>
    <w:p>
      <w:pPr>
        <w:pStyle w:val="TextBody"/>
        <w:bidi w:val="0"/>
        <w:spacing w:before="0" w:after="0"/>
        <w:ind w:left="0" w:right="0" w:firstLine="7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SIGNATURES</w:t>
      </w:r>
    </w:p>
    <w:p>
      <w:pPr>
        <w:pStyle w:val="TextBody"/>
        <w:bidi w:val="0"/>
        <w:spacing w:before="0" w:after="0"/>
        <w:jc w:val="center"/>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2946" w:type="dxa"/>
        <w:jc w:val="right"/>
        <w:tblInd w:w="0" w:type="dxa"/>
        <w:tblLayout w:type="fixed"/>
        <w:tblCellMar>
          <w:top w:w="28" w:type="dxa"/>
          <w:left w:w="28" w:type="dxa"/>
          <w:bottom w:w="28" w:type="dxa"/>
          <w:right w:w="28" w:type="dxa"/>
        </w:tblCellMar>
      </w:tblPr>
      <w:tblGrid>
        <w:gridCol w:w="270"/>
        <w:gridCol w:w="236"/>
        <w:gridCol w:w="236"/>
        <w:gridCol w:w="639"/>
        <w:gridCol w:w="639"/>
        <w:gridCol w:w="926"/>
      </w:tblGrid>
      <w:tr>
        <w:trPr/>
        <w:tc>
          <w:tcPr>
            <w:tcW w:w="27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2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BIOGEN INC.</w:t>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Franklin Gothic Book;sans-serif" w:hAnsi="Franklin Gothic Book;sans-serif"/>
                <w:b w:val="false"/>
                <w:color w:val="000000"/>
                <w:sz w:val="20"/>
              </w:rPr>
              <w:t xml:space="preserve">/s/ Wendell Taylor </w:t>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Wendell Taylor</w:t>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Secretary</w:t>
            </w:r>
          </w:p>
        </w:tc>
      </w:tr>
    </w:tbl>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July 29,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2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drawing>
          <wp:inline distT="0" distB="0" distL="0" distR="0">
            <wp:extent cx="1381125" cy="4476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81125" cy="447675"/>
                    </a:xfrm>
                    <a:prstGeom prst="rect">
                      <a:avLst/>
                    </a:prstGeom>
                  </pic:spPr>
                </pic:pic>
              </a:graphicData>
            </a:graphic>
          </wp:inline>
        </w:drawing>
      </w:r>
      <w:r>
        <w:rPr>
          <w:color w:val="000000"/>
        </w:rPr>
        <w:t xml:space="preserve">                                     </w:t>
      </w:r>
      <w:bookmarkStart w:id="0" w:name="i99d414be00b4431fa049385edb171cce_22642"/>
      <w:bookmarkEnd w:id="0"/>
      <w:r>
        <w:rPr>
          <w:rFonts w:ascii="Franklin Gothic Book;sans-serif" w:hAnsi="Franklin Gothic Book;sans-serif"/>
          <w:b/>
          <w:color w:val="000000"/>
          <w:sz w:val="22"/>
        </w:rPr>
        <w:t>Press Release</w:t>
      </w:r>
    </w:p>
    <w:p>
      <w:pPr>
        <w:pStyle w:val="TextBody"/>
        <w:bidi w:val="0"/>
        <w:spacing w:lineRule="auto" w:line="288" w:before="0" w:after="0"/>
        <w:jc w:val="right"/>
        <w:rPr>
          <w:rFonts w:ascii="Franklin Gothic Book;sans-serif" w:hAnsi="Franklin Gothic Book;sans-serif"/>
          <w:b/>
          <w:color w:val="000000"/>
          <w:sz w:val="22"/>
        </w:rPr>
      </w:pPr>
      <w:r>
        <w:rPr>
          <w:rFonts w:ascii="Franklin Gothic Book;sans-serif" w:hAnsi="Franklin Gothic Book;sans-serif"/>
          <w:b/>
          <w:color w:val="000000"/>
          <w:sz w:val="22"/>
        </w:rPr>
        <w:t>Cambridge, Mass. – July 29, 2026</w:t>
      </w:r>
    </w:p>
    <w:p>
      <w:pPr>
        <w:pStyle w:val="TextBody"/>
        <w:bidi w:val="0"/>
        <w:spacing w:lineRule="auto" w:line="276" w:before="280" w:after="220"/>
        <w:jc w:val="center"/>
        <w:rPr>
          <w:rFonts w:ascii="Franklin Gothic Book;sans-serif" w:hAnsi="Franklin Gothic Book;sans-serif"/>
          <w:b/>
          <w:color w:val="000000"/>
          <w:sz w:val="22"/>
        </w:rPr>
      </w:pPr>
      <w:r>
        <w:rPr>
          <w:rFonts w:ascii="Franklin Gothic Book;sans-serif" w:hAnsi="Franklin Gothic Book;sans-serif"/>
          <w:b/>
          <w:color w:val="000000"/>
          <w:sz w:val="22"/>
        </w:rPr>
        <w:t>Biogen reports strong second quarter 2026 results demonstrating progress toward its goal of sustainable revenue growth</w:t>
      </w:r>
    </w:p>
    <w:p>
      <w:pPr>
        <w:pStyle w:val="TextBody"/>
        <w:bidi w:val="0"/>
        <w:spacing w:lineRule="auto" w:line="276" w:before="280" w:after="283"/>
        <w:ind w:left="0" w:right="0" w:hanging="360"/>
        <w:jc w:val="left"/>
        <w:rPr/>
      </w:pPr>
      <w:r>
        <w:rPr>
          <w:color w:val="0070C0"/>
        </w:rPr>
        <w:t>•</w:t>
      </w:r>
      <w:r>
        <w:rPr>
          <w:rFonts w:ascii="Franklin Gothic Book;sans-serif" w:hAnsi="Franklin Gothic Book;sans-serif"/>
          <w:b/>
          <w:color w:val="0070C0"/>
          <w:sz w:val="22"/>
        </w:rPr>
        <w:t>Second quarter 2026 total revenue of $2.7 billion increased 3% year-over-year. Growth Portfolio</w:t>
      </w:r>
      <w:r>
        <w:rPr>
          <w:rFonts w:ascii="Franklin Gothic Book;sans-serif" w:hAnsi="Franklin Gothic Book;sans-serif"/>
          <w:b/>
          <w:color w:val="0070C0"/>
          <w:sz w:val="14"/>
        </w:rPr>
        <w:t>1</w:t>
      </w:r>
      <w:r>
        <w:rPr>
          <w:color w:val="0070C0"/>
        </w:rPr>
        <w:t xml:space="preserve"> </w:t>
      </w:r>
      <w:r>
        <w:rPr>
          <w:rFonts w:ascii="Franklin Gothic Book;sans-serif" w:hAnsi="Franklin Gothic Book;sans-serif"/>
          <w:b/>
          <w:color w:val="0070C0"/>
          <w:sz w:val="22"/>
        </w:rPr>
        <w:t>generated $1.06 billion of revenue, representing 24% year-over-year growth</w:t>
      </w:r>
    </w:p>
    <w:p>
      <w:pPr>
        <w:pStyle w:val="TextBody"/>
        <w:bidi w:val="0"/>
        <w:spacing w:before="0" w:after="0"/>
        <w:jc w:val="left"/>
        <w:rPr/>
      </w:pPr>
      <w:r>
        <w:rPr/>
      </w:r>
    </w:p>
    <w:p>
      <w:pPr>
        <w:pStyle w:val="TextBody"/>
        <w:bidi w:val="0"/>
        <w:spacing w:lineRule="auto" w:line="276" w:before="0" w:after="0"/>
        <w:ind w:left="0" w:right="0" w:hanging="360"/>
        <w:jc w:val="left"/>
        <w:rPr/>
      </w:pPr>
      <w:r>
        <w:rPr>
          <w:color w:val="0070C0"/>
        </w:rPr>
        <w:t>•</w:t>
      </w:r>
      <w:r>
        <w:rPr>
          <w:rFonts w:ascii="Franklin Gothic Book;sans-serif" w:hAnsi="Franklin Gothic Book;sans-serif"/>
          <w:b/>
          <w:color w:val="0070C0"/>
          <w:sz w:val="22"/>
        </w:rPr>
        <w:t xml:space="preserve">GAAP and Non-GAAP diluted EPS includes deal-related charges, including acquired IPR&amp;D, dilution related to the Apellis acquisition, as well as continued investment in ongoing Phase 3 development programs: GAAP diluted EPS of $0.66, Non-GAAP diluted EPS of $3.60 </w:t>
      </w:r>
    </w:p>
    <w:p>
      <w:pPr>
        <w:pStyle w:val="TextBody"/>
        <w:bidi w:val="0"/>
        <w:spacing w:before="60" w:after="283"/>
        <w:jc w:val="left"/>
        <w:rPr/>
      </w:pPr>
      <w:r>
        <w:rPr/>
      </w:r>
    </w:p>
    <w:p>
      <w:pPr>
        <w:pStyle w:val="TextBody"/>
        <w:bidi w:val="0"/>
        <w:spacing w:lineRule="auto" w:line="268" w:before="60" w:after="283"/>
        <w:jc w:val="left"/>
        <w:rPr>
          <w:rFonts w:ascii="Franklin Gothic Book;sans-serif" w:hAnsi="Franklin Gothic Book;sans-serif"/>
          <w:b/>
          <w:color w:val="000000"/>
          <w:sz w:val="22"/>
        </w:rPr>
      </w:pPr>
      <w:r>
        <w:rPr>
          <w:rFonts w:ascii="Franklin Gothic Book;sans-serif" w:hAnsi="Franklin Gothic Book;sans-serif"/>
          <w:b/>
          <w:color w:val="000000"/>
          <w:sz w:val="22"/>
        </w:rPr>
        <w:t xml:space="preserve">Biogen Inc. (Nasdaq: BIIB) today reported second quarter 2026 financial results. </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"This quarter is a reflection of the significant progress Biogen has made repositioning the company for long-term growth. Not only did our growth portfolio revenue exceed that of our legacy MS portfolio, delivering 24% of year-over-year growth, we also delivered strong revenue performance from our two recently acquired products, providing an opportunity for our pipeline to build on a growing business,” said President and Chief Executive Officer Christopher A. Viehbacher. “At the same time, our scientific leadership continues to translate into commercial momentum, with a successful launch of SPINRAZA HD and historic approval of LEQEMBI IQLIK at-home initiation. As we enter a period of registrational data readouts beginning this year, we are realizing our vision for the New Biogen — one positioned for sustainable growth with a growing commercial business, a multi-year late-stage data flow, and an expanding early-stage pipeline."</w:t>
      </w:r>
    </w:p>
    <w:p>
      <w:pPr>
        <w:pStyle w:val="TextBody"/>
        <w:bidi w:val="0"/>
        <w:spacing w:lineRule="auto" w:line="268" w:before="300" w:after="283"/>
        <w:jc w:val="left"/>
        <w:rPr>
          <w:rFonts w:ascii="Franklin Gothic Book;sans-serif" w:hAnsi="Franklin Gothic Book;sans-serif"/>
          <w:b/>
          <w:color w:val="000000"/>
          <w:sz w:val="22"/>
        </w:rPr>
      </w:pPr>
      <w:r>
        <w:rPr>
          <w:rFonts w:ascii="Franklin Gothic Book;sans-serif" w:hAnsi="Franklin Gothic Book;sans-serif"/>
          <w:b/>
          <w:color w:val="000000"/>
          <w:sz w:val="22"/>
        </w:rPr>
        <w:t xml:space="preserve">Second quarter 2026 Growth Portfolio highlights </w:t>
      </w:r>
    </w:p>
    <w:p>
      <w:pPr>
        <w:pStyle w:val="TextBody"/>
        <w:bidi w:val="0"/>
        <w:spacing w:lineRule="auto" w:line="268" w:before="100" w:after="283"/>
        <w:ind w:left="0" w:right="0" w:hanging="360"/>
        <w:jc w:val="left"/>
        <w:rPr/>
      </w:pPr>
      <w:r>
        <w:rPr>
          <w:color w:val="000000"/>
        </w:rPr>
        <w:t>•</w:t>
      </w:r>
      <w:r>
        <w:rPr>
          <w:rFonts w:ascii="Franklin Gothic Book;sans-serif" w:hAnsi="Franklin Gothic Book;sans-serif"/>
          <w:b w:val="false"/>
          <w:color w:val="000000"/>
          <w:sz w:val="22"/>
        </w:rPr>
        <w:t xml:space="preserve">SPINRAZA revenue of $402 million, up 2% year-over-year, driven by demand and stocking for the high-dose regimen partially offset by shipment timing in certain ex-U.S. markets; conversion to the high-dose regimen has been ahead of Company expectations in all launched geographies </w:t>
      </w:r>
    </w:p>
    <w:p>
      <w:pPr>
        <w:pStyle w:val="TextBody"/>
        <w:bidi w:val="0"/>
        <w:spacing w:lineRule="auto" w:line="268" w:before="100" w:after="283"/>
        <w:ind w:left="0" w:right="0" w:hanging="360"/>
        <w:jc w:val="left"/>
        <w:rPr/>
      </w:pPr>
      <w:r>
        <w:rPr>
          <w:color w:val="000000"/>
        </w:rPr>
        <w:t>•</w:t>
      </w:r>
      <w:r>
        <w:rPr>
          <w:rFonts w:ascii="Franklin Gothic Book;sans-serif" w:hAnsi="Franklin Gothic Book;sans-serif"/>
          <w:b w:val="false"/>
          <w:color w:val="000000"/>
          <w:sz w:val="22"/>
        </w:rPr>
        <w:t>VUMERITY second quarter revenue of $197 million, down 7% year-over-year, primarily impacted by inventory dynamics; first half growth of 7% year-over-year</w:t>
      </w:r>
    </w:p>
    <w:p>
      <w:pPr>
        <w:pStyle w:val="TextBody"/>
        <w:bidi w:val="0"/>
        <w:spacing w:lineRule="auto" w:line="268" w:before="100" w:after="283"/>
        <w:ind w:left="0" w:right="0" w:hanging="360"/>
        <w:jc w:val="left"/>
        <w:rPr/>
      </w:pPr>
      <w:r>
        <w:rPr>
          <w:color w:val="000000"/>
        </w:rPr>
        <w:t>•</w:t>
      </w:r>
      <w:r>
        <w:rPr>
          <w:rFonts w:ascii="Franklin Gothic Book;sans-serif" w:hAnsi="Franklin Gothic Book;sans-serif"/>
          <w:b w:val="false"/>
          <w:color w:val="000000"/>
          <w:sz w:val="22"/>
        </w:rPr>
        <w:t>LEQEMBI global in-market sales of $184 million, up 15% year-over-year, with U.S. in-market sales of $97 million, representing continued sequential growth; LEQEMBI IQLIK, a first-of-its-kind anti-amyloid treatment offering at-home administration, approved by the FDA as an initiation dose</w:t>
      </w:r>
    </w:p>
    <w:p>
      <w:pPr>
        <w:pStyle w:val="TextBody"/>
        <w:bidi w:val="0"/>
        <w:spacing w:lineRule="auto" w:line="268" w:before="100" w:after="283"/>
        <w:ind w:left="0" w:right="0" w:hanging="360"/>
        <w:jc w:val="left"/>
        <w:rPr/>
      </w:pPr>
      <w:r>
        <w:rPr>
          <w:color w:val="000000"/>
        </w:rPr>
        <w:t>•</w:t>
      </w:r>
      <w:r>
        <w:rPr>
          <w:rFonts w:ascii="Franklin Gothic Book;sans-serif" w:hAnsi="Franklin Gothic Book;sans-serif"/>
          <w:b w:val="false"/>
          <w:color w:val="000000"/>
          <w:sz w:val="22"/>
        </w:rPr>
        <w:t xml:space="preserve">SKYCLARYS revenue of $168 million, up 29% year-over-year, primarily related to an increase in global demand mostly driven by the continued launch in Europe and certain other international markets </w:t>
      </w:r>
    </w:p>
    <w:p>
      <w:pPr>
        <w:pStyle w:val="TextBody"/>
        <w:bidi w:val="0"/>
        <w:spacing w:lineRule="auto" w:line="268" w:before="100" w:after="283"/>
        <w:ind w:left="0" w:right="0" w:hanging="360"/>
        <w:jc w:val="left"/>
        <w:rPr/>
      </w:pPr>
      <w:r>
        <w:rPr>
          <w:color w:val="000000"/>
        </w:rPr>
        <w:t>•</w:t>
      </w:r>
      <w:r>
        <w:rPr>
          <w:rFonts w:ascii="Franklin Gothic Book;sans-serif" w:hAnsi="Franklin Gothic Book;sans-serif"/>
          <w:b w:val="false"/>
          <w:color w:val="000000"/>
          <w:sz w:val="22"/>
        </w:rPr>
        <w:t>ZURZUVAE revenue of $71 million, up 53% year-over-year, driven by demand growth; now launched in Germany, the first commercial launch outside the U.S. for PPD</w:t>
      </w:r>
    </w:p>
    <w:p>
      <w:pPr>
        <w:pStyle w:val="TextBody"/>
        <w:bidi w:val="0"/>
        <w:spacing w:lineRule="auto" w:line="268" w:before="100" w:after="283"/>
        <w:ind w:left="0" w:right="0" w:hanging="360"/>
        <w:jc w:val="left"/>
        <w:rPr/>
      </w:pPr>
      <w:r>
        <w:rPr>
          <w:color w:val="000000"/>
        </w:rPr>
        <w:t>•</w:t>
      </w:r>
      <w:r>
        <w:rPr>
          <w:rFonts w:ascii="Franklin Gothic Book;sans-serif" w:hAnsi="Franklin Gothic Book;sans-serif"/>
          <w:b w:val="false"/>
          <w:color w:val="000000"/>
          <w:sz w:val="22"/>
        </w:rPr>
        <w:t xml:space="preserve">SYFOVRE revenue of $162 million for the full second quarter, up 8% year-over-year, showed its strongest quarterly demand since launch. $97 million of revenue recognized by Biogen following the close of the Apellis acquisition on May 14, 2026 </w:t>
      </w:r>
    </w:p>
    <w:p>
      <w:pPr>
        <w:pStyle w:val="TextBody"/>
        <w:bidi w:val="0"/>
        <w:spacing w:lineRule="auto" w:line="268" w:before="100" w:after="283"/>
        <w:ind w:left="0" w:right="0" w:hanging="360"/>
        <w:jc w:val="left"/>
        <w:rPr/>
      </w:pPr>
      <w:r>
        <w:rPr>
          <w:color w:val="000000"/>
        </w:rPr>
        <w:t>•</w:t>
      </w:r>
      <w:r>
        <w:rPr>
          <w:rFonts w:ascii="Franklin Gothic Book;sans-serif" w:hAnsi="Franklin Gothic Book;sans-serif"/>
          <w:b w:val="false"/>
          <w:color w:val="000000"/>
          <w:sz w:val="22"/>
        </w:rPr>
        <w:t xml:space="preserve">EMPAVELI revenue of $46 million for the full second quarter, up 123% year-over-year, driven by demand growth. $30 million of revenue recognized by Biogen following the close of the Apellis acquisition on May 14, 2026 </w:t>
      </w:r>
    </w:p>
    <w:p>
      <w:pPr>
        <w:pStyle w:val="TextBody"/>
        <w:bidi w:val="0"/>
        <w:spacing w:lineRule="auto" w:line="288" w:before="0" w:after="0"/>
        <w:jc w:val="left"/>
        <w:rPr/>
      </w:pPr>
      <w:r>
        <w:rPr>
          <w:rFonts w:ascii="Franklin Gothic Book;sans-serif" w:hAnsi="Franklin Gothic Book;sans-serif"/>
          <w:b w:val="false"/>
          <w:color w:val="000000"/>
          <w:sz w:val="12"/>
        </w:rPr>
        <w:t>1</w:t>
      </w:r>
      <w:r>
        <w:rPr>
          <w:color w:val="000000"/>
        </w:rPr>
        <w:t xml:space="preserve"> </w:t>
      </w:r>
      <w:r>
        <w:rPr>
          <w:rFonts w:ascii="Franklin Gothic Book;sans-serif" w:hAnsi="Franklin Gothic Book;sans-serif"/>
          <w:b w:val="false"/>
          <w:color w:val="000000"/>
          <w:sz w:val="18"/>
        </w:rPr>
        <w:t>Growth Portfolio includes EMPAVELI, QALSODY, SKYCLARYS, SPINRAZA, SYFOVRE, VUMERITY, ZURZUVAE, plus Biogen's 50% share of net revenue and cost of sales, including royalties, from the LEQEMBI Collaboration</w:t>
      </w:r>
    </w:p>
    <w:p>
      <w:pPr>
        <w:pStyle w:val="TextBody"/>
        <w:bidi w:val="0"/>
        <w:spacing w:lineRule="auto" w:line="288"/>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 xml:space="preserve">AMR = antibody mediated rejection; CLE = cutaneous lupus erythematosus; SLE = systemic lupus erythematosus </w:t>
      </w:r>
    </w:p>
    <w:p>
      <w:pPr>
        <w:pStyle w:val="TextBody"/>
        <w:bidi w:val="0"/>
        <w:spacing w:before="22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w:t>
                      </w:r>
                    </w:p>
                  </w:txbxContent>
                </v:textbox>
                <w10:wrap type="none"/>
              </v:rect>
            </w:pict>
          </mc:Fallback>
        </mc:AlternateContent>
      </w:r>
    </w:p>
    <w:p>
      <w:pPr>
        <w:pStyle w:val="TextBody"/>
        <w:bidi w:val="0"/>
        <w:spacing w:lineRule="auto" w:line="268" w:before="220" w:after="283"/>
        <w:jc w:val="left"/>
        <w:rPr>
          <w:rFonts w:ascii="Franklin Gothic Book;sans-serif" w:hAnsi="Franklin Gothic Book;sans-serif"/>
          <w:b/>
          <w:color w:val="000000"/>
          <w:sz w:val="22"/>
        </w:rPr>
      </w:pPr>
      <w:r>
        <w:rPr>
          <w:rFonts w:ascii="Franklin Gothic Book;sans-serif" w:hAnsi="Franklin Gothic Book;sans-serif"/>
          <w:b/>
          <w:color w:val="000000"/>
          <w:sz w:val="22"/>
        </w:rPr>
        <w:t>The Company is now advancing the next potential wave of growth drivers with five registrational readouts from the late-stage pipeline expected over the next four quarters; continuing to build the early-stage pipeline to deliver long-term value</w:t>
      </w:r>
    </w:p>
    <w:p>
      <w:pPr>
        <w:pStyle w:val="TextBody"/>
        <w:bidi w:val="0"/>
        <w:spacing w:lineRule="auto" w:line="268" w:before="100" w:after="283"/>
        <w:ind w:left="0" w:right="0" w:hanging="360"/>
        <w:jc w:val="left"/>
        <w:rPr/>
      </w:pPr>
      <w:r>
        <w:rPr>
          <w:color w:val="000000"/>
        </w:rPr>
        <w:t>•</w:t>
      </w:r>
      <w:r>
        <w:rPr>
          <w:rFonts w:ascii="Franklin Gothic Book;sans-serif" w:hAnsi="Franklin Gothic Book;sans-serif"/>
          <w:b w:val="false"/>
          <w:color w:val="000000"/>
          <w:sz w:val="22"/>
        </w:rPr>
        <w:t>Registrational data for litifilimab in SLE expected by end of 2026 and additional Phase 3 readouts for litifilimab in CLE, felzartamab in AMR, and zorevunersen in Dravet syndrome anticipated next year</w:t>
      </w:r>
    </w:p>
    <w:p>
      <w:pPr>
        <w:pStyle w:val="TextBody"/>
        <w:bidi w:val="0"/>
        <w:spacing w:lineRule="auto" w:line="268" w:before="100" w:after="283"/>
        <w:ind w:left="0" w:right="0" w:hanging="360"/>
        <w:jc w:val="left"/>
        <w:rPr/>
      </w:pPr>
      <w:r>
        <w:rPr>
          <w:color w:val="000000"/>
        </w:rPr>
        <w:t>•</w:t>
      </w:r>
      <w:r>
        <w:rPr>
          <w:rFonts w:ascii="Franklin Gothic Book;sans-serif" w:hAnsi="Franklin Gothic Book;sans-serif"/>
          <w:b w:val="false"/>
          <w:color w:val="000000"/>
          <w:sz w:val="22"/>
        </w:rPr>
        <w:t xml:space="preserve">Diranersen demonstrated proof-of-concept in Alzheimer's disease as the first tau-directed agent to show clinical efficacy and a reduction of tau pathology in the brain — Biogen plans to advance to Phase 3 </w:t>
      </w:r>
    </w:p>
    <w:p>
      <w:pPr>
        <w:pStyle w:val="TextBody"/>
        <w:bidi w:val="0"/>
        <w:spacing w:lineRule="auto" w:line="268" w:before="100" w:after="283"/>
        <w:ind w:left="0" w:right="0" w:hanging="360"/>
        <w:jc w:val="left"/>
        <w:rPr/>
      </w:pPr>
      <w:r>
        <w:rPr>
          <w:color w:val="000000"/>
        </w:rPr>
        <w:t>•</w:t>
      </w:r>
      <w:r>
        <w:rPr>
          <w:rFonts w:ascii="Franklin Gothic Book;sans-serif" w:hAnsi="Franklin Gothic Book;sans-serif"/>
          <w:b w:val="false"/>
          <w:color w:val="000000"/>
          <w:sz w:val="22"/>
        </w:rPr>
        <w:t>Expected initiation of a new Phase 2 study of felzartamab in Graves' disease, expanding the potential of felzartamab in autoimmune disease</w:t>
      </w:r>
    </w:p>
    <w:p>
      <w:pPr>
        <w:pStyle w:val="TextBody"/>
        <w:bidi w:val="0"/>
        <w:spacing w:lineRule="auto" w:line="268" w:before="100" w:after="283"/>
        <w:ind w:left="0" w:right="0" w:hanging="360"/>
        <w:jc w:val="left"/>
        <w:rPr/>
      </w:pPr>
      <w:r>
        <w:rPr>
          <w:color w:val="000000"/>
        </w:rPr>
        <w:t>•</w:t>
      </w:r>
      <w:r>
        <w:rPr>
          <w:rFonts w:ascii="Franklin Gothic Book;sans-serif" w:hAnsi="Franklin Gothic Book;sans-serif"/>
          <w:b w:val="false"/>
          <w:color w:val="000000"/>
          <w:sz w:val="22"/>
        </w:rPr>
        <w:t>Pending RayThera acquisition expected to add multiple immunology programs to Biogen’s portfolio, including a lead program now in Phase 1 development</w:t>
      </w:r>
    </w:p>
    <w:p>
      <w:pPr>
        <w:pStyle w:val="TextBody"/>
        <w:bidi w:val="0"/>
        <w:spacing w:lineRule="auto" w:line="268" w:before="220" w:after="283"/>
        <w:jc w:val="left"/>
        <w:rPr>
          <w:rFonts w:ascii="Franklin Gothic Book;sans-serif" w:hAnsi="Franklin Gothic Book;sans-serif"/>
          <w:b/>
          <w:color w:val="000000"/>
          <w:sz w:val="22"/>
        </w:rPr>
      </w:pPr>
      <w:r>
        <w:rPr>
          <w:rFonts w:ascii="Franklin Gothic Book;sans-serif" w:hAnsi="Franklin Gothic Book;sans-serif"/>
          <w:b/>
          <w:color w:val="000000"/>
          <w:sz w:val="22"/>
        </w:rPr>
        <w:t>Apellis acquisition now completed with strong second quarter 2026 revenue performance for SYFOVRE and EMPAVELI. With the integration progressing well, Biogen expects approximately $0.85 dilution to Non-GAAP diluted EPS for full year 2026, driven largely by lower interest income and higher interest expense associated with the transaction financing, and remains on track for the transaction to be accretive to Non-GAAP diluted EPS in 2027. Transaction run rate synergies exiting 2027 are expected to be at least $250 million.</w:t>
      </w:r>
    </w:p>
    <w:p>
      <w:pPr>
        <w:pStyle w:val="TextBody"/>
        <w:bidi w:val="0"/>
        <w:spacing w:lineRule="auto" w:line="268" w:before="220" w:after="283"/>
        <w:jc w:val="left"/>
        <w:rPr>
          <w:rFonts w:ascii="Franklin Gothic Book;sans-serif" w:hAnsi="Franklin Gothic Book;sans-serif"/>
          <w:b/>
          <w:color w:val="000000"/>
          <w:sz w:val="22"/>
        </w:rPr>
      </w:pPr>
      <w:r>
        <w:rPr>
          <w:rFonts w:ascii="Franklin Gothic Book;sans-serif" w:hAnsi="Franklin Gothic Book;sans-serif"/>
          <w:b/>
          <w:color w:val="000000"/>
          <w:sz w:val="22"/>
        </w:rPr>
        <w:t>Full year 2026 guidance updated to reflect a strengthening in underlying business performance outlook adjusted for the impact from completed and expected transactions and milestones</w:t>
      </w:r>
    </w:p>
    <w:p>
      <w:pPr>
        <w:pStyle w:val="TextBody"/>
        <w:bidi w:val="0"/>
        <w:spacing w:lineRule="auto" w:line="268" w:before="300" w:after="283"/>
        <w:jc w:val="left"/>
        <w:rPr>
          <w:rFonts w:ascii="Franklin Gothic Book;sans-serif" w:hAnsi="Franklin Gothic Book;sans-serif"/>
          <w:b/>
          <w:color w:val="000000"/>
          <w:sz w:val="22"/>
        </w:rPr>
      </w:pPr>
      <w:r>
        <w:rPr>
          <w:rFonts w:ascii="Franklin Gothic Book;sans-serif" w:hAnsi="Franklin Gothic Book;sans-serif"/>
          <w:b/>
          <w:color w:val="000000"/>
          <w:sz w:val="22"/>
        </w:rPr>
        <w:t>Financial Highlights</w:t>
      </w:r>
    </w:p>
    <w:tbl>
      <w:tblPr>
        <w:tblW w:w="8085" w:type="dxa"/>
        <w:jc w:val="left"/>
        <w:tblInd w:w="0" w:type="dxa"/>
        <w:tblLayout w:type="fixed"/>
        <w:tblCellMar>
          <w:top w:w="28" w:type="dxa"/>
          <w:left w:w="28" w:type="dxa"/>
          <w:bottom w:w="28" w:type="dxa"/>
          <w:right w:w="28" w:type="dxa"/>
        </w:tblCellMar>
      </w:tblPr>
      <w:tblGrid>
        <w:gridCol w:w="998"/>
        <w:gridCol w:w="879"/>
        <w:gridCol w:w="882"/>
        <w:gridCol w:w="109"/>
        <w:gridCol w:w="109"/>
        <w:gridCol w:w="109"/>
        <w:gridCol w:w="269"/>
        <w:gridCol w:w="269"/>
        <w:gridCol w:w="271"/>
        <w:gridCol w:w="109"/>
        <w:gridCol w:w="109"/>
        <w:gridCol w:w="109"/>
        <w:gridCol w:w="269"/>
        <w:gridCol w:w="269"/>
        <w:gridCol w:w="271"/>
        <w:gridCol w:w="109"/>
        <w:gridCol w:w="109"/>
        <w:gridCol w:w="109"/>
        <w:gridCol w:w="224"/>
        <w:gridCol w:w="224"/>
        <w:gridCol w:w="226"/>
        <w:gridCol w:w="109"/>
        <w:gridCol w:w="109"/>
        <w:gridCol w:w="109"/>
        <w:gridCol w:w="269"/>
        <w:gridCol w:w="269"/>
        <w:gridCol w:w="271"/>
        <w:gridCol w:w="109"/>
        <w:gridCol w:w="109"/>
        <w:gridCol w:w="109"/>
        <w:gridCol w:w="109"/>
        <w:gridCol w:w="109"/>
        <w:gridCol w:w="109"/>
        <w:gridCol w:w="109"/>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26DCE"/>
                <w:sz w:val="20"/>
              </w:rPr>
            </w:pPr>
            <w:r>
              <w:rPr>
                <w:rFonts w:ascii="Franklin Gothic Book;sans-serif" w:hAnsi="Franklin Gothic Book;sans-serif"/>
                <w:b/>
                <w:color w:val="026DCE"/>
                <w:sz w:val="20"/>
              </w:rPr>
              <w:t>Q2 '26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Q2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Wingdings 3;sans-serif" w:hAnsi="Wingdings 3;sans-serif"/>
                <w:b/>
                <w:color w:val="000000"/>
                <w:sz w:val="20"/>
              </w:rPr>
              <w:t>r</w:t>
            </w:r>
            <w:r>
              <w:rPr>
                <w:color w:val="000000"/>
              </w:rPr>
              <w:t xml:space="preserve"> </w:t>
            </w:r>
            <w:r>
              <w:rPr>
                <w:rFonts w:ascii="Franklin Gothic Book;sans-serif" w:hAnsi="Franklin Gothic Book;sans-serif"/>
                <w:b/>
                <w:color w:val="000000"/>
                <w:sz w:val="20"/>
              </w:rPr>
              <w:t>(CC</w:t>
            </w:r>
            <w:r>
              <w:rPr>
                <w:rFonts w:ascii="Franklin Gothic Book;sans-serif" w:hAnsi="Franklin Gothic Book;sans-serif"/>
                <w:b/>
                <w:color w:val="000000"/>
                <w:sz w:val="13"/>
              </w:rPr>
              <w:t>*</w:t>
            </w:r>
            <w:r>
              <w:rPr>
                <w:rFonts w:ascii="Franklin Gothic Book;sans-serif" w:hAnsi="Franklin Gothic Book;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Revenue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$2,736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$2,646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GAAP 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$0.66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Non-GAAP 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$3.60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 xml:space="preserve">Note: Percent changes represented as favorable/(unfavorable) versus the prior year period. N/A = not applicable. </w:t>
      </w:r>
    </w:p>
    <w:p>
      <w:pPr>
        <w:pStyle w:val="TextBody"/>
        <w:bidi w:val="0"/>
        <w:spacing w:lineRule="auto" w:line="268" w:before="0" w:after="0"/>
        <w:jc w:val="left"/>
        <w:rPr/>
      </w:pPr>
      <w:r>
        <w:rPr>
          <w:rFonts w:ascii="Franklin Gothic Book;sans-serif" w:hAnsi="Franklin Gothic Book;sans-serif"/>
          <w:b w:val="false"/>
          <w:color w:val="000000"/>
          <w:sz w:val="12"/>
        </w:rPr>
        <w:t>*</w:t>
      </w:r>
      <w:r>
        <w:rPr>
          <w:color w:val="000000"/>
        </w:rPr>
        <w:t xml:space="preserve"> </w:t>
      </w:r>
      <w:r>
        <w:rPr>
          <w:rFonts w:ascii="Franklin Gothic Book;sans-serif" w:hAnsi="Franklin Gothic Book;sans-serif"/>
          <w:b w:val="false"/>
          <w:color w:val="000000"/>
          <w:sz w:val="18"/>
        </w:rPr>
        <w:t xml:space="preserve">Percentage changes in revenue growth at constant currency (CC) are presented excluding the impact of changes in foreign currency exchange rates and hedging gains or losses. Foreign currency revenue values are converted into U.S. Dollars using the exchange rates from the end of the previous calendar year. </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 reconciliation of GAAP to Non-GAAP financial measures can be found in Table 4 at the end of this news release.</w:t>
      </w:r>
    </w:p>
    <w:p>
      <w:pPr>
        <w:pStyle w:val="TextBody"/>
        <w:bidi w:val="0"/>
        <w:spacing w:lineRule="auto" w:line="268" w:before="220" w:after="283"/>
        <w:jc w:val="left"/>
        <w:rPr>
          <w:rFonts w:ascii="Franklin Gothic Book;sans-serif" w:hAnsi="Franklin Gothic Book;sans-serif"/>
          <w:b/>
          <w:color w:val="000000"/>
          <w:sz w:val="22"/>
        </w:rPr>
      </w:pPr>
      <w:r>
        <w:rPr>
          <w:rFonts w:ascii="Franklin Gothic Book;sans-serif" w:hAnsi="Franklin Gothic Book;sans-serif"/>
          <w:b/>
          <w:color w:val="000000"/>
          <w:sz w:val="22"/>
        </w:rPr>
        <w:t>Revenue Summary</w:t>
      </w:r>
    </w:p>
    <w:tbl>
      <w:tblPr>
        <w:tblW w:w="10205" w:type="dxa"/>
        <w:jc w:val="left"/>
        <w:tblInd w:w="0" w:type="dxa"/>
        <w:tblLayout w:type="fixed"/>
        <w:tblCellMar>
          <w:top w:w="28" w:type="dxa"/>
          <w:left w:w="28" w:type="dxa"/>
          <w:bottom w:w="28" w:type="dxa"/>
          <w:right w:w="28" w:type="dxa"/>
        </w:tblCellMar>
      </w:tblPr>
      <w:tblGrid>
        <w:gridCol w:w="1771"/>
        <w:gridCol w:w="1513"/>
        <w:gridCol w:w="1517"/>
        <w:gridCol w:w="109"/>
        <w:gridCol w:w="109"/>
        <w:gridCol w:w="109"/>
        <w:gridCol w:w="300"/>
        <w:gridCol w:w="300"/>
        <w:gridCol w:w="269"/>
        <w:gridCol w:w="109"/>
        <w:gridCol w:w="109"/>
        <w:gridCol w:w="109"/>
        <w:gridCol w:w="300"/>
        <w:gridCol w:w="300"/>
        <w:gridCol w:w="269"/>
        <w:gridCol w:w="109"/>
        <w:gridCol w:w="109"/>
        <w:gridCol w:w="109"/>
        <w:gridCol w:w="217"/>
        <w:gridCol w:w="217"/>
        <w:gridCol w:w="219"/>
        <w:gridCol w:w="109"/>
        <w:gridCol w:w="109"/>
        <w:gridCol w:w="109"/>
        <w:gridCol w:w="260"/>
        <w:gridCol w:w="260"/>
        <w:gridCol w:w="262"/>
        <w:gridCol w:w="109"/>
        <w:gridCol w:w="109"/>
        <w:gridCol w:w="109"/>
        <w:gridCol w:w="109"/>
        <w:gridCol w:w="109"/>
        <w:gridCol w:w="109"/>
        <w:gridCol w:w="109"/>
        <w:gridCol w:w="160"/>
      </w:tblGrid>
      <w:tr>
        <w:trPr/>
        <w:tc>
          <w:tcPr>
            <w:tcW w:w="1771"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3BA"/>
                <w:sz w:val="20"/>
              </w:rPr>
            </w:pPr>
            <w:r>
              <w:rPr>
                <w:rFonts w:ascii="Franklin Gothic Book;sans-serif" w:hAnsi="Franklin Gothic Book;sans-serif"/>
                <w:b/>
                <w:color w:val="2573BA"/>
                <w:sz w:val="20"/>
              </w:rPr>
              <w:t>Q2 '26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Q2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Wingdings 3;sans-serif" w:hAnsi="Wingdings 3;sans-serif"/>
                <w:b/>
                <w:color w:val="000000"/>
                <w:sz w:val="20"/>
              </w:rPr>
              <w:t>r</w:t>
            </w:r>
            <w:r>
              <w:rPr>
                <w:color w:val="000000"/>
              </w:rPr>
              <w:t xml:space="preserve"> </w:t>
            </w:r>
            <w:r>
              <w:rPr>
                <w:rFonts w:ascii="Franklin Gothic Book;sans-serif" w:hAnsi="Franklin Gothic Book;sans-serif"/>
                <w:b/>
                <w:color w:val="000000"/>
                <w:sz w:val="20"/>
              </w:rPr>
              <w:t>(CC</w:t>
            </w:r>
            <w:r>
              <w:rPr>
                <w:rFonts w:ascii="Franklin Gothic Book;sans-serif" w:hAnsi="Franklin Gothic Book;sans-serif"/>
                <w:b/>
                <w:color w:val="000000"/>
                <w:sz w:val="13"/>
              </w:rPr>
              <w:t>*</w:t>
            </w:r>
            <w:r>
              <w:rPr>
                <w:rFonts w:ascii="Franklin Gothic Book;sans-serif" w:hAnsi="Franklin Gothic Book;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Multiple sclerosis (MS) product revenue</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Rare disease revenue</w:t>
            </w:r>
            <w:r>
              <w:rPr>
                <w:rFonts w:ascii="Franklin Gothic Book;sans-serif" w:hAnsi="Franklin Gothic Book;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$602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Specialized immunology revenue</w:t>
            </w:r>
            <w:r>
              <w:rPr>
                <w:rFonts w:ascii="Franklin Gothic Book;sans-serif" w:hAnsi="Franklin Gothic Book;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$128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Franklin Gothic Book;sans-serif" w:hAnsi="Franklin Gothic Book;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Biosimilars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$153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Other product revenue</w:t>
            </w:r>
            <w:r>
              <w:rPr>
                <w:rFonts w:ascii="Franklin Gothic Book;sans-serif" w:hAnsi="Franklin Gothic Book;sans-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product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2"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$1,916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$1,879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Franklin Gothic Book;sans-serif" w:hAnsi="Franklin Gothic Book;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Revenue from anti-CD20 therapeutic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$514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Alzheimer's collaboration revenue</w:t>
            </w:r>
            <w:r>
              <w:rPr>
                <w:rFonts w:ascii="Franklin Gothic Book;sans-serif" w:hAnsi="Franklin Gothic Book;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Contract manufacturing, 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$242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2"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26DCE"/>
                <w:sz w:val="20"/>
              </w:rPr>
            </w:pPr>
            <w:r>
              <w:rPr>
                <w:rFonts w:ascii="Franklin Gothic Book;sans-serif" w:hAnsi="Franklin Gothic Book;sans-serif"/>
                <w:b/>
                <w:color w:val="026DCE"/>
                <w:sz w:val="20"/>
              </w:rPr>
              <w:t>$2,736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$2,646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 xml:space="preserve">Note: Percent changes represented as favorable/(unfavorable) versus the prior year period. Numbers may not foot or recalculate due to rounding. </w:t>
      </w:r>
    </w:p>
    <w:p>
      <w:pPr>
        <w:pStyle w:val="TextBody"/>
        <w:bidi w:val="0"/>
        <w:spacing w:lineRule="auto" w:line="268" w:before="0" w:after="0"/>
        <w:jc w:val="left"/>
        <w:rPr/>
      </w:pPr>
      <w:r>
        <w:rPr>
          <w:rFonts w:ascii="Franklin Gothic Book;sans-serif" w:hAnsi="Franklin Gothic Book;sans-serif"/>
          <w:b w:val="false"/>
          <w:color w:val="000000"/>
          <w:sz w:val="12"/>
        </w:rPr>
        <w:t>(1)</w:t>
      </w:r>
      <w:r>
        <w:rPr>
          <w:color w:val="000000"/>
        </w:rPr>
        <w:t xml:space="preserve"> </w:t>
      </w:r>
      <w:r>
        <w:rPr>
          <w:rFonts w:ascii="Franklin Gothic Book;sans-serif" w:hAnsi="Franklin Gothic Book;sans-serif"/>
          <w:b w:val="false"/>
          <w:color w:val="000000"/>
          <w:sz w:val="18"/>
        </w:rPr>
        <w:t>Multiple sclerosis includes TECFIDERA®, VUMERITY®, AVONEX®, PLEGRIDY® and TYSABRI®.</w:t>
      </w:r>
    </w:p>
    <w:p>
      <w:pPr>
        <w:pStyle w:val="TextBody"/>
        <w:bidi w:val="0"/>
        <w:spacing w:lineRule="auto" w:line="268" w:before="0" w:after="0"/>
        <w:jc w:val="left"/>
        <w:rPr/>
      </w:pPr>
      <w:r>
        <w:rPr>
          <w:rFonts w:ascii="Franklin Gothic Book;sans-serif" w:hAnsi="Franklin Gothic Book;sans-serif"/>
          <w:b w:val="false"/>
          <w:color w:val="000000"/>
          <w:sz w:val="12"/>
        </w:rPr>
        <w:t>(2)</w:t>
      </w:r>
      <w:r>
        <w:rPr>
          <w:color w:val="000000"/>
        </w:rPr>
        <w:t xml:space="preserve"> </w:t>
      </w:r>
      <w:r>
        <w:rPr>
          <w:rFonts w:ascii="Franklin Gothic Book;sans-serif" w:hAnsi="Franklin Gothic Book;sans-serif"/>
          <w:b w:val="false"/>
          <w:color w:val="000000"/>
          <w:sz w:val="18"/>
        </w:rPr>
        <w:t>Rare disease includes SPINRAZA®, SKYCLARYS® and QALSODY®.</w:t>
      </w:r>
    </w:p>
    <w:p>
      <w:pPr>
        <w:pStyle w:val="TextBody"/>
        <w:bidi w:val="0"/>
        <w:spacing w:lineRule="auto" w:line="256" w:before="0" w:after="0"/>
        <w:jc w:val="left"/>
        <w:rPr/>
      </w:pPr>
      <w:r>
        <w:rPr>
          <w:rFonts w:ascii="Franklin Gothic Book;sans-serif" w:hAnsi="Franklin Gothic Book;sans-serif"/>
          <w:b w:val="false"/>
          <w:color w:val="000000"/>
          <w:sz w:val="12"/>
        </w:rPr>
        <w:t>(3)</w:t>
      </w:r>
      <w:r>
        <w:rPr>
          <w:color w:val="000000"/>
        </w:rPr>
        <w:t xml:space="preserve"> </w:t>
      </w:r>
      <w:r>
        <w:rPr>
          <w:rFonts w:ascii="Franklin Gothic Book;sans-serif" w:hAnsi="Franklin Gothic Book;sans-serif"/>
          <w:b w:val="false"/>
          <w:color w:val="000000"/>
          <w:sz w:val="18"/>
        </w:rPr>
        <w:t>Specialized immunology includes EMPAVELI® and SYFOVRE®.</w:t>
      </w:r>
    </w:p>
    <w:p>
      <w:pPr>
        <w:pStyle w:val="TextBody"/>
        <w:bidi w:val="0"/>
        <w:spacing w:lineRule="auto" w:line="256" w:before="0" w:after="0"/>
        <w:jc w:val="left"/>
        <w:rPr/>
      </w:pPr>
      <w:r>
        <w:rPr>
          <w:rFonts w:ascii="Franklin Gothic Book;sans-serif" w:hAnsi="Franklin Gothic Book;sans-serif"/>
          <w:b w:val="false"/>
          <w:color w:val="000000"/>
          <w:sz w:val="12"/>
        </w:rPr>
        <w:t>(4)</w:t>
      </w:r>
      <w:r>
        <w:rPr>
          <w:color w:val="000000"/>
        </w:rPr>
        <w:t xml:space="preserve"> </w:t>
      </w:r>
      <w:r>
        <w:rPr>
          <w:rFonts w:ascii="Franklin Gothic Book;sans-serif" w:hAnsi="Franklin Gothic Book;sans-serif"/>
          <w:b w:val="false"/>
          <w:color w:val="000000"/>
          <w:sz w:val="18"/>
        </w:rPr>
        <w:t>Other includes FUMADERM® and ZURZUVAE®.</w:t>
      </w:r>
    </w:p>
    <w:p>
      <w:pPr>
        <w:pStyle w:val="TextBody"/>
        <w:bidi w:val="0"/>
        <w:spacing w:lineRule="auto" w:line="256" w:before="20" w:after="283"/>
        <w:jc w:val="left"/>
        <w:rPr/>
      </w:pPr>
      <w:r>
        <w:rPr>
          <w:rFonts w:ascii="Franklin Gothic Book;sans-serif" w:hAnsi="Franklin Gothic Book;sans-serif"/>
          <w:b w:val="false"/>
          <w:color w:val="000000"/>
          <w:sz w:val="12"/>
        </w:rPr>
        <w:t xml:space="preserve">(5) </w:t>
      </w:r>
      <w:r>
        <w:rPr>
          <w:rFonts w:ascii="Franklin Gothic Book;sans-serif" w:hAnsi="Franklin Gothic Book;sans-serif"/>
          <w:b w:val="false"/>
          <w:color w:val="000000"/>
          <w:sz w:val="18"/>
        </w:rPr>
        <w:t>Includes Biogen’s 50% share of net revenue and cost of sales, including royalties, from the LEQEMBI® Collaboration.</w:t>
      </w:r>
    </w:p>
    <w:p>
      <w:pPr>
        <w:pStyle w:val="TextBody"/>
        <w:bidi w:val="0"/>
        <w:spacing w:before="22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2</w:t>
                      </w:r>
                    </w:p>
                  </w:txbxContent>
                </v:textbox>
                <w10:wrap type="none"/>
              </v:rect>
            </w:pict>
          </mc:Fallback>
        </mc:AlternateContent>
      </w:r>
    </w:p>
    <w:p>
      <w:pPr>
        <w:pStyle w:val="TextBody"/>
        <w:bidi w:val="0"/>
        <w:spacing w:lineRule="auto" w:line="268" w:before="240" w:after="283"/>
        <w:ind w:left="0" w:right="0" w:hanging="360"/>
        <w:jc w:val="left"/>
        <w:rPr/>
      </w:pPr>
      <w:r>
        <w:rPr>
          <w:color w:val="0070C0"/>
        </w:rPr>
        <w:t>•</w:t>
      </w:r>
      <w:r>
        <w:rPr>
          <w:rFonts w:ascii="Franklin Gothic Book;sans-serif" w:hAnsi="Franklin Gothic Book;sans-serif"/>
          <w:b w:val="false"/>
          <w:color w:val="000000"/>
          <w:sz w:val="22"/>
        </w:rPr>
        <w:t>Second quarter 2026 Legacy MS Portfolio, which includes AVONEX, PLEGRIDY, TECFIDERA, and TYSABRI, generated $767 million of revenue, driven by resilient performance from TYSABRI.</w:t>
      </w:r>
    </w:p>
    <w:p>
      <w:pPr>
        <w:pStyle w:val="TextBody"/>
        <w:bidi w:val="0"/>
        <w:spacing w:lineRule="auto" w:line="268" w:before="240" w:after="283"/>
        <w:jc w:val="left"/>
        <w:rPr>
          <w:rFonts w:ascii="Franklin Gothic Book;sans-serif" w:hAnsi="Franklin Gothic Book;sans-serif"/>
          <w:b/>
          <w:color w:val="000000"/>
          <w:sz w:val="22"/>
        </w:rPr>
      </w:pPr>
      <w:r>
        <w:rPr>
          <w:rFonts w:ascii="Franklin Gothic Book;sans-serif" w:hAnsi="Franklin Gothic Book;sans-serif"/>
          <w:b/>
          <w:color w:val="000000"/>
          <w:sz w:val="22"/>
        </w:rPr>
        <w:t>Expense Summary</w:t>
      </w:r>
    </w:p>
    <w:tbl>
      <w:tblPr>
        <w:tblW w:w="10204" w:type="dxa"/>
        <w:jc w:val="left"/>
        <w:tblInd w:w="0" w:type="dxa"/>
        <w:tblLayout w:type="fixed"/>
        <w:tblCellMar>
          <w:top w:w="28" w:type="dxa"/>
          <w:left w:w="28" w:type="dxa"/>
          <w:bottom w:w="28" w:type="dxa"/>
          <w:right w:w="28" w:type="dxa"/>
        </w:tblCellMar>
      </w:tblPr>
      <w:tblGrid>
        <w:gridCol w:w="2493"/>
        <w:gridCol w:w="2193"/>
        <w:gridCol w:w="2199"/>
        <w:gridCol w:w="109"/>
        <w:gridCol w:w="109"/>
        <w:gridCol w:w="109"/>
        <w:gridCol w:w="269"/>
        <w:gridCol w:w="269"/>
        <w:gridCol w:w="271"/>
        <w:gridCol w:w="109"/>
        <w:gridCol w:w="109"/>
        <w:gridCol w:w="109"/>
        <w:gridCol w:w="269"/>
        <w:gridCol w:w="269"/>
        <w:gridCol w:w="271"/>
        <w:gridCol w:w="109"/>
        <w:gridCol w:w="109"/>
        <w:gridCol w:w="109"/>
        <w:gridCol w:w="210"/>
        <w:gridCol w:w="210"/>
        <w:gridCol w:w="300"/>
      </w:tblGrid>
      <w:tr>
        <w:trPr/>
        <w:tc>
          <w:tcPr>
            <w:tcW w:w="2493"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3BA"/>
                <w:sz w:val="20"/>
              </w:rPr>
            </w:pPr>
            <w:r>
              <w:rPr>
                <w:rFonts w:ascii="Franklin Gothic Book;sans-serif" w:hAnsi="Franklin Gothic Book;sans-serif"/>
                <w:b/>
                <w:color w:val="2573BA"/>
                <w:sz w:val="20"/>
              </w:rPr>
              <w:t>Q2 '26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Q2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GAAP cost of sales</w:t>
            </w:r>
            <w:r>
              <w:rPr>
                <w:rFonts w:ascii="Franklin Gothic Book;sans-serif" w:hAnsi="Franklin Gothic Book;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$777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(28)%</w:t>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8"/>
              </w:rPr>
            </w:pPr>
            <w:r>
              <w:rPr>
                <w:rFonts w:ascii="Franklin Gothic Book;sans-serif" w:hAnsi="Franklin Gothic Book;sans-serif"/>
                <w:b w:val="false"/>
                <w:i/>
                <w:color w:val="000000"/>
                <w:sz w:val="18"/>
              </w:rPr>
              <w:t>%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i/>
                <w:color w:val="026DCE"/>
                <w:sz w:val="18"/>
              </w:rPr>
            </w:pPr>
            <w:r>
              <w:rPr>
                <w:rFonts w:ascii="Franklin Gothic Book;sans-serif" w:hAnsi="Franklin Gothic Book;sans-serif"/>
                <w:b w:val="false"/>
                <w:i/>
                <w:color w:val="026DCE"/>
                <w:sz w:val="18"/>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i/>
                <w:color w:val="000000"/>
                <w:sz w:val="18"/>
              </w:rPr>
            </w:pPr>
            <w:r>
              <w:rPr>
                <w:rFonts w:ascii="Franklin Gothic Book;sans-serif" w:hAnsi="Franklin Gothic Book;sans-serif"/>
                <w:b w:val="false"/>
                <w:i/>
                <w:color w:val="000000"/>
                <w:sz w:val="18"/>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Non-GAAP cost of sales</w:t>
            </w:r>
            <w:r>
              <w:rPr>
                <w:rFonts w:ascii="Franklin Gothic Book;sans-serif" w:hAnsi="Franklin Gothic Book;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$612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(10)%</w:t>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8"/>
              </w:rPr>
            </w:pPr>
            <w:r>
              <w:rPr>
                <w:rFonts w:ascii="Franklin Gothic Book;sans-serif" w:hAnsi="Franklin Gothic Book;sans-serif"/>
                <w:b w:val="false"/>
                <w:i/>
                <w:color w:val="000000"/>
                <w:sz w:val="18"/>
              </w:rPr>
              <w:t>%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i/>
                <w:color w:val="026DCE"/>
                <w:sz w:val="18"/>
              </w:rPr>
            </w:pPr>
            <w:r>
              <w:rPr>
                <w:rFonts w:ascii="Franklin Gothic Book;sans-serif" w:hAnsi="Franklin Gothic Book;sans-serif"/>
                <w:b w:val="false"/>
                <w:i/>
                <w:color w:val="026DCE"/>
                <w:sz w:val="18"/>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i/>
                <w:color w:val="000000"/>
                <w:sz w:val="18"/>
              </w:rPr>
            </w:pPr>
            <w:r>
              <w:rPr>
                <w:rFonts w:ascii="Franklin Gothic Book;sans-serif" w:hAnsi="Franklin Gothic Book;sans-serif"/>
                <w:b w:val="false"/>
                <w:i/>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GAAP R&amp;D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$530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(33)%</w:t>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Non-GAAP R&amp;D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$490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(24)%</w:t>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GAAP SG&amp;A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$710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(22)%</w:t>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Non-GAAP SG&amp;A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$680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(17)%</w:t>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GAAP and Non-GAAP acquired IPR&amp;D, upfront and milestone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$164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NMF</w:t>
            </w:r>
          </w:p>
        </w:tc>
      </w:tr>
    </w:tbl>
    <w:p>
      <w:pPr>
        <w:pStyle w:val="TextBody"/>
        <w:bidi w:val="0"/>
        <w:spacing w:lineRule="auto" w:line="268" w:before="6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Note: Percent changes represented as favorable/(unfavorable) versus the prior year period</w:t>
      </w:r>
    </w:p>
    <w:p>
      <w:pPr>
        <w:pStyle w:val="TextBody"/>
        <w:bidi w:val="0"/>
        <w:spacing w:lineRule="auto" w:line="268"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IPR&amp;D = in-process R&amp;D; NMF = no meaningful figure.</w:t>
      </w:r>
    </w:p>
    <w:p>
      <w:pPr>
        <w:pStyle w:val="TextBody"/>
        <w:bidi w:val="0"/>
        <w:spacing w:lineRule="auto" w:line="268" w:before="0" w:after="0"/>
        <w:jc w:val="left"/>
        <w:rPr/>
      </w:pPr>
      <w:r>
        <w:rPr>
          <w:rFonts w:ascii="Franklin Gothic Book;sans-serif" w:hAnsi="Franklin Gothic Book;sans-serif"/>
          <w:b w:val="false"/>
          <w:color w:val="000000"/>
          <w:sz w:val="12"/>
        </w:rPr>
        <w:t>*</w:t>
      </w:r>
      <w:r>
        <w:rPr>
          <w:color w:val="000000"/>
        </w:rPr>
        <w:t xml:space="preserve"> </w:t>
      </w:r>
      <w:r>
        <w:rPr>
          <w:rFonts w:ascii="Franklin Gothic Book;sans-serif" w:hAnsi="Franklin Gothic Book;sans-serif"/>
          <w:b w:val="false"/>
          <w:color w:val="000000"/>
          <w:sz w:val="18"/>
        </w:rPr>
        <w:t>Excluding amortization and impairment of acquired intangible assets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70C0"/>
        </w:rPr>
        <w:t>•</w:t>
      </w:r>
      <w:r>
        <w:rPr>
          <w:rFonts w:ascii="Franklin Gothic Book;sans-serif" w:hAnsi="Franklin Gothic Book;sans-serif"/>
          <w:b w:val="false"/>
          <w:color w:val="000000"/>
          <w:sz w:val="22"/>
        </w:rPr>
        <w:t>The increase in second quarter 2026 GAAP and Non-GAAP cost of sales as a percentage of total revenue was driven primarily by product mix.</w:t>
      </w:r>
    </w:p>
    <w:p>
      <w:pPr>
        <w:pStyle w:val="TextBody"/>
        <w:bidi w:val="0"/>
        <w:spacing w:before="0" w:after="0"/>
        <w:jc w:val="left"/>
        <w:rPr/>
      </w:pPr>
      <w:r>
        <w:rPr/>
      </w:r>
    </w:p>
    <w:p>
      <w:pPr>
        <w:pStyle w:val="TextBody"/>
        <w:bidi w:val="0"/>
        <w:spacing w:lineRule="auto" w:line="268" w:before="0" w:after="0"/>
        <w:ind w:left="0" w:right="0" w:hanging="360"/>
        <w:jc w:val="left"/>
        <w:rPr/>
      </w:pPr>
      <w:r>
        <w:rPr>
          <w:color w:val="0070C0"/>
          <w:shd w:fill="FFFFFF" w:val="clear"/>
        </w:rPr>
        <w:t>•</w:t>
      </w:r>
      <w:r>
        <w:rPr>
          <w:rFonts w:ascii="Franklin Gothic Book;sans-serif" w:hAnsi="Franklin Gothic Book;sans-serif"/>
          <w:b w:val="false"/>
          <w:color w:val="000000"/>
          <w:sz w:val="22"/>
        </w:rPr>
        <w:t xml:space="preserve">The increase in second quarter 2026 GAAP R&amp;D expense included approximately $38 million of step-up amortization related to SKYCLARYS inventory used in clinical trials. The increase in second quarter 2026 GAAP and Non-GAAP R&amp;D expense was driven by higher spend on clinical trials, including felzartamab, salanersen and litifilimab, as well as the inclusion of operating expenses from Apellis, and a reduction in R&amp;D funding received from Royalty Pharma.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70C0"/>
        </w:rPr>
        <w:t>•</w:t>
      </w:r>
      <w:r>
        <w:rPr>
          <w:rFonts w:ascii="Franklin Gothic Book;sans-serif" w:hAnsi="Franklin Gothic Book;sans-serif"/>
          <w:b w:val="false"/>
          <w:color w:val="000000"/>
          <w:sz w:val="22"/>
        </w:rPr>
        <w:t>The increase in second quarter 2026 GAAP and Non-GAAP SG&amp;A was primarily due to the inclusion of the commercial and management operations of Apellis subsequent to the acquisition of the company and an increase in operational spending on sales and marketing activities in support of our U.S. and international product launches.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70C0"/>
        </w:rPr>
        <w:t>•</w:t>
      </w:r>
      <w:r>
        <w:rPr>
          <w:rFonts w:ascii="Franklin Gothic Book;sans-serif" w:hAnsi="Franklin Gothic Book;sans-serif"/>
          <w:b w:val="false"/>
          <w:color w:val="000000"/>
          <w:sz w:val="22"/>
        </w:rPr>
        <w:t>Second quarter 2026 GAAP and Non-GAAP acquired IPR&amp;D, upfront and milestone expense was $164 million.</w:t>
      </w:r>
    </w:p>
    <w:p>
      <w:pPr>
        <w:pStyle w:val="TextBody"/>
        <w:bidi w:val="0"/>
        <w:spacing w:lineRule="auto" w:line="268" w:before="300" w:after="283"/>
        <w:jc w:val="left"/>
        <w:rPr>
          <w:rFonts w:ascii="Franklin Gothic Book;sans-serif" w:hAnsi="Franklin Gothic Book;sans-serif"/>
          <w:b/>
          <w:color w:val="000000"/>
          <w:sz w:val="22"/>
        </w:rPr>
      </w:pPr>
      <w:r>
        <w:rPr>
          <w:rFonts w:ascii="Franklin Gothic Book;sans-serif" w:hAnsi="Franklin Gothic Book;sans-serif"/>
          <w:b/>
          <w:color w:val="000000"/>
          <w:sz w:val="22"/>
        </w:rPr>
        <w:t>Other Financial Highlights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70C0"/>
        </w:rPr>
        <w:t>•</w:t>
      </w:r>
      <w:r>
        <w:rPr>
          <w:rFonts w:ascii="Franklin Gothic Book;sans-serif" w:hAnsi="Franklin Gothic Book;sans-serif"/>
          <w:b w:val="false"/>
          <w:color w:val="000000"/>
          <w:sz w:val="22"/>
        </w:rPr>
        <w:t xml:space="preserve">Second quarter 2026 GAAP and Non-GAAP collaboration profit sharing was a net expense of approximately $69 million, which includes approximately $45 million related to Biogen’s collaboration with Samsung Bioepis, and approximately $24 million related to Biogen’s collaboration with Supernus Pharmaceuticals, Inc. for the commercialization of ZURZUVAE in the U.S.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70C0"/>
          <w:shd w:fill="FFFFFF" w:val="clear"/>
        </w:rPr>
        <w:t>•</w:t>
      </w:r>
      <w:r>
        <w:rPr>
          <w:rFonts w:ascii="Franklin Gothic Book;sans-serif" w:hAnsi="Franklin Gothic Book;sans-serif"/>
          <w:b w:val="false"/>
          <w:color w:val="000000"/>
          <w:sz w:val="22"/>
        </w:rPr>
        <w:t>Second quarter 2026 GAAP other expense was approximately $19 million driven by net interest expense partially offset by net unrealized gains on equity securities. Second quarter 2026 Non-GAAP other expense was approximately $60 million primarily driven by net interest expense. Net interest expense includes financing costs related to the Apellis transaction.</w:t>
      </w:r>
    </w:p>
    <w:p>
      <w:pPr>
        <w:pStyle w:val="TextBody"/>
        <w:bidi w:val="0"/>
        <w:spacing w:before="0" w:after="0"/>
        <w:jc w:val="left"/>
        <w:rPr/>
      </w:pPr>
      <w:r>
        <w:rPr/>
      </w:r>
    </w:p>
    <w:p>
      <w:pPr>
        <w:pStyle w:val="TextBody"/>
        <w:bidi w:val="0"/>
        <w:spacing w:lineRule="auto" w:line="268"/>
        <w:ind w:left="0" w:right="0" w:hanging="360"/>
        <w:jc w:val="left"/>
        <w:rPr/>
      </w:pPr>
      <w:r>
        <w:rPr>
          <w:color w:val="0070C0"/>
        </w:rPr>
        <w:t>•</w:t>
      </w:r>
      <w:r>
        <w:rPr>
          <w:rFonts w:ascii="Franklin Gothic Book;sans-serif" w:hAnsi="Franklin Gothic Book;sans-serif"/>
          <w:b w:val="false"/>
          <w:color w:val="000000"/>
          <w:sz w:val="22"/>
        </w:rPr>
        <w:t xml:space="preserve">Second quarter 2026 GAAP and Non-GAAP effective tax rates were 26.4% and 17.2%, respectively. Second quarter 2025 GAAP and Non-GAAP effective tax rates were 14.7% and 13.5%, respectively. The year-over-year increase in the GAAP effective tax rate was primarily driven by non-deductible expenses related to the Apellis acquisition. The year-over-year increase in both GAAP and Non-GAAP effective tax rates were impacted by the favorable deferred tax impacts of decreases in foreign withholding taxes recorded in the second quarter of 2025. </w:t>
      </w:r>
    </w:p>
    <w:p>
      <w:pPr>
        <w:pStyle w:val="TextBody"/>
        <w:bidi w:val="0"/>
        <w:spacing w:before="22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3</w:t>
                      </w:r>
                    </w:p>
                  </w:txbxContent>
                </v:textbox>
                <w10:wrap type="none"/>
              </v:rect>
            </w:pict>
          </mc:Fallback>
        </mc:AlternateContent>
      </w:r>
    </w:p>
    <w:p>
      <w:pPr>
        <w:pStyle w:val="TextBody"/>
        <w:bidi w:val="0"/>
        <w:spacing w:lineRule="auto" w:line="268" w:before="300" w:after="283"/>
        <w:jc w:val="left"/>
        <w:rPr>
          <w:rFonts w:ascii="Franklin Gothic Book;sans-serif" w:hAnsi="Franklin Gothic Book;sans-serif"/>
          <w:b/>
          <w:color w:val="000000"/>
          <w:sz w:val="22"/>
        </w:rPr>
      </w:pPr>
      <w:r>
        <w:rPr>
          <w:rFonts w:ascii="Franklin Gothic Book;sans-serif" w:hAnsi="Franklin Gothic Book;sans-serif"/>
          <w:b/>
          <w:color w:val="000000"/>
          <w:sz w:val="22"/>
        </w:rPr>
        <w:t>Financial Position and Cash Flows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70C0"/>
        </w:rPr>
        <w:t>•</w:t>
      </w:r>
      <w:r>
        <w:rPr>
          <w:rFonts w:ascii="Franklin Gothic Book;sans-serif" w:hAnsi="Franklin Gothic Book;sans-serif"/>
          <w:b w:val="false"/>
          <w:color w:val="000000"/>
          <w:sz w:val="22"/>
        </w:rPr>
        <w:t xml:space="preserve">Second quarter 2026 net cash flow from operations was approximately $449 million. Capital expenditures were approximately $41 million, and free cash flow, a Non-GAAP financial measure defined as net cash flow from operations less capital expenditures, was approximately $408 million.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70C0"/>
        </w:rPr>
        <w:t>•</w:t>
      </w:r>
      <w:r>
        <w:rPr>
          <w:rFonts w:ascii="Franklin Gothic Book;sans-serif" w:hAnsi="Franklin Gothic Book;sans-serif"/>
          <w:b w:val="false"/>
          <w:color w:val="000000"/>
          <w:sz w:val="22"/>
        </w:rPr>
        <w:t xml:space="preserve">As of June 30, 2026, Biogen had cash and cash equivalents totaling approximately $1.3 billion and approximately $8.1 billion in total debt, resulting in net debt of approximately $6.8 billion.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70C0"/>
        </w:rPr>
        <w:t>•</w:t>
      </w:r>
      <w:r>
        <w:rPr>
          <w:rFonts w:ascii="Franklin Gothic Book;sans-serif" w:hAnsi="Franklin Gothic Book;sans-serif"/>
          <w:b w:val="false"/>
          <w:color w:val="000000"/>
          <w:sz w:val="22"/>
        </w:rPr>
        <w:t>For the second quarter of 2026, the Company’s weighted average diluted shares were approximately 149 million.</w:t>
      </w:r>
    </w:p>
    <w:p>
      <w:pPr>
        <w:pStyle w:val="TextBody"/>
        <w:bidi w:val="0"/>
        <w:spacing w:lineRule="auto" w:line="268" w:before="300" w:after="283"/>
        <w:jc w:val="left"/>
        <w:rPr>
          <w:rFonts w:ascii="Franklin Gothic Book;sans-serif" w:hAnsi="Franklin Gothic Book;sans-serif"/>
          <w:b/>
          <w:color w:val="000000"/>
          <w:sz w:val="22"/>
        </w:rPr>
      </w:pPr>
      <w:r>
        <w:rPr>
          <w:rFonts w:ascii="Franklin Gothic Book;sans-serif" w:hAnsi="Franklin Gothic Book;sans-serif"/>
          <w:b/>
          <w:color w:val="000000"/>
          <w:sz w:val="22"/>
        </w:rPr>
        <w:t>Full Year 2026 Financial Guidance</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Biogen is updating its full year 2026 financial guidance to reflect a strengthening in underlying business performance outlook with reported guidance adjusted for the impact from completed and expected transactions and milestones. Full year 2026 Non-GAAP diluted EPS range is expected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18"/>
        <w:gridCol w:w="1349"/>
        <w:gridCol w:w="1352"/>
        <w:gridCol w:w="550"/>
        <w:gridCol w:w="550"/>
        <w:gridCol w:w="551"/>
        <w:gridCol w:w="573"/>
        <w:gridCol w:w="453"/>
        <w:gridCol w:w="454"/>
        <w:gridCol w:w="642"/>
        <w:gridCol w:w="492"/>
        <w:gridCol w:w="464"/>
        <w:gridCol w:w="336"/>
        <w:gridCol w:w="336"/>
        <w:gridCol w:w="485"/>
      </w:tblGrid>
      <w:tr>
        <w:trPr/>
        <w:tc>
          <w:tcPr>
            <w:tcW w:w="161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FY 2026 Non-GAAP Diluted EPS Guidance</w:t>
            </w:r>
          </w:p>
        </w:tc>
        <w:tc>
          <w:tcPr>
            <w:tcW w:w="1651"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February 2026</w:t>
            </w:r>
          </w:p>
        </w:tc>
        <w:tc>
          <w:tcPr>
            <w:tcW w:w="148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April 2026</w:t>
            </w:r>
          </w:p>
        </w:tc>
        <w:tc>
          <w:tcPr>
            <w:tcW w:w="159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July 2026</w:t>
            </w:r>
          </w:p>
        </w:tc>
        <w:tc>
          <w:tcPr>
            <w:tcW w:w="1157" w:type="dxa"/>
            <w:gridSpan w:val="3"/>
            <w:tcBorders>
              <w:left w:val="single" w:sz="8" w:space="0" w:color="000000"/>
              <w:right w:val="single" w:sz="8" w:space="0" w:color="000000"/>
            </w:tcBorders>
            <w:shd w:fill="DBDBDB" w:val="clear"/>
            <w:tcMar>
              <w:top w:w="0" w:type="dxa"/>
              <w:bottom w:w="0" w:type="dxa"/>
            </w:tcMar>
            <w:vAlign w:val="center"/>
          </w:tcPr>
          <w:p>
            <w:pPr>
              <w:pStyle w:val="TableContents"/>
              <w:bidi w:val="0"/>
              <w:spacing w:lineRule="auto" w:line="240"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Change</w:t>
            </w:r>
          </w:p>
        </w:tc>
      </w:tr>
      <w:tr>
        <w:trPr/>
        <w:tc>
          <w:tcPr>
            <w:tcW w:w="4319" w:type="dxa"/>
            <w:gridSpan w:val="3"/>
            <w:tcBorders>
              <w:top w:val="dotted" w:sz="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Underlying guidance</w:t>
            </w:r>
          </w:p>
        </w:tc>
        <w:tc>
          <w:tcPr>
            <w:tcW w:w="1651" w:type="dxa"/>
            <w:gridSpan w:val="3"/>
            <w:tcBorders>
              <w:top w:val="dotted" w:sz="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2"/>
              </w:rPr>
            </w:pPr>
            <w:r>
              <w:rPr>
                <w:rFonts w:ascii="Franklin Gothic Book;sans-serif" w:hAnsi="Franklin Gothic Book;sans-serif"/>
                <w:b w:val="false"/>
                <w:color w:val="000000"/>
                <w:sz w:val="22"/>
              </w:rPr>
              <w:t>$15.25 to $16.25</w:t>
            </w:r>
          </w:p>
        </w:tc>
        <w:tc>
          <w:tcPr>
            <w:tcW w:w="1480" w:type="dxa"/>
            <w:gridSpan w:val="3"/>
            <w:tcBorders>
              <w:top w:val="dotted" w:sz="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2"/>
              </w:rPr>
            </w:pPr>
            <w:r>
              <w:rPr>
                <w:rFonts w:ascii="Franklin Gothic Book;sans-serif" w:hAnsi="Franklin Gothic Book;sans-serif"/>
                <w:b w:val="false"/>
                <w:color w:val="000000"/>
                <w:sz w:val="22"/>
              </w:rPr>
              <w:t>$15.25 to $16.25</w:t>
            </w:r>
          </w:p>
        </w:tc>
        <w:tc>
          <w:tcPr>
            <w:tcW w:w="1598" w:type="dxa"/>
            <w:gridSpan w:val="3"/>
            <w:tcBorders>
              <w:top w:val="dotted" w:sz="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$15.85 to $16.85</w:t>
            </w:r>
          </w:p>
        </w:tc>
        <w:tc>
          <w:tcPr>
            <w:tcW w:w="1157" w:type="dxa"/>
            <w:gridSpan w:val="3"/>
            <w:tcBorders>
              <w:top w:val="dotted" w:sz="2"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Franklin Gothic Book;sans-serif" w:hAnsi="Franklin Gothic Book;sans-serif"/>
                <w:b w:val="false"/>
                <w:i/>
                <w:color w:val="000000"/>
                <w:sz w:val="22"/>
              </w:rPr>
            </w:pPr>
            <w:r>
              <w:rPr>
                <w:rFonts w:ascii="Franklin Gothic Book;sans-serif" w:hAnsi="Franklin Gothic Book;sans-serif"/>
                <w:b w:val="false"/>
                <w:i/>
                <w:color w:val="000000"/>
                <w:sz w:val="22"/>
              </w:rPr>
              <w:t>+$0.60</w:t>
            </w:r>
          </w:p>
        </w:tc>
      </w:tr>
      <w:tr>
        <w:trPr/>
        <w:tc>
          <w:tcPr>
            <w:tcW w:w="4319" w:type="dxa"/>
            <w:gridSpan w:val="3"/>
            <w:tcBorders>
              <w:top w:val="dotted" w:sz="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Approximate impact from acquired IPR&amp;D and milestone charges</w:t>
            </w:r>
          </w:p>
        </w:tc>
        <w:tc>
          <w:tcPr>
            <w:tcW w:w="1651" w:type="dxa"/>
            <w:gridSpan w:val="3"/>
            <w:tcBorders>
              <w:top w:val="dotted" w:sz="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2"/>
              </w:rPr>
            </w:pPr>
            <w:r>
              <w:rPr>
                <w:rFonts w:ascii="Franklin Gothic Book;sans-serif" w:hAnsi="Franklin Gothic Book;sans-serif"/>
                <w:b w:val="false"/>
                <w:color w:val="000000"/>
                <w:sz w:val="22"/>
              </w:rPr>
              <w:t>--</w:t>
            </w:r>
          </w:p>
        </w:tc>
        <w:tc>
          <w:tcPr>
            <w:tcW w:w="1480" w:type="dxa"/>
            <w:gridSpan w:val="3"/>
            <w:tcBorders>
              <w:top w:val="dotted" w:sz="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2"/>
              </w:rPr>
            </w:pPr>
            <w:r>
              <w:rPr>
                <w:rFonts w:ascii="Franklin Gothic Book;sans-serif" w:hAnsi="Franklin Gothic Book;sans-serif"/>
                <w:b w:val="false"/>
                <w:color w:val="000000"/>
                <w:sz w:val="22"/>
              </w:rPr>
              <w:t>($1.00)</w:t>
            </w:r>
          </w:p>
        </w:tc>
        <w:tc>
          <w:tcPr>
            <w:tcW w:w="1598" w:type="dxa"/>
            <w:gridSpan w:val="3"/>
            <w:tcBorders>
              <w:top w:val="dotted" w:sz="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~($3.00)</w:t>
            </w:r>
          </w:p>
        </w:tc>
        <w:tc>
          <w:tcPr>
            <w:tcW w:w="1157" w:type="dxa"/>
            <w:gridSpan w:val="3"/>
            <w:tcBorders>
              <w:top w:val="dotted" w:sz="2"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Franklin Gothic Book;sans-serif" w:hAnsi="Franklin Gothic Book;sans-serif"/>
                <w:b w:val="false"/>
                <w:i/>
                <w:color w:val="000000"/>
                <w:sz w:val="22"/>
              </w:rPr>
            </w:pPr>
            <w:r>
              <w:rPr>
                <w:rFonts w:ascii="Franklin Gothic Book;sans-serif" w:hAnsi="Franklin Gothic Book;sans-serif"/>
                <w:b w:val="false"/>
                <w:i/>
                <w:color w:val="000000"/>
                <w:sz w:val="22"/>
              </w:rPr>
              <w:t>~($2.00)</w:t>
            </w:r>
          </w:p>
        </w:tc>
      </w:tr>
      <w:tr>
        <w:trPr/>
        <w:tc>
          <w:tcPr>
            <w:tcW w:w="4319" w:type="dxa"/>
            <w:gridSpan w:val="3"/>
            <w:tcBorders>
              <w:top w:val="dotted" w:sz="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Expected dilution from the Apellis acquisition</w:t>
            </w:r>
          </w:p>
        </w:tc>
        <w:tc>
          <w:tcPr>
            <w:tcW w:w="1651" w:type="dxa"/>
            <w:gridSpan w:val="3"/>
            <w:tcBorders>
              <w:top w:val="dotted" w:sz="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2"/>
              </w:rPr>
            </w:pPr>
            <w:r>
              <w:rPr>
                <w:rFonts w:ascii="Franklin Gothic Book;sans-serif" w:hAnsi="Franklin Gothic Book;sans-serif"/>
                <w:b w:val="false"/>
                <w:color w:val="000000"/>
                <w:sz w:val="22"/>
              </w:rPr>
              <w:t>--</w:t>
            </w:r>
          </w:p>
        </w:tc>
        <w:tc>
          <w:tcPr>
            <w:tcW w:w="1480" w:type="dxa"/>
            <w:gridSpan w:val="3"/>
            <w:tcBorders>
              <w:top w:val="dotted" w:sz="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2"/>
              </w:rPr>
            </w:pPr>
            <w:r>
              <w:rPr>
                <w:rFonts w:ascii="Franklin Gothic Book;sans-serif" w:hAnsi="Franklin Gothic Book;sans-serif"/>
                <w:b w:val="false"/>
                <w:color w:val="000000"/>
                <w:sz w:val="22"/>
              </w:rPr>
              <w:t>--</w:t>
            </w:r>
          </w:p>
        </w:tc>
        <w:tc>
          <w:tcPr>
            <w:tcW w:w="1598" w:type="dxa"/>
            <w:gridSpan w:val="3"/>
            <w:tcBorders>
              <w:top w:val="dotted" w:sz="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~($0.85)</w:t>
            </w:r>
          </w:p>
        </w:tc>
        <w:tc>
          <w:tcPr>
            <w:tcW w:w="1157" w:type="dxa"/>
            <w:gridSpan w:val="3"/>
            <w:tcBorders>
              <w:top w:val="dotted" w:sz="2"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Franklin Gothic Book;sans-serif" w:hAnsi="Franklin Gothic Book;sans-serif"/>
                <w:b w:val="false"/>
                <w:i/>
                <w:color w:val="000000"/>
                <w:sz w:val="22"/>
              </w:rPr>
            </w:pPr>
            <w:r>
              <w:rPr>
                <w:rFonts w:ascii="Franklin Gothic Book;sans-serif" w:hAnsi="Franklin Gothic Book;sans-serif"/>
                <w:b w:val="false"/>
                <w:i/>
                <w:color w:val="000000"/>
                <w:sz w:val="22"/>
              </w:rPr>
              <w:t>~($0.85)</w:t>
            </w:r>
          </w:p>
        </w:tc>
      </w:tr>
      <w:tr>
        <w:trPr/>
        <w:tc>
          <w:tcPr>
            <w:tcW w:w="4319" w:type="dxa"/>
            <w:gridSpan w:val="3"/>
            <w:tcBorders>
              <w:top w:val="dotted" w:sz="2"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Reported Guidance</w:t>
            </w:r>
          </w:p>
        </w:tc>
        <w:tc>
          <w:tcPr>
            <w:tcW w:w="1651" w:type="dxa"/>
            <w:gridSpan w:val="3"/>
            <w:tcBorders>
              <w:top w:val="dotted" w:sz="2"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2"/>
              </w:rPr>
            </w:pPr>
            <w:r>
              <w:rPr>
                <w:rFonts w:ascii="Franklin Gothic Book;sans-serif" w:hAnsi="Franklin Gothic Book;sans-serif"/>
                <w:b w:val="false"/>
                <w:color w:val="000000"/>
                <w:sz w:val="22"/>
              </w:rPr>
              <w:t>$15.25 to $16.25</w:t>
            </w:r>
          </w:p>
        </w:tc>
        <w:tc>
          <w:tcPr>
            <w:tcW w:w="1480" w:type="dxa"/>
            <w:gridSpan w:val="3"/>
            <w:tcBorders>
              <w:top w:val="dotted" w:sz="2"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2"/>
              </w:rPr>
            </w:pPr>
            <w:r>
              <w:rPr>
                <w:rFonts w:ascii="Franklin Gothic Book;sans-serif" w:hAnsi="Franklin Gothic Book;sans-serif"/>
                <w:b w:val="false"/>
                <w:color w:val="000000"/>
                <w:sz w:val="22"/>
              </w:rPr>
              <w:t>$14.25 to $15.25</w:t>
            </w:r>
          </w:p>
        </w:tc>
        <w:tc>
          <w:tcPr>
            <w:tcW w:w="1598" w:type="dxa"/>
            <w:gridSpan w:val="3"/>
            <w:tcBorders>
              <w:top w:val="dotted" w:sz="2"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$12.00 to $13.00</w:t>
            </w:r>
          </w:p>
        </w:tc>
        <w:tc>
          <w:tcPr>
            <w:tcW w:w="1157" w:type="dxa"/>
            <w:gridSpan w:val="3"/>
            <w:tcBorders>
              <w:top w:val="dotted"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Full year total revenue is now expected to increase by a mid-single digit percentage for 2026 as compared to 2025 driven by continued revenue growth from our Growth Portfolio. </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Biogen expects combined Non-GAAP R&amp;D expense and Non-GAAP SG&amp;A expense to be between $2.65 billion and $2.70 billion for the second half of 2026.</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This guidance also assumes that foreign exchange rates as of July 24, 2026, will remain in effect for the remainder of the year, net of hedging activities. </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Other than the acquired IPR&amp;D and milestone impact expressly stated above, this financial guidance does not include any other potential future acquired IPR&amp;D and milestone charges, impact from potential acquisitions or business development transactions or pending and future litigation or any impact of potential healthcare reform, as all are difficult to predict. Other important financial considerations will be provided on the conference call and webcast. </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Biogen may incur charges, realize gains or losses, or experience other events or circumstances in 2026 that could cause any of these assumptions and expectations to change and/or actual results to vary from this financial guidance. </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Biogen does not provide guidance for GAAP reported financial measures (other than revenue) or a </w:t>
      </w:r>
    </w:p>
    <w:p>
      <w:pPr>
        <w:pStyle w:val="TextBody"/>
        <w:bidi w:val="0"/>
        <w:spacing w:lineRule="auto" w:line="268"/>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reconciliation of forward-looking Non-GAAP financial measures to the most directly comparable GAAP reported financial measures because the Company is unable without unreasonable effort to predict with reasonable certainty the financial impact of items such as the transaction, integration, and certain other </w:t>
      </w:r>
    </w:p>
    <w:p>
      <w:pPr>
        <w:pStyle w:val="TextBody"/>
        <w:bidi w:val="0"/>
        <w:spacing w:before="22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4</w:t>
                      </w:r>
                    </w:p>
                  </w:txbxContent>
                </v:textbox>
                <w10:wrap type="none"/>
              </v:rect>
            </w:pict>
          </mc:Fallback>
        </mc:AlternateContent>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costs related to acquisitions or large business development transactions; unusual gains and losses; potential future asset impairments; gains and losses from equity security investments; and the ultimate outcome of pending or future litigation. These items are uncertain, depend on various factors, and could have a material impact on GAAP reported results for the guidance period. For the same reasons, the Company is unable to address the significance of the unavailable information, which could be material to future results.</w:t>
      </w:r>
    </w:p>
    <w:p>
      <w:pPr>
        <w:pStyle w:val="TextBody"/>
        <w:bidi w:val="0"/>
        <w:spacing w:before="0" w:after="0"/>
        <w:jc w:val="left"/>
        <w:rPr/>
      </w:pPr>
      <w:r>
        <w:rPr/>
      </w:r>
    </w:p>
    <w:p>
      <w:pPr>
        <w:pStyle w:val="TextBody"/>
        <w:bidi w:val="0"/>
        <w:spacing w:lineRule="auto" w:line="268" w:before="0" w:after="0"/>
        <w:ind w:left="0" w:right="0" w:hanging="360"/>
        <w:jc w:val="left"/>
        <w:rPr>
          <w:rFonts w:ascii="Franklin Gothic Book;sans-serif" w:hAnsi="Franklin Gothic Book;sans-serif"/>
          <w:b/>
          <w:color w:val="000000"/>
          <w:sz w:val="22"/>
        </w:rPr>
      </w:pPr>
      <w:r>
        <w:rPr>
          <w:rFonts w:ascii="Franklin Gothic Book;sans-serif" w:hAnsi="Franklin Gothic Book;sans-serif"/>
          <w:b/>
          <w:color w:val="000000"/>
          <w:sz w:val="22"/>
        </w:rPr>
        <w:t>Other Key Recent Events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70C0"/>
        </w:rPr>
        <w:t>•</w:t>
      </w:r>
      <w:r>
        <w:rPr>
          <w:rFonts w:ascii="Franklin Gothic Book;sans-serif" w:hAnsi="Franklin Gothic Book;sans-serif"/>
          <w:b w:val="false"/>
          <w:color w:val="000000"/>
          <w:sz w:val="22"/>
        </w:rPr>
        <w:t xml:space="preserve">Today Biogen announced Phase 2 data for BIIB091 in relapsing-remitting multiple sclerosis, which showed that BIIB091 has achieved proof-of-concept and the Company will be exploring next steps for the asset.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70C0"/>
        </w:rPr>
        <w:t>•</w:t>
      </w:r>
      <w:r>
        <w:rPr>
          <w:rFonts w:ascii="Franklin Gothic Book;sans-serif" w:hAnsi="Franklin Gothic Book;sans-serif"/>
          <w:b w:val="false"/>
          <w:color w:val="000000"/>
          <w:sz w:val="22"/>
        </w:rPr>
        <w:t xml:space="preserve">In the second quarter of 2026, Biogen exercised its option to obtain from Ionis a worldwide exclusive, royalty-bearing license to develop and commercialize BIIB147, a Phase 1 ready investigational antisense oligonucleotide targeting stathmin-2 pre-mRNA in people with broad ALS. As part of the option exercise, Biogen paid Ionis a $15 million one-time license fee recorded in acquired IPR&amp;D upfront and milestone expense. </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rFonts w:ascii="Franklin Gothic Book;sans-serif" w:hAnsi="Franklin Gothic Book;sans-serif"/>
          <w:b/>
          <w:color w:val="000000"/>
          <w:sz w:val="22"/>
        </w:rPr>
      </w:pPr>
      <w:r>
        <w:rPr>
          <w:rFonts w:ascii="Franklin Gothic Book;sans-serif" w:hAnsi="Franklin Gothic Book;sans-serif"/>
          <w:b/>
          <w:color w:val="000000"/>
          <w:sz w:val="22"/>
        </w:rPr>
        <w:t xml:space="preserve">Conference Call and Webcast </w:t>
      </w:r>
    </w:p>
    <w:p>
      <w:pPr>
        <w:pStyle w:val="TextBody"/>
        <w:bidi w:val="0"/>
        <w:spacing w:before="0" w:after="0"/>
        <w:jc w:val="left"/>
        <w:rPr/>
      </w:pPr>
      <w:r>
        <w:rPr/>
      </w:r>
    </w:p>
    <w:p>
      <w:pPr>
        <w:pStyle w:val="TextBody"/>
        <w:bidi w:val="0"/>
        <w:spacing w:lineRule="auto" w:line="276"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The Company’s earnings conference call for the second quarter will be broadcast via the internet at 8:30 a.m. ET on July 29, 2026 and will be accessible through the Investors section of Biogen’s website, www.biogen.com. Supplemental information in the form of a slide presentation is also accessible at the same location on the internet and will be subsequently available on the website for at least 90 days.</w:t>
      </w:r>
    </w:p>
    <w:p>
      <w:pPr>
        <w:pStyle w:val="TextBody"/>
        <w:bidi w:val="0"/>
        <w:spacing w:lineRule="auto" w:line="276" w:before="180" w:after="283"/>
        <w:jc w:val="left"/>
        <w:rPr>
          <w:rFonts w:ascii="Franklin Gothic Book;sans-serif" w:hAnsi="Franklin Gothic Book;sans-serif"/>
          <w:b/>
          <w:color w:val="000000"/>
          <w:sz w:val="22"/>
        </w:rPr>
      </w:pPr>
      <w:r>
        <w:rPr>
          <w:rFonts w:ascii="Franklin Gothic Book;sans-serif" w:hAnsi="Franklin Gothic Book;sans-serif"/>
          <w:b/>
          <w:color w:val="000000"/>
          <w:sz w:val="22"/>
        </w:rPr>
        <w:t>About Biogen</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Founded in 1978, Biogen is a leading biotechnology company that pioneers innovative science to deliver new medicines to transform patients' lives and to create value for shareholders and our communities.</w:t>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We apply deep understanding of human biology and leverage different modalities to advance first-in-class treatments or therapies that deliver superior outcomes. Our approach is to take bold risks, balanced with return on investment to deliver long-term growth. </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color w:val="000000"/>
          <w:sz w:val="22"/>
        </w:rPr>
      </w:pPr>
      <w:r>
        <w:rPr>
          <w:rFonts w:ascii="Franklin Gothic Book;sans-serif" w:hAnsi="Franklin Gothic Book;sans-serif"/>
          <w:b/>
          <w:color w:val="000000"/>
          <w:sz w:val="22"/>
        </w:rPr>
        <w:t xml:space="preserve">Biogen Safe Harbor </w:t>
      </w:r>
    </w:p>
    <w:p>
      <w:pPr>
        <w:pStyle w:val="TextBody"/>
        <w:bidi w:val="0"/>
        <w:spacing w:before="0" w:after="0"/>
        <w:jc w:val="left"/>
        <w:rPr/>
      </w:pPr>
      <w:r>
        <w:rPr/>
      </w:r>
    </w:p>
    <w:p>
      <w:pPr>
        <w:pStyle w:val="TextBody"/>
        <w:bidi w:val="0"/>
        <w:spacing w:lineRule="auto" w:line="268"/>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This press release contains forward-looking statements that are being made pursuant to the provisions of the Private Securities Litigation Reform Act of 1995 (the PSLRA) with the intention of obtaining the benefits of the “Safe Harbor” provisions of the PSLRA. This press release contains forward-looking statements, relating to: our strategy and plans; potential of, and expectations for, our commercial business and pipeline programs; capital allocation and investment strategy; clinical development programs, clinical trials, and data readouts and presentations; regulatory discussions, submissions, filings, and approvals; the potential benefits, safety, and efficacy of our and our collaboration partners’ products and investigational therapies; the anticipated benefits and potential of investments or acquisitions; optimization of our cost structure including our "Fit for Growth" program; the goal of repositioning the company to create long-term growth; the impact from existing and potential tariffs and trade restrictions; productivity of our R&amp;D pipeline, collaborations, and business development activities; our future financial and operating results; the costs and other anticipated financial impacts of the acquisition of Apellis including Biogen non-GAAP diluted EPS and non-GAAP diluted EPS growth, expected run rate synergies and the expected revenue growth for EMPAVELI and SYFOVRE following the acquisition of Apellis; and our full year 2026 financial guidance. These forward-looking statements may be accompanied by such words as “aim,” “anticipate,” “assume,” “believe,” “contemplate,” “continue,” “could,” “estimate,” “expect,” “forecast,” “goal,” “guidance,” “hope,” “intend,” “may,” “objective,” “outlook,” “plan,” “possible,” “potential,” “predict,” “project,” “prospect,” “should,” “target,” “will,” “would,” and other words and terms of similar meaning. Drug development and commercialization involve a high degree of risk, and only a small number of research and development programs result in commercialization of a product. Results in early-stage clinical trials may not be indicative of full results or </w:t>
      </w:r>
    </w:p>
    <w:p>
      <w:pPr>
        <w:pStyle w:val="TextBody"/>
        <w:bidi w:val="0"/>
        <w:spacing w:before="22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5</w:t>
                      </w:r>
                    </w:p>
                  </w:txbxContent>
                </v:textbox>
                <w10:wrap type="none"/>
              </v:rect>
            </w:pict>
          </mc:Fallback>
        </mc:AlternateContent>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results from later stage or larger scale clinical trials and do not ensure regulatory approval. You should not place undue reliance on these statements. </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Given their forward-looking nature, these statements involve substantial risks and uncertainties that may be based on inaccurate assumptions and could cause actual results to differ materially from those reflected in such statements. These forward-looking statements are based on management's current beliefs and assumptions and on information currently available to management. Given their nature, we cannot assure that any outcome expressed in these forward-looking statements will be realized in whole or in part.</w:t>
      </w:r>
    </w:p>
    <w:p>
      <w:pPr>
        <w:pStyle w:val="TextBody"/>
        <w:bidi w:val="0"/>
        <w:spacing w:before="0" w:after="0"/>
        <w:jc w:val="left"/>
        <w:rPr/>
      </w:pPr>
      <w:r>
        <w:rPr/>
      </w:r>
    </w:p>
    <w:p>
      <w:pPr>
        <w:pStyle w:val="TextBody"/>
        <w:bidi w:val="0"/>
        <w:spacing w:lineRule="auto" w:line="268"/>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We caution that these statements are subject to risks and uncertainties, many of which are outside of our control and could cause future events or results to be materially different from those stated or implied in this document, including, among others, factors relating to: our substantial dependence on revenue from our products and other payments under licensing, collaboration, acquisition or divestiture agreements; uncertainty of long-term success in developing, licensing, or acquiring other product candidates or additional indications for existing products; expectations, plans, prospects and timing of actions relating to product approvals, approvals of additional indications for our existing products, sales, pricing, growth, reimbursement and launch of our marketed and pipeline products; the potential impact of increased product competition in the biopharmaceutical and healthcare industry, as well as any other markets in which we compete, including increased competition from new originator therapies, generics, prodrugs and biosimilars of existing products and products approved under abbreviated regulatory pathways; our ability to effectively implement our corporate strategy; the successful execution of our strategic and growth initiatives, including acquisitions; the drivers for growing our business; difficulties in obtaining and maintaining adequate coverage, pricing, and reimbursement for our products; the drivers for growing our business, including our dependence on collaborators and other third parties for the development, regulatory approval, and commercialization of products and other aspects of our business, which are outside of our full control; risks associated with current and potential future healthcare reforms; risks related to commercialization of biosimilars, which is subject to such risks related to our reliance on third-parties, intellectual property, competitive and market challenges and regulatory compliance; failure to obtain, protect, and enforce our data, intellectual property, and other proprietary rights and the risks and uncertainties relating to intellectual property claims and challenges; the risk that positive results in a clinical trial may not be replicated in subsequent or confirmatory trials or success in early stage clinical trials may not be predictive of results in later stage or large scale clinical trials or trials in other potential indications; risks associated with clinical trials, including our ability to adequately manage clinical activities, unexpected concerns that may arise from additional data or analysis obtained during clinical trials, regulatory authorities may require additional information or further studies, or may fail to approve or may delay approval of our drug candidates; the occurrence of adverse safety events, restrictions on use with our products, or product liability claims; risks relating to technology, including our incorporation of new technologies such as artificial intelligence into some of our processes; risks related to use of information technology systems and potential impacts of any breakdowns, interruptions, invasions, corruptions, data breaches, destructions and/or other cybersecurity incidents of our systems or those of connected and/or third-party systems; problems with our manufacturing capacity, including our ability to manufacture products efficiently or adequately address global bulk supply risks; risks relating to retaining management, personnel and other organizational changes, including our ability to attract, retain and motivate qualified individuals; risks related to the failure to comply with current and new legal and regulatory requirements, including judicial decisions, accounting standards, and tariff or trade restrictions; the risks of doing business internationally, including geopolitical tensions, acts of war and large-scale crises; risks relating to investment in our manufacturing capacity; risks relating to the distribution and sale by third parties of counterfeit or unfit versions of our products; risks relating to the use of social media for our business, results of operations and financial condition; fluctuations in our operating results; risks related to investment in properties; risks relating to access to capital and credit markets to finance our present and future operations and business initiatives and obtain funding for such activities on favorable terms; risks related to indebtedness; the market, interest, and credit risks associated with our investment portfolio; risks relating to share repurchase programs; change in control provisions in certain of our collaboration agreements; fluctuations in our effective tax rate and obligations in various jurisdictions in which we are subject to taxation; environmental risks; and any other risks and uncertainties that are </w:t>
      </w:r>
    </w:p>
    <w:p>
      <w:pPr>
        <w:pStyle w:val="TextBody"/>
        <w:bidi w:val="0"/>
        <w:spacing w:before="22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6</w:t>
                      </w:r>
                    </w:p>
                  </w:txbxContent>
                </v:textbox>
                <w10:wrap type="none"/>
              </v:rect>
            </w:pict>
          </mc:Fallback>
        </mc:AlternateContent>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described in other reports we have filed with the U.S. Securities and Exchange Commission (SEC), which are available on the SEC’s website at www.sec.gov.</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These statements speak only as of the date of this press release and are based on information and estimates available to us at this time. Should known or unknown risks or uncertainties materialize or should underlying assumptions prove inaccurate, actual results could vary materially from past results and those anticipated, estimated or projected. Investors are cautioned not to put undue reliance on forward-looking statements. A further list and description of risks, uncertainties and other matters can be found in our Annual Report on Form 10-K for the fiscal year ended December 31, 2025 and in our subsequent reports on Form 10-Q, in each case including in the sections thereof captioned “Note Regarding Forward-Looking Statements” and “Item 1A. Risk Factors,” and in our subsequent reports on Form 8-K. Except as required by law, we do not undertake any obligation to publicly update any forward-looking statements whether as a result of any new information, future events, changed circumstances or otherwise. </w:t>
      </w:r>
    </w:p>
    <w:p>
      <w:pPr>
        <w:pStyle w:val="TextBody"/>
        <w:bidi w:val="0"/>
        <w:spacing w:before="120" w:after="283"/>
        <w:jc w:val="left"/>
        <w:rPr/>
      </w:pPr>
      <w:r>
        <w:rPr/>
      </w:r>
    </w:p>
    <w:p>
      <w:pPr>
        <w:pStyle w:val="TextBody"/>
        <w:bidi w:val="0"/>
        <w:spacing w:lineRule="auto" w:line="268" w:before="0" w:after="0"/>
        <w:jc w:val="left"/>
        <w:rPr>
          <w:rFonts w:ascii="Franklin Gothic Book;sans-serif" w:hAnsi="Franklin Gothic Book;sans-serif"/>
          <w:b/>
          <w:color w:val="000000"/>
          <w:sz w:val="22"/>
        </w:rPr>
      </w:pPr>
      <w:r>
        <w:rPr>
          <w:rFonts w:ascii="Franklin Gothic Book;sans-serif" w:hAnsi="Franklin Gothic Book;sans-serif"/>
          <w:b/>
          <w:color w:val="000000"/>
          <w:sz w:val="22"/>
        </w:rPr>
        <w:t>Digital Media Disclosure</w:t>
      </w:r>
    </w:p>
    <w:p>
      <w:pPr>
        <w:pStyle w:val="TextBody"/>
        <w:bidi w:val="0"/>
        <w:spacing w:before="0" w:after="0"/>
        <w:jc w:val="left"/>
        <w:rPr/>
      </w:pPr>
      <w:r>
        <w:rPr/>
      </w:r>
    </w:p>
    <w:p>
      <w:pPr>
        <w:pStyle w:val="TextBody"/>
        <w:bidi w:val="0"/>
        <w:spacing w:lineRule="auto" w:line="276" w:before="0" w:after="0"/>
        <w:jc w:val="left"/>
        <w:rPr>
          <w:rFonts w:ascii="Franklin Gothic Book;sans-serif" w:hAnsi="Franklin Gothic Book;sans-serif"/>
          <w:b w:val="false"/>
          <w:color w:val="000000"/>
          <w:sz w:val="22"/>
          <w:shd w:fill="FFFFFF" w:val="clear"/>
        </w:rPr>
      </w:pPr>
      <w:r>
        <w:rPr>
          <w:rFonts w:ascii="Franklin Gothic Book;sans-serif" w:hAnsi="Franklin Gothic Book;sans-serif"/>
          <w:b w:val="false"/>
          <w:color w:val="000000"/>
          <w:sz w:val="22"/>
          <w:shd w:fill="FFFFFF" w:val="clear"/>
        </w:rPr>
        <w:t xml:space="preserve">From time to time we have used, or expect in the future to use, our investor relations website (investors.biogen.com), the Biogen LinkedIn account (linkedin.com/company/biogen-), and the Biogen X account (x.com/biogen) as a means of disclosing information to the public in a broad, non-exclusionary manner, including for purposes of the SEC’s Regulation Fair Disclosure (Reg FD). Accordingly, investors should monitor our investor relations website and these social media channels in addition to our press releases, SEC filings, public conference calls and webcasts, as the information posted on them could be material to investors. </w:t>
      </w:r>
    </w:p>
    <w:p>
      <w:pPr>
        <w:pStyle w:val="TextBody"/>
        <w:bidi w:val="0"/>
        <w:spacing w:before="0" w:after="0"/>
        <w:jc w:val="left"/>
        <w:rPr/>
      </w:pPr>
      <w:r>
        <w:rPr/>
      </w:r>
    </w:p>
    <w:p>
      <w:pPr>
        <w:pStyle w:val="TextBody"/>
        <w:bidi w:val="0"/>
        <w:spacing w:lineRule="auto" w:line="276" w:before="120" w:after="283"/>
        <w:jc w:val="center"/>
        <w:rPr>
          <w:rFonts w:ascii="Franklin Gothic Book;sans-serif" w:hAnsi="Franklin Gothic Book;sans-serif"/>
          <w:b w:val="false"/>
          <w:color w:val="000000"/>
          <w:sz w:val="22"/>
        </w:rPr>
      </w:pPr>
      <w:r>
        <w:rPr>
          <w:rFonts w:ascii="Franklin Gothic Book;sans-serif" w:hAnsi="Franklin Gothic Book;sans-serif"/>
          <w:b w:val="false"/>
          <w:color w:val="000000"/>
          <w:sz w:val="22"/>
        </w:rPr>
        <w:t>###</w:t>
      </w:r>
    </w:p>
    <w:p>
      <w:pPr>
        <w:pStyle w:val="TextBody"/>
        <w:bidi w:val="0"/>
        <w:spacing w:before="120" w:after="283"/>
        <w:jc w:val="left"/>
        <w:rPr/>
      </w:pPr>
      <w:r>
        <w:rPr/>
      </w:r>
    </w:p>
    <w:tbl>
      <w:tblPr>
        <w:tblW w:w="5956" w:type="dxa"/>
        <w:jc w:val="left"/>
        <w:tblInd w:w="0" w:type="dxa"/>
        <w:tblLayout w:type="fixed"/>
        <w:tblCellMar>
          <w:top w:w="28" w:type="dxa"/>
          <w:left w:w="28" w:type="dxa"/>
          <w:bottom w:w="28" w:type="dxa"/>
          <w:right w:w="28" w:type="dxa"/>
        </w:tblCellMar>
      </w:tblPr>
      <w:tblGrid>
        <w:gridCol w:w="1134"/>
        <w:gridCol w:w="999"/>
        <w:gridCol w:w="1003"/>
        <w:gridCol w:w="825"/>
        <w:gridCol w:w="825"/>
        <w:gridCol w:w="1170"/>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31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ranklin Gothic Book;sans-serif" w:hAnsi="Franklin Gothic Book;sans-serif"/>
                <w:b/>
                <w:color w:val="0070C0"/>
                <w:sz w:val="22"/>
              </w:rPr>
            </w:pPr>
            <w:r>
              <w:rPr>
                <w:rFonts w:ascii="Franklin Gothic Book;sans-serif" w:hAnsi="Franklin Gothic Book;sans-serif"/>
                <w:b/>
                <w:color w:val="0070C0"/>
                <w:sz w:val="22"/>
              </w:rPr>
              <w:t>MEDIA CONTACT:</w:t>
            </w:r>
          </w:p>
        </w:tc>
        <w:tc>
          <w:tcPr>
            <w:tcW w:w="2820" w:type="dxa"/>
            <w:gridSpan w:val="3"/>
            <w:tcBorders/>
            <w:tcMar>
              <w:top w:w="0" w:type="dxa"/>
              <w:left w:w="0" w:type="dxa"/>
              <w:bottom w:w="0" w:type="dxa"/>
              <w:right w:w="0" w:type="dxa"/>
            </w:tcMar>
            <w:vAlign w:val="center"/>
          </w:tcPr>
          <w:p>
            <w:pPr>
              <w:pStyle w:val="TableContents"/>
              <w:bidi w:val="0"/>
              <w:spacing w:lineRule="auto" w:line="276" w:before="120" w:after="283"/>
              <w:jc w:val="left"/>
              <w:rPr>
                <w:rFonts w:ascii="Franklin Gothic Book;sans-serif" w:hAnsi="Franklin Gothic Book;sans-serif"/>
                <w:b/>
                <w:color w:val="0070C0"/>
                <w:sz w:val="22"/>
              </w:rPr>
            </w:pPr>
            <w:r>
              <w:rPr>
                <w:rFonts w:ascii="Franklin Gothic Book;sans-serif" w:hAnsi="Franklin Gothic Book;sans-serif"/>
                <w:b/>
                <w:color w:val="0070C0"/>
                <w:sz w:val="22"/>
              </w:rPr>
              <w:t>INVESTOR CONTACT:</w:t>
            </w:r>
          </w:p>
        </w:tc>
      </w:tr>
      <w:tr>
        <w:trPr/>
        <w:tc>
          <w:tcPr>
            <w:tcW w:w="31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Biogen</w:t>
            </w:r>
          </w:p>
        </w:tc>
        <w:tc>
          <w:tcPr>
            <w:tcW w:w="282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ranklin Gothic Book;sans-serif" w:hAnsi="Franklin Gothic Book;sans-serif"/>
                <w:b/>
                <w:color w:val="000000"/>
                <w:sz w:val="22"/>
              </w:rPr>
            </w:pPr>
            <w:r>
              <w:rPr>
                <w:rFonts w:ascii="Franklin Gothic Book;sans-serif" w:hAnsi="Franklin Gothic Book;sans-serif"/>
                <w:b/>
                <w:color w:val="000000"/>
                <w:sz w:val="22"/>
              </w:rPr>
              <w:t>Biogen</w:t>
            </w:r>
          </w:p>
        </w:tc>
      </w:tr>
      <w:tr>
        <w:trPr/>
        <w:tc>
          <w:tcPr>
            <w:tcW w:w="31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Madeleine Shin</w:t>
            </w:r>
          </w:p>
        </w:tc>
        <w:tc>
          <w:tcPr>
            <w:tcW w:w="282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Tim Power</w:t>
            </w:r>
          </w:p>
        </w:tc>
      </w:tr>
      <w:tr>
        <w:trPr/>
        <w:tc>
          <w:tcPr>
            <w:tcW w:w="31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Tel: +1 781-464-3260</w:t>
            </w:r>
          </w:p>
        </w:tc>
        <w:tc>
          <w:tcPr>
            <w:tcW w:w="28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Tel: +1 781-464-2442 </w:t>
            </w:r>
          </w:p>
        </w:tc>
      </w:tr>
      <w:tr>
        <w:trPr/>
        <w:tc>
          <w:tcPr>
            <w:tcW w:w="31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public.affairs@biogen.com</w:t>
            </w:r>
          </w:p>
        </w:tc>
        <w:tc>
          <w:tcPr>
            <w:tcW w:w="28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IR@biogen.com</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2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7</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TABLE 1</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STATEMENT OF INCOME</w:t>
      </w:r>
    </w:p>
    <w:p>
      <w:pPr>
        <w:pStyle w:val="TextBody"/>
        <w:bidi w:val="0"/>
        <w:spacing w:lineRule="auto" w:line="288" w:before="0" w:after="0"/>
        <w:jc w:val="center"/>
        <w:rPr>
          <w:rFonts w:ascii="Franklin Gothic Book;sans-serif" w:hAnsi="Franklin Gothic Book;sans-serif"/>
          <w:b/>
          <w:i/>
          <w:color w:val="1C5A7D"/>
          <w:sz w:val="20"/>
        </w:rPr>
      </w:pPr>
      <w:r>
        <w:rPr>
          <w:rFonts w:ascii="Franklin Gothic Book;sans-serif" w:hAnsi="Franklin Gothic Book;sans-serif"/>
          <w:b/>
          <w:i/>
          <w:color w:val="1C5A7D"/>
          <w:sz w:val="20"/>
        </w:rPr>
        <w:t>(unaudited, in millions, except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31"/>
        <w:gridCol w:w="887"/>
        <w:gridCol w:w="890"/>
        <w:gridCol w:w="109"/>
        <w:gridCol w:w="109"/>
        <w:gridCol w:w="109"/>
        <w:gridCol w:w="251"/>
        <w:gridCol w:w="987"/>
        <w:gridCol w:w="121"/>
        <w:gridCol w:w="121"/>
        <w:gridCol w:w="121"/>
        <w:gridCol w:w="121"/>
        <w:gridCol w:w="251"/>
        <w:gridCol w:w="987"/>
        <w:gridCol w:w="121"/>
        <w:gridCol w:w="109"/>
        <w:gridCol w:w="109"/>
        <w:gridCol w:w="109"/>
        <w:gridCol w:w="245"/>
        <w:gridCol w:w="962"/>
        <w:gridCol w:w="118"/>
        <w:gridCol w:w="118"/>
        <w:gridCol w:w="118"/>
        <w:gridCol w:w="118"/>
        <w:gridCol w:w="245"/>
        <w:gridCol w:w="962"/>
        <w:gridCol w:w="176"/>
      </w:tblGrid>
      <w:tr>
        <w:trPr/>
        <w:tc>
          <w:tcPr>
            <w:tcW w:w="163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For the Six Months Ended June 30,</w:t>
            </w:r>
          </w:p>
        </w:tc>
      </w:tr>
      <w:tr>
        <w:trPr/>
        <w:tc>
          <w:tcPr>
            <w:tcW w:w="3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3BA"/>
                <w:sz w:val="18"/>
              </w:rPr>
            </w:pPr>
            <w:r>
              <w:rPr>
                <w:rFonts w:ascii="Franklin Gothic Book;sans-serif" w:hAnsi="Franklin Gothic Book;sans-serif"/>
                <w:b/>
                <w:color w:val="2573BA"/>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8"/>
              </w:rPr>
            </w:pPr>
            <w:r>
              <w:rPr>
                <w:rFonts w:ascii="Franklin Gothic Book;sans-serif" w:hAnsi="Franklin Gothic Book;sans-serif"/>
                <w:b/>
                <w:color w:val="257ACB"/>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2025</w:t>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9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1,916.4 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8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1,878.7 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96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3,668.7 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3,605.2 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from anti-CD20 therapeutic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513.5 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467.3 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932.6 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845.5 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Alzheimer's collaboration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63.7 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54.9 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123.2 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87.9 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Contract manufacturing, 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242.4 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244.6 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489.3 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537.9 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2,736.0 </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2,645.5 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5,213.8 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5,076.5 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Cost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Cost of sales, excluding amortization and impairment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776.9 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605.0 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1,437.9 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1,234.3 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529.6 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399.0 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1,068.6 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833.1 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Acquired in-process research and development, upfront and milestone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164.0 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46.6 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198.0 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247.3 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709.7 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583.8 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1,317.0 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1,156.3 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Amortization and impairment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168.2 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130.9 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304.7 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242.7 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Collaboration profit sharing/(loss reimbursement)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68.8 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75.0 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143.0 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133.1 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(Gain) loss on fair value remeasurement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2.5 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23.0 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22.8 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Restructuring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165.4 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(0.7)</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173.3 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34.6 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18.5 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48.7 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38.2 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117.1 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cost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2,603.6 </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1,901.5 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4,703.7 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4,021.3 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Income before 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132.4 </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744.0 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510.1 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1,055.2 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34.9 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109.2 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93.1 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179.9 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3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3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income attributable to Biogen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8"/>
              </w:rPr>
            </w:pPr>
            <w:r>
              <w:rPr>
                <w:rFonts w:ascii="Franklin Gothic Book;sans-serif" w:hAnsi="Franklin Gothic Book;sans-serif"/>
                <w:b w:val="false"/>
                <w:color w:val="2573BA"/>
                <w:sz w:val="18"/>
              </w:rPr>
              <w:t>$</w:t>
            </w:r>
          </w:p>
        </w:tc>
        <w:tc>
          <w:tcPr>
            <w:tcW w:w="9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97.5 </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634.8 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8"/>
              </w:rPr>
            </w:pPr>
            <w:r>
              <w:rPr>
                <w:rFonts w:ascii="Franklin Gothic Book;sans-serif" w:hAnsi="Franklin Gothic Book;sans-serif"/>
                <w:b w:val="false"/>
                <w:color w:val="2573BA"/>
                <w:sz w:val="18"/>
              </w:rPr>
              <w:t>$</w:t>
            </w:r>
          </w:p>
        </w:tc>
        <w:tc>
          <w:tcPr>
            <w:tcW w:w="9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417.0 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875.3 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income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Basic earnings per share attributable to Biogen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8"/>
              </w:rPr>
            </w:pPr>
            <w:r>
              <w:rPr>
                <w:rFonts w:ascii="Franklin Gothic Book;sans-serif" w:hAnsi="Franklin Gothic Book;sans-serif"/>
                <w:b w:val="false"/>
                <w:color w:val="2573BA"/>
                <w:sz w:val="18"/>
              </w:rPr>
              <w:t>$</w:t>
            </w:r>
          </w:p>
        </w:tc>
        <w:tc>
          <w:tcPr>
            <w:tcW w:w="9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0.66 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8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4.33 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8"/>
              </w:rPr>
            </w:pPr>
            <w:r>
              <w:rPr>
                <w:rFonts w:ascii="Franklin Gothic Book;sans-serif" w:hAnsi="Franklin Gothic Book;sans-serif"/>
                <w:b w:val="false"/>
                <w:color w:val="2573BA"/>
                <w:sz w:val="18"/>
              </w:rPr>
              <w:t>$</w:t>
            </w:r>
          </w:p>
        </w:tc>
        <w:tc>
          <w:tcPr>
            <w:tcW w:w="96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2.83 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5.98 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Diluted earnings per share attributable to Biogen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8"/>
              </w:rPr>
            </w:pPr>
            <w:r>
              <w:rPr>
                <w:rFonts w:ascii="Franklin Gothic Book;sans-serif" w:hAnsi="Franklin Gothic Book;sans-serif"/>
                <w:b w:val="false"/>
                <w:color w:val="2573BA"/>
                <w:sz w:val="18"/>
              </w:rPr>
              <w:t>$</w:t>
            </w:r>
          </w:p>
        </w:tc>
        <w:tc>
          <w:tcPr>
            <w:tcW w:w="9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0.66 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8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4.33 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8"/>
              </w:rPr>
            </w:pPr>
            <w:r>
              <w:rPr>
                <w:rFonts w:ascii="Franklin Gothic Book;sans-serif" w:hAnsi="Franklin Gothic Book;sans-serif"/>
                <w:b w:val="false"/>
                <w:color w:val="2573BA"/>
                <w:sz w:val="18"/>
              </w:rPr>
              <w:t>$</w:t>
            </w:r>
          </w:p>
        </w:tc>
        <w:tc>
          <w:tcPr>
            <w:tcW w:w="96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2.81 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5.97 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Weighted-average shares used in calculating: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Basic earnings per share attributable to Biogen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147.7 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146.5 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147.4 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146.3 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Diluted earnings per share attributable to Biogen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148.7 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146.7 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148.6 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146.7 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2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8</w:t>
                      </w:r>
                    </w:p>
                  </w:txbxContent>
                </v:textbox>
                <w10:wrap type="none"/>
              </v:rect>
            </w:pict>
          </mc:Fallback>
        </mc:AlternateConten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TABLE 2</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BALANCE SHEETS</w:t>
      </w:r>
    </w:p>
    <w:p>
      <w:pPr>
        <w:pStyle w:val="TextBody"/>
        <w:bidi w:val="0"/>
        <w:spacing w:lineRule="auto" w:line="288" w:before="0" w:after="0"/>
        <w:jc w:val="center"/>
        <w:rPr>
          <w:rFonts w:ascii="Franklin Gothic Book;sans-serif" w:hAnsi="Franklin Gothic Book;sans-serif"/>
          <w:b/>
          <w:i/>
          <w:color w:val="1C5A7D"/>
          <w:sz w:val="20"/>
        </w:rPr>
      </w:pPr>
      <w:r>
        <w:rPr>
          <w:rFonts w:ascii="Franklin Gothic Book;sans-serif" w:hAnsi="Franklin Gothic Book;sans-serif"/>
          <w:b/>
          <w:i/>
          <w:color w:val="1C5A7D"/>
          <w:sz w:val="20"/>
        </w:rPr>
        <w:t>(unaudited, in millions)</w:t>
      </w:r>
    </w:p>
    <w:p>
      <w:pPr>
        <w:pStyle w:val="TextBody"/>
        <w:bidi w:val="0"/>
        <w:spacing w:before="0" w:after="0"/>
        <w:jc w:val="center"/>
        <w:rPr/>
      </w:pPr>
      <w:r>
        <w:rPr/>
      </w:r>
    </w:p>
    <w:tbl>
      <w:tblPr>
        <w:tblW w:w="9892" w:type="dxa"/>
        <w:jc w:val="center"/>
        <w:tblInd w:w="0" w:type="dxa"/>
        <w:tblLayout w:type="fixed"/>
        <w:tblCellMar>
          <w:top w:w="28" w:type="dxa"/>
          <w:left w:w="28" w:type="dxa"/>
          <w:bottom w:w="28" w:type="dxa"/>
          <w:right w:w="28" w:type="dxa"/>
        </w:tblCellMar>
      </w:tblPr>
      <w:tblGrid>
        <w:gridCol w:w="1648"/>
        <w:gridCol w:w="1452"/>
        <w:gridCol w:w="1459"/>
        <w:gridCol w:w="109"/>
        <w:gridCol w:w="109"/>
        <w:gridCol w:w="109"/>
        <w:gridCol w:w="341"/>
        <w:gridCol w:w="1519"/>
        <w:gridCol w:w="164"/>
        <w:gridCol w:w="109"/>
        <w:gridCol w:w="109"/>
        <w:gridCol w:w="109"/>
        <w:gridCol w:w="433"/>
        <w:gridCol w:w="1927"/>
        <w:gridCol w:w="295"/>
      </w:tblGrid>
      <w:tr>
        <w:trPr/>
        <w:tc>
          <w:tcPr>
            <w:tcW w:w="164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3BA"/>
                <w:sz w:val="18"/>
              </w:rPr>
            </w:pPr>
            <w:r>
              <w:rPr>
                <w:rFonts w:ascii="Franklin Gothic Book;sans-serif" w:hAnsi="Franklin Gothic Book;sans-serif"/>
                <w:b/>
                <w:color w:val="2573BA"/>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As of December 31, 2025</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2573BA"/>
                <w:sz w:val="18"/>
              </w:rPr>
            </w:pPr>
            <w:r>
              <w:rPr>
                <w:rFonts w:ascii="Franklin Gothic Book;sans-serif" w:hAnsi="Franklin Gothic Book;sans-serif"/>
                <w:b/>
                <w:color w:val="2573BA"/>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8"/>
              </w:rPr>
            </w:pPr>
            <w:r>
              <w:rPr>
                <w:rFonts w:ascii="Franklin Gothic Book;sans-serif" w:hAnsi="Franklin Gothic Book;sans-serif"/>
                <w:b w:val="false"/>
                <w:color w:val="2573BA"/>
                <w:sz w:val="18"/>
              </w:rPr>
              <w:t>$</w:t>
            </w:r>
          </w:p>
        </w:tc>
        <w:tc>
          <w:tcPr>
            <w:tcW w:w="15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1,285.0 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9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3,008.5 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807.2 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1,885.6 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1,342.4 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Due from anti-CD20 therapeutic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512.8 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524.6 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2,384.3 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2,168.1 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1,238.0 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1,123.3 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7,305.7 </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8,974.1 </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431.9 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2,994.1 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3,055.4 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245.7 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265.4 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13,516.4 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9,178.5 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6,990.8 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6,491.1 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Deferred tax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202.1 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292.5 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Investments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831.8 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750.6 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8"/>
              </w:rPr>
            </w:pPr>
            <w:r>
              <w:rPr>
                <w:rFonts w:ascii="Franklin Gothic Book;sans-serif" w:hAnsi="Franklin Gothic Book;sans-serif"/>
                <w:b w:val="false"/>
                <w:color w:val="2573BA"/>
                <w:sz w:val="18"/>
              </w:rPr>
              <w:t>$</w:t>
            </w:r>
          </w:p>
        </w:tc>
        <w:tc>
          <w:tcPr>
            <w:tcW w:w="15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32,086.6 </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9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29,439.5 </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2573BA"/>
                <w:sz w:val="18"/>
              </w:rPr>
            </w:pPr>
            <w:r>
              <w:rPr>
                <w:rFonts w:ascii="Franklin Gothic Book;sans-serif" w:hAnsi="Franklin Gothic Book;sans-serif"/>
                <w:b/>
                <w:color w:val="2573BA"/>
                <w:sz w:val="18"/>
              </w:rPr>
              <w:t>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Current portion of 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8"/>
              </w:rPr>
            </w:pPr>
            <w:r>
              <w:rPr>
                <w:rFonts w:ascii="Franklin Gothic Book;sans-serif" w:hAnsi="Franklin Gothic Book;sans-serif"/>
                <w:b w:val="false"/>
                <w:color w:val="2573BA"/>
                <w:sz w:val="18"/>
              </w:rPr>
              <w:t>$</w:t>
            </w:r>
          </w:p>
        </w:tc>
        <w:tc>
          <w:tcPr>
            <w:tcW w:w="15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800.0 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92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Taxes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86.9 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114.8 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403.9 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432.0 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Accrued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2,626.3 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2,802.6 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Franklin Gothic Book;sans-serif" w:hAnsi="Franklin Gothic Book;sans-serif"/>
                <w:b w:val="false"/>
                <w:color w:val="000000"/>
                <w:sz w:val="18"/>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3,917.1 </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3,349.4 </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7,290.3 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6,286.8 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Deferred tax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945.5 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507.6 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Long-term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264.8 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290.4 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820.9 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748.5 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13,238.6 </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11,182.7 </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0.1 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983.0 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863.1 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(127.7)</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(182.0)</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20,969.7 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20,552.7 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(2,977.1)</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(2,977.1)</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18,848.0 </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18,256.8 </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8"/>
              </w:rPr>
            </w:pPr>
            <w:r>
              <w:rPr>
                <w:rFonts w:ascii="Franklin Gothic Book;sans-serif" w:hAnsi="Franklin Gothic Book;sans-serif"/>
                <w:b w:val="false"/>
                <w:color w:val="2573BA"/>
                <w:sz w:val="18"/>
              </w:rPr>
              <w:t>$</w:t>
            </w:r>
          </w:p>
        </w:tc>
        <w:tc>
          <w:tcPr>
            <w:tcW w:w="15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32,086.6 </w:t>
            </w:r>
          </w:p>
        </w:tc>
        <w:tc>
          <w:tcPr>
            <w:tcW w:w="1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9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29,439.5 </w:t>
            </w:r>
          </w:p>
        </w:tc>
        <w:tc>
          <w:tcPr>
            <w:tcW w:w="2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2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9</w:t>
                      </w:r>
                    </w:p>
                  </w:txbxContent>
                </v:textbox>
                <w10:wrap type="none"/>
              </v:rect>
            </w:pict>
          </mc:Fallback>
        </mc:AlternateConten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TABLE 3</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PRODUCT REVENUE &amp; TOTAL REVENUE</w:t>
      </w:r>
    </w:p>
    <w:p>
      <w:pPr>
        <w:pStyle w:val="TextBody"/>
        <w:bidi w:val="0"/>
        <w:spacing w:lineRule="auto" w:line="288" w:before="0" w:after="120"/>
        <w:jc w:val="center"/>
        <w:rPr>
          <w:rFonts w:ascii="Franklin Gothic Book;sans-serif" w:hAnsi="Franklin Gothic Book;sans-serif"/>
          <w:b/>
          <w:i/>
          <w:color w:val="1C5A7D"/>
          <w:sz w:val="20"/>
        </w:rPr>
      </w:pPr>
      <w:r>
        <w:rPr>
          <w:rFonts w:ascii="Franklin Gothic Book;sans-serif" w:hAnsi="Franklin Gothic Book;sans-serif"/>
          <w:b/>
          <w:i/>
          <w:color w:val="1C5A7D"/>
          <w:sz w:val="20"/>
        </w:rPr>
        <w:t>(unaudited, in millions)</w:t>
      </w:r>
    </w:p>
    <w:p>
      <w:pPr>
        <w:pStyle w:val="TextBody"/>
        <w:bidi w:val="0"/>
        <w:spacing w:lineRule="auto" w:line="288" w:before="0" w:after="0"/>
        <w:jc w:val="left"/>
        <w:rPr>
          <w:rFonts w:ascii="Franklin Gothic Book;sans-serif" w:hAnsi="Franklin Gothic Book;sans-serif"/>
          <w:b/>
          <w:color w:val="1C5A7D"/>
          <w:sz w:val="22"/>
        </w:rPr>
      </w:pPr>
      <w:r>
        <w:rPr>
          <w:rFonts w:ascii="Franklin Gothic Book;sans-serif" w:hAnsi="Franklin Gothic Book;sans-serif"/>
          <w:b/>
          <w:color w:val="1C5A7D"/>
          <w:sz w:val="22"/>
        </w:rPr>
        <w:t>Product Revenue</w:t>
      </w:r>
    </w:p>
    <w:tbl>
      <w:tblPr>
        <w:tblW w:w="10205" w:type="dxa"/>
        <w:jc w:val="left"/>
        <w:tblInd w:w="0" w:type="dxa"/>
        <w:tblLayout w:type="fixed"/>
        <w:tblCellMar>
          <w:top w:w="28" w:type="dxa"/>
          <w:left w:w="28" w:type="dxa"/>
          <w:bottom w:w="28" w:type="dxa"/>
          <w:right w:w="28" w:type="dxa"/>
        </w:tblCellMar>
      </w:tblPr>
      <w:tblGrid>
        <w:gridCol w:w="859"/>
        <w:gridCol w:w="634"/>
        <w:gridCol w:w="638"/>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55"/>
      </w:tblGrid>
      <w:tr>
        <w:trPr/>
        <w:tc>
          <w:tcPr>
            <w:tcW w:w="85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2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Multiple Sclerosis (MS):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TECFIDERA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193.6 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VUMERITY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212.3 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Fumarate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204.4 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83.0 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287.4 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405.9 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AVONEX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177.7 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PLEGRIDY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Interferon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146.1 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79.0 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225.1 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246.7 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TYSABRI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270.5 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450.8 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454.6 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621.0 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342.3 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963.3 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657.4 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1,107.2 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Rare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SPINRAZA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401.9 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392.7 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SKYCLARYS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130.3 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QALSODY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Rare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294.9 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601.7 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543.0 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Specialized Immunology: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Franklin Gothic Book;sans-serif" w:hAnsi="Franklin Gothic Book;sans-serif"/>
                <w:b w:val="false"/>
                <w:color w:val="000000"/>
                <w:sz w:val="16"/>
              </w:rPr>
              <w:t>SYFOVRE</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Franklin Gothic Book;sans-serif" w:hAnsi="Franklin Gothic Book;sans-serif"/>
                <w:b w:val="false"/>
                <w:color w:val="000000"/>
                <w:sz w:val="16"/>
              </w:rPr>
              <w:t>EMPAVELI</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Specialized Immunology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127.8 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127.8 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Biosimilars: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BENEPALI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112.1 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IMRALDI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FLIXABI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BYOOVIZ</w:t>
            </w:r>
            <w:r>
              <w:rPr>
                <w:rFonts w:ascii="Franklin Gothic Book;sans-serif" w:hAnsi="Franklin Gothic Book;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Biosimilars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152.7 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152.8 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181.7 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ZURZUVAE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Other</w:t>
            </w:r>
            <w:r>
              <w:rPr>
                <w:rFonts w:ascii="Franklin Gothic Book;sans-serif" w:hAnsi="Franklin Gothic Book;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70.7 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70.8 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1,114.5 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801.9 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1,916.4 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941.1 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937.6 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1,878.7 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EMPAVELI and SYFOVRE were obtained as part of our acquisition of Apellis in May 2026.</w:t>
      </w:r>
    </w:p>
    <w:p>
      <w:pPr>
        <w:pStyle w:val="TextBody"/>
        <w:bidi w:val="0"/>
        <w:spacing w:lineRule="auto" w:line="288" w:before="20" w:after="283"/>
        <w:jc w:val="left"/>
        <w:rPr/>
      </w:pPr>
      <w:r>
        <w:rPr>
          <w:rFonts w:ascii="Franklin Gothic Book;sans-serif" w:hAnsi="Franklin Gothic Book;sans-serif"/>
          <w:b w:val="false"/>
          <w:color w:val="000000"/>
          <w:sz w:val="10"/>
        </w:rPr>
        <w:t>(2)</w:t>
      </w:r>
      <w:r>
        <w:rPr>
          <w:color w:val="000000"/>
        </w:rPr>
        <w:t xml:space="preserve"> </w:t>
      </w:r>
      <w:r>
        <w:rPr>
          <w:rFonts w:ascii="Franklin Gothic Book;sans-serif" w:hAnsi="Franklin Gothic Book;sans-serif"/>
          <w:b w:val="false"/>
          <w:color w:val="000000"/>
          <w:sz w:val="16"/>
        </w:rPr>
        <w:t>In the fourth quarter of 2025 we completed the sale of our rights to BYOOVIZ.</w:t>
      </w:r>
    </w:p>
    <w:p>
      <w:pPr>
        <w:pStyle w:val="TextBody"/>
        <w:bidi w:val="0"/>
        <w:spacing w:lineRule="auto" w:line="288" w:before="20" w:after="283"/>
        <w:jc w:val="left"/>
        <w:rPr/>
      </w:pPr>
      <w:r>
        <w:rPr>
          <w:rFonts w:ascii="Franklin Gothic Book;sans-serif" w:hAnsi="Franklin Gothic Book;sans-serif"/>
          <w:b w:val="false"/>
          <w:color w:val="000000"/>
          <w:sz w:val="10"/>
        </w:rPr>
        <w:t>(3)</w:t>
      </w:r>
      <w:r>
        <w:rPr>
          <w:color w:val="000000"/>
        </w:rPr>
        <w:t xml:space="preserve"> </w:t>
      </w:r>
      <w:r>
        <w:rPr>
          <w:rFonts w:ascii="Franklin Gothic Book;sans-serif" w:hAnsi="Franklin Gothic Book;sans-serif"/>
          <w:b w:val="false"/>
          <w:color w:val="000000"/>
          <w:sz w:val="16"/>
        </w:rPr>
        <w:t>Other includes FUMADERM.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2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45"/>
        <w:gridCol w:w="466"/>
        <w:gridCol w:w="470"/>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5"/>
      </w:tblGrid>
      <w:tr>
        <w:trPr/>
        <w:tc>
          <w:tcPr>
            <w:tcW w:w="74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1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Multiple Sclerosis (MS):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TECFIDERA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399.7 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VUMERITY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325.4 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375.5 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351.1 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Fumarate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389.2 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186.7 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575.9 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750.8 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AVONEX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333.2 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344.5 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PLEGRIDY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128.5 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Interferon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278.9 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452.6 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473.0 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TYSABRI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512.3 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380.0 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892.3 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473.0 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836.1 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FAMPYRA</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1,180.4 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740.4 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1,920.8 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1,147.8 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912.4 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2,060.2 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Rare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SPINRAZA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346.5 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429.4 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775.9 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816.6 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SKYCLARYS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318.6 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254.2 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QALSODY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Rare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519.4 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639.5 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1,158.9 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640.5 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1,106.3 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Specialized Immunology: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Franklin Gothic Book;sans-serif" w:hAnsi="Franklin Gothic Book;sans-serif"/>
                <w:b w:val="false"/>
                <w:color w:val="000000"/>
                <w:sz w:val="16"/>
              </w:rPr>
              <w:t>SYFOVRE</w:t>
            </w:r>
            <w:r>
              <w:rPr>
                <w:rFonts w:ascii="Franklin Gothic Book;sans-serif" w:hAnsi="Franklin Gothic Book;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Franklin Gothic Book;sans-serif" w:hAnsi="Franklin Gothic Book;sans-serif"/>
                <w:b w:val="false"/>
                <w:color w:val="000000"/>
                <w:sz w:val="16"/>
              </w:rPr>
              <w:t>EMPAVELI</w:t>
            </w:r>
            <w:r>
              <w:rPr>
                <w:rFonts w:ascii="Franklin Gothic Book;sans-serif" w:hAnsi="Franklin Gothic Book;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Specialized Immunology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127.8 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127.8 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Biosimilars: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BENEPALI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223.4 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IMRALDI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94.1 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FLIXABI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BYOOVIZ</w:t>
            </w:r>
            <w:r>
              <w:rPr>
                <w:rFonts w:ascii="Franklin Gothic Book;sans-serif" w:hAnsi="Franklin Gothic Book;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TOFIDENCE</w:t>
            </w:r>
            <w:r>
              <w:rPr>
                <w:rFonts w:ascii="Franklin Gothic Book;sans-serif" w:hAnsi="Franklin Gothic Book;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Biosimilars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334.9 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335.0 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362.5 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ZURZUVAE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74.1 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Other</w:t>
            </w:r>
            <w:r>
              <w:rPr>
                <w:rFonts w:ascii="Franklin Gothic Book;sans-serif" w:hAnsi="Franklin Gothic Book;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126.0 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126.2 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76.2 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1,953.7 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1,715.0 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3,668.7 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1,694.9 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1,910.3 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3,605.2 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Effective January 1, 2025, our collaboration and license agreement for FAMPYRA global commercialization rights was terminated.</w:t>
      </w:r>
    </w:p>
    <w:p>
      <w:pPr>
        <w:pStyle w:val="TextBody"/>
        <w:bidi w:val="0"/>
        <w:spacing w:lineRule="auto" w:line="288" w:before="20" w:after="283"/>
        <w:jc w:val="left"/>
        <w:rPr/>
      </w:pPr>
      <w:r>
        <w:rPr>
          <w:rFonts w:ascii="Franklin Gothic Book;sans-serif" w:hAnsi="Franklin Gothic Book;sans-serif"/>
          <w:b w:val="false"/>
          <w:color w:val="000000"/>
          <w:sz w:val="10"/>
        </w:rPr>
        <w:t>(2)</w:t>
      </w:r>
      <w:r>
        <w:rPr>
          <w:color w:val="000000"/>
        </w:rPr>
        <w:t xml:space="preserve"> </w:t>
      </w:r>
      <w:r>
        <w:rPr>
          <w:rFonts w:ascii="Franklin Gothic Book;sans-serif" w:hAnsi="Franklin Gothic Book;sans-serif"/>
          <w:b w:val="false"/>
          <w:color w:val="000000"/>
          <w:sz w:val="16"/>
        </w:rPr>
        <w:t>EMPAVELI and SYFOVRE were obtained as part of our acquisition of Apellis in May 2026.</w:t>
      </w:r>
    </w:p>
    <w:p>
      <w:pPr>
        <w:pStyle w:val="TextBody"/>
        <w:bidi w:val="0"/>
        <w:spacing w:lineRule="auto" w:line="288" w:before="20" w:after="283"/>
        <w:jc w:val="left"/>
        <w:rPr/>
      </w:pPr>
      <w:r>
        <w:rPr>
          <w:rFonts w:ascii="Franklin Gothic Book;sans-serif" w:hAnsi="Franklin Gothic Book;sans-serif"/>
          <w:b w:val="false"/>
          <w:color w:val="000000"/>
          <w:sz w:val="10"/>
        </w:rPr>
        <w:t>(3)</w:t>
      </w:r>
      <w:r>
        <w:rPr>
          <w:color w:val="000000"/>
        </w:rPr>
        <w:t xml:space="preserve"> </w:t>
      </w:r>
      <w:r>
        <w:rPr>
          <w:rFonts w:ascii="Franklin Gothic Book;sans-serif" w:hAnsi="Franklin Gothic Book;sans-serif"/>
          <w:b w:val="false"/>
          <w:color w:val="000000"/>
          <w:sz w:val="16"/>
        </w:rPr>
        <w:t>In 2025 we completed the sale of our rights to TOFIDENCE and BYOOVIZ.</w:t>
      </w:r>
    </w:p>
    <w:p>
      <w:pPr>
        <w:pStyle w:val="TextBody"/>
        <w:bidi w:val="0"/>
        <w:spacing w:lineRule="auto" w:line="288" w:before="20" w:after="283"/>
        <w:jc w:val="left"/>
        <w:rPr/>
      </w:pPr>
      <w:r>
        <w:rPr>
          <w:rFonts w:ascii="Franklin Gothic Book;sans-serif" w:hAnsi="Franklin Gothic Book;sans-serif"/>
          <w:b w:val="false"/>
          <w:color w:val="000000"/>
          <w:sz w:val="10"/>
        </w:rPr>
        <w:t>(4)</w:t>
      </w:r>
      <w:r>
        <w:rPr>
          <w:color w:val="000000"/>
        </w:rPr>
        <w:t xml:space="preserve"> </w:t>
      </w:r>
      <w:r>
        <w:rPr>
          <w:rFonts w:ascii="Franklin Gothic Book;sans-serif" w:hAnsi="Franklin Gothic Book;sans-serif"/>
          <w:b w:val="false"/>
          <w:color w:val="000000"/>
          <w:sz w:val="16"/>
        </w:rPr>
        <w:t>Other includes FUMADERM and ADUHELM.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2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11</w:t>
                      </w:r>
                    </w:p>
                  </w:txbxContent>
                </v:textbox>
                <w10:wrap type="none"/>
              </v:rect>
            </w:pict>
          </mc:Fallback>
        </mc:AlternateContent>
      </w:r>
    </w:p>
    <w:p>
      <w:pPr>
        <w:pStyle w:val="TextBody"/>
        <w:bidi w:val="0"/>
        <w:spacing w:lineRule="auto" w:line="288" w:before="240" w:after="283"/>
        <w:jc w:val="left"/>
        <w:rPr>
          <w:rFonts w:ascii="Franklin Gothic Book;sans-serif" w:hAnsi="Franklin Gothic Book;sans-serif"/>
          <w:b/>
          <w:color w:val="00587F"/>
          <w:sz w:val="22"/>
        </w:rPr>
      </w:pPr>
      <w:r>
        <w:rPr>
          <w:rFonts w:ascii="Franklin Gothic Book;sans-serif" w:hAnsi="Franklin Gothic Book;sans-serif"/>
          <w:b/>
          <w:color w:val="00587F"/>
          <w:sz w:val="22"/>
        </w:rPr>
        <w:t>Total Revenue</w:t>
      </w:r>
    </w:p>
    <w:tbl>
      <w:tblPr>
        <w:tblW w:w="10205" w:type="dxa"/>
        <w:jc w:val="left"/>
        <w:tblInd w:w="0" w:type="dxa"/>
        <w:tblLayout w:type="fixed"/>
        <w:tblCellMar>
          <w:top w:w="28" w:type="dxa"/>
          <w:left w:w="28" w:type="dxa"/>
          <w:bottom w:w="28" w:type="dxa"/>
          <w:right w:w="28" w:type="dxa"/>
        </w:tblCellMar>
      </w:tblPr>
      <w:tblGrid>
        <w:gridCol w:w="1488"/>
        <w:gridCol w:w="931"/>
        <w:gridCol w:w="937"/>
        <w:gridCol w:w="109"/>
        <w:gridCol w:w="109"/>
        <w:gridCol w:w="109"/>
        <w:gridCol w:w="254"/>
        <w:gridCol w:w="997"/>
        <w:gridCol w:w="122"/>
        <w:gridCol w:w="122"/>
        <w:gridCol w:w="122"/>
        <w:gridCol w:w="122"/>
        <w:gridCol w:w="254"/>
        <w:gridCol w:w="997"/>
        <w:gridCol w:w="122"/>
        <w:gridCol w:w="109"/>
        <w:gridCol w:w="109"/>
        <w:gridCol w:w="109"/>
        <w:gridCol w:w="247"/>
        <w:gridCol w:w="969"/>
        <w:gridCol w:w="119"/>
        <w:gridCol w:w="119"/>
        <w:gridCol w:w="119"/>
        <w:gridCol w:w="119"/>
        <w:gridCol w:w="247"/>
        <w:gridCol w:w="969"/>
        <w:gridCol w:w="175"/>
      </w:tblGrid>
      <w:tr>
        <w:trPr/>
        <w:tc>
          <w:tcPr>
            <w:tcW w:w="148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For the Six Months Ended June 30,</w:t>
            </w:r>
          </w:p>
        </w:tc>
      </w:tr>
      <w:tr>
        <w:trPr/>
        <w:tc>
          <w:tcPr>
            <w:tcW w:w="3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3BA"/>
                <w:sz w:val="18"/>
              </w:rPr>
            </w:pPr>
            <w:r>
              <w:rPr>
                <w:rFonts w:ascii="Franklin Gothic Book;sans-serif" w:hAnsi="Franklin Gothic Book;sans-serif"/>
                <w:b/>
                <w:color w:val="2573BA"/>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8"/>
              </w:rPr>
            </w:pPr>
            <w:r>
              <w:rPr>
                <w:rFonts w:ascii="Franklin Gothic Book;sans-serif" w:hAnsi="Franklin Gothic Book;sans-serif"/>
                <w:b/>
                <w:color w:val="257ACB"/>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2025</w:t>
            </w:r>
          </w:p>
        </w:tc>
      </w:tr>
      <w:tr>
        <w:trPr/>
        <w:tc>
          <w:tcPr>
            <w:tcW w:w="3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8"/>
              </w:rPr>
            </w:pPr>
            <w:r>
              <w:rPr>
                <w:rFonts w:ascii="Franklin Gothic Book;sans-serif" w:hAnsi="Franklin Gothic Book;sans-serif"/>
                <w:b w:val="false"/>
                <w:color w:val="026DCE"/>
                <w:sz w:val="18"/>
              </w:rPr>
              <w:t>$</w:t>
            </w:r>
          </w:p>
        </w:tc>
        <w:tc>
          <w:tcPr>
            <w:tcW w:w="9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8"/>
              </w:rPr>
            </w:pPr>
            <w:r>
              <w:rPr>
                <w:rFonts w:ascii="Franklin Gothic Book;sans-serif" w:hAnsi="Franklin Gothic Book;sans-serif"/>
                <w:b w:val="false"/>
                <w:color w:val="026DCE"/>
                <w:sz w:val="18"/>
              </w:rPr>
              <w:t>1,916.4 </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1,878.7 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8"/>
              </w:rPr>
            </w:pPr>
            <w:r>
              <w:rPr>
                <w:rFonts w:ascii="Franklin Gothic Book;sans-serif" w:hAnsi="Franklin Gothic Book;sans-serif"/>
                <w:b w:val="false"/>
                <w:color w:val="026DCE"/>
                <w:sz w:val="18"/>
              </w:rPr>
              <w:t>$</w:t>
            </w:r>
          </w:p>
        </w:tc>
        <w:tc>
          <w:tcPr>
            <w:tcW w:w="9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8"/>
              </w:rPr>
            </w:pPr>
            <w:r>
              <w:rPr>
                <w:rFonts w:ascii="Franklin Gothic Book;sans-serif" w:hAnsi="Franklin Gothic Book;sans-serif"/>
                <w:b w:val="false"/>
                <w:color w:val="026DCE"/>
                <w:sz w:val="18"/>
              </w:rPr>
              <w:t>3,668.7 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3,605.2 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Royalty revenue on sales of OCREVUS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8"/>
              </w:rPr>
            </w:pPr>
            <w:r>
              <w:rPr>
                <w:rFonts w:ascii="Franklin Gothic Book;sans-serif" w:hAnsi="Franklin Gothic Book;sans-serif"/>
                <w:b w:val="false"/>
                <w:color w:val="026DCE"/>
                <w:sz w:val="18"/>
              </w:rPr>
              <w:t>381.4 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353.8 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8"/>
              </w:rPr>
            </w:pPr>
            <w:r>
              <w:rPr>
                <w:rFonts w:ascii="Franklin Gothic Book;sans-serif" w:hAnsi="Franklin Gothic Book;sans-serif"/>
                <w:b w:val="false"/>
                <w:color w:val="026DCE"/>
                <w:sz w:val="18"/>
              </w:rPr>
              <w:t>698.6 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642.6 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Biogen’s share of pre-tax profits in the U.S. for RITUXAN, GAZYVA and LUNSUMIO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8"/>
              </w:rPr>
            </w:pPr>
            <w:r>
              <w:rPr>
                <w:rFonts w:ascii="Franklin Gothic Book;sans-serif" w:hAnsi="Franklin Gothic Book;sans-serif"/>
                <w:b w:val="false"/>
                <w:color w:val="026DCE"/>
                <w:sz w:val="18"/>
              </w:rPr>
              <w:t>125.7 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107.7 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8"/>
              </w:rPr>
            </w:pPr>
            <w:r>
              <w:rPr>
                <w:rFonts w:ascii="Franklin Gothic Book;sans-serif" w:hAnsi="Franklin Gothic Book;sans-serif"/>
                <w:b w:val="false"/>
                <w:color w:val="026DCE"/>
                <w:sz w:val="18"/>
              </w:rPr>
              <w:t>220.4 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191.4 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revenue from anti-CD20 therapeutic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6.4 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8"/>
              </w:rPr>
            </w:pPr>
            <w:r>
              <w:rPr>
                <w:rFonts w:ascii="Franklin Gothic Book;sans-serif" w:hAnsi="Franklin Gothic Book;sans-serif"/>
                <w:b w:val="false"/>
                <w:color w:val="026DCE"/>
                <w:sz w:val="18"/>
              </w:rPr>
              <w:t>13.6 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11.5 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Alzheimer's collaboration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63.7 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54.9 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8"/>
              </w:rPr>
            </w:pPr>
            <w:r>
              <w:rPr>
                <w:rFonts w:ascii="Franklin Gothic Book;sans-serif" w:hAnsi="Franklin Gothic Book;sans-serif"/>
                <w:b w:val="false"/>
                <w:color w:val="026DCE"/>
                <w:sz w:val="18"/>
              </w:rPr>
              <w:t>123.2 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87.9 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Contract manufacturing, 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242.4 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244.6 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8"/>
              </w:rPr>
            </w:pPr>
            <w:r>
              <w:rPr>
                <w:rFonts w:ascii="Franklin Gothic Book;sans-serif" w:hAnsi="Franklin Gothic Book;sans-serif"/>
                <w:b w:val="false"/>
                <w:color w:val="026DCE"/>
                <w:sz w:val="18"/>
              </w:rPr>
              <w:t>489.3 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537.9 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8"/>
              </w:rPr>
            </w:pPr>
            <w:r>
              <w:rPr>
                <w:rFonts w:ascii="Franklin Gothic Book;sans-serif" w:hAnsi="Franklin Gothic Book;sans-serif"/>
                <w:b w:val="false"/>
                <w:color w:val="026DCE"/>
                <w:sz w:val="18"/>
              </w:rPr>
              <w:t>$</w:t>
            </w:r>
          </w:p>
        </w:tc>
        <w:tc>
          <w:tcPr>
            <w:tcW w:w="9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8"/>
              </w:rPr>
            </w:pPr>
            <w:r>
              <w:rPr>
                <w:rFonts w:ascii="Franklin Gothic Book;sans-serif" w:hAnsi="Franklin Gothic Book;sans-serif"/>
                <w:b w:val="false"/>
                <w:color w:val="026DCE"/>
                <w:sz w:val="18"/>
              </w:rPr>
              <w:t>2,736.0 </w:t>
            </w:r>
          </w:p>
        </w:tc>
        <w:tc>
          <w:tcPr>
            <w:tcW w:w="1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2,645.5 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8"/>
              </w:rPr>
            </w:pPr>
            <w:r>
              <w:rPr>
                <w:rFonts w:ascii="Franklin Gothic Book;sans-serif" w:hAnsi="Franklin Gothic Book;sans-serif"/>
                <w:b w:val="false"/>
                <w:color w:val="026DCE"/>
                <w:sz w:val="18"/>
              </w:rPr>
              <w:t>$</w:t>
            </w:r>
          </w:p>
        </w:tc>
        <w:tc>
          <w:tcPr>
            <w:tcW w:w="96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8"/>
              </w:rPr>
            </w:pPr>
            <w:r>
              <w:rPr>
                <w:rFonts w:ascii="Franklin Gothic Book;sans-serif" w:hAnsi="Franklin Gothic Book;sans-serif"/>
                <w:b w:val="false"/>
                <w:color w:val="026DCE"/>
                <w:sz w:val="18"/>
              </w:rPr>
              <w:t>5,213.8 </w:t>
            </w:r>
          </w:p>
        </w:tc>
        <w:tc>
          <w:tcPr>
            <w:tcW w:w="1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5,076.5 </w:t>
            </w:r>
          </w:p>
        </w:tc>
        <w:tc>
          <w:tcPr>
            <w:tcW w:w="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vAlign w:val="center"/>
          </w:tcPr>
          <w:p>
            <w:pPr>
              <w:pStyle w:val="TableContents"/>
              <w:bidi w:val="0"/>
              <w:spacing w:before="0" w:after="283"/>
              <w:jc w:val="left"/>
              <w:rPr>
                <w:sz w:val="4"/>
                <w:szCs w:val="4"/>
              </w:rPr>
            </w:pPr>
            <w:r>
              <w:rPr>
                <w:sz w:val="4"/>
                <w:szCs w:val="4"/>
              </w:rPr>
            </w:r>
          </w:p>
        </w:tc>
        <w:tc>
          <w:tcPr>
            <w:tcW w:w="6849" w:type="dxa"/>
            <w:gridSpan w:val="2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2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12</w:t>
                      </w:r>
                    </w:p>
                  </w:txbxContent>
                </v:textbox>
                <w10:wrap type="none"/>
              </v:rect>
            </w:pict>
          </mc:Fallback>
        </mc:AlternateContent>
      </w:r>
    </w:p>
    <w:p>
      <w:pPr>
        <w:pStyle w:val="TextBody"/>
        <w:bidi w:val="0"/>
        <w:spacing w:lineRule="auto" w:line="288" w:before="180" w:after="180"/>
        <w:jc w:val="center"/>
        <w:rPr>
          <w:rFonts w:ascii="Franklin Gothic Book;sans-serif" w:hAnsi="Franklin Gothic Book;sans-serif"/>
          <w:b/>
          <w:color w:val="1C5A7D"/>
          <w:sz w:val="24"/>
        </w:rPr>
      </w:pPr>
      <w:r>
        <w:rPr>
          <w:rFonts w:ascii="Franklin Gothic Book;sans-serif" w:hAnsi="Franklin Gothic Book;sans-serif"/>
          <w:b/>
          <w:color w:val="1C5A7D"/>
          <w:sz w:val="24"/>
        </w:rPr>
        <w:t>TABLE 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GAAP TO NON-GAAP RECONCILIATION</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OPERATING EXPENSE, OTHER (INCOME) EXPENSE, NET, AND INCOME TAX</w:t>
      </w:r>
    </w:p>
    <w:p>
      <w:pPr>
        <w:pStyle w:val="TextBody"/>
        <w:bidi w:val="0"/>
        <w:spacing w:lineRule="auto" w:line="288" w:before="0" w:after="0"/>
        <w:jc w:val="center"/>
        <w:rPr>
          <w:rFonts w:ascii="Franklin Gothic Book;sans-serif" w:hAnsi="Franklin Gothic Book;sans-serif"/>
          <w:b/>
          <w:i/>
          <w:color w:val="1C5A7D"/>
          <w:sz w:val="20"/>
        </w:rPr>
      </w:pPr>
      <w:r>
        <w:rPr>
          <w:rFonts w:ascii="Franklin Gothic Book;sans-serif" w:hAnsi="Franklin Gothic Book;sans-serif"/>
          <w:b/>
          <w:i/>
          <w:color w:val="1C5A7D"/>
          <w:sz w:val="20"/>
        </w:rPr>
        <w:t>(unaudited, in millions)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supplement our GAAP consolidated financial statements and GAAP financial measures with other financial measures, such as adjusted net income, adjusted diluted earnings per share, revenue growth at constant currency, which excludes the impact of changes in foreign exchange rates and hedging gains or losses, and free cash flow, which is defined as net cash flow from operations less capital expenditures. We believe that these and other Non-GAAP financial measures provide additional insight into the ongoing economics of our business and reflect how we manage our business internally, set operational goals and form the basis of our management incentive programs. Non-GAAP financial measures are in addition to, not a substitute for, or superior to, measures of financial performance prepared in accordance with GAAP.</w:t>
      </w:r>
    </w:p>
    <w:tbl>
      <w:tblPr>
        <w:tblW w:w="10205" w:type="dxa"/>
        <w:jc w:val="left"/>
        <w:tblInd w:w="0" w:type="dxa"/>
        <w:tblLayout w:type="fixed"/>
        <w:tblCellMar>
          <w:top w:w="28" w:type="dxa"/>
          <w:left w:w="28" w:type="dxa"/>
          <w:bottom w:w="28" w:type="dxa"/>
          <w:right w:w="28" w:type="dxa"/>
        </w:tblCellMar>
      </w:tblPr>
      <w:tblGrid>
        <w:gridCol w:w="1690"/>
        <w:gridCol w:w="1089"/>
        <w:gridCol w:w="1097"/>
        <w:gridCol w:w="109"/>
        <w:gridCol w:w="109"/>
        <w:gridCol w:w="109"/>
        <w:gridCol w:w="254"/>
        <w:gridCol w:w="742"/>
        <w:gridCol w:w="131"/>
        <w:gridCol w:w="131"/>
        <w:gridCol w:w="131"/>
        <w:gridCol w:w="131"/>
        <w:gridCol w:w="254"/>
        <w:gridCol w:w="742"/>
        <w:gridCol w:w="131"/>
        <w:gridCol w:w="131"/>
        <w:gridCol w:w="131"/>
        <w:gridCol w:w="131"/>
        <w:gridCol w:w="245"/>
        <w:gridCol w:w="891"/>
        <w:gridCol w:w="126"/>
        <w:gridCol w:w="126"/>
        <w:gridCol w:w="126"/>
        <w:gridCol w:w="126"/>
        <w:gridCol w:w="245"/>
        <w:gridCol w:w="891"/>
        <w:gridCol w:w="186"/>
      </w:tblGrid>
      <w:tr>
        <w:trPr/>
        <w:tc>
          <w:tcPr>
            <w:tcW w:w="169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497F"/>
                <w:sz w:val="16"/>
              </w:rPr>
            </w:pPr>
            <w:r>
              <w:rPr>
                <w:rFonts w:ascii="Franklin Gothic Book;sans-serif" w:hAnsi="Franklin Gothic Book;sans-serif"/>
                <w:b/>
                <w:color w:val="00497F"/>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497F"/>
                <w:sz w:val="16"/>
              </w:rPr>
            </w:pPr>
            <w:r>
              <w:rPr>
                <w:rFonts w:ascii="Franklin Gothic Book;sans-serif" w:hAnsi="Franklin Gothic Book;sans-serif"/>
                <w:b/>
                <w:color w:val="00497F"/>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3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cost of sales,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7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776.9 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4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605.0 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1,437.9 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1,234.3 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litigation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1.1 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2.3 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amortization of inventory fair value step-up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163.6 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213.3 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cost of sales,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7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612.2 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554.3 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1,222.3 </w:t>
            </w:r>
          </w:p>
        </w:tc>
        <w:tc>
          <w:tcPr>
            <w:tcW w:w="1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1,134.2 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Research and Development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research and development expense,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7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529.6 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4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399.0 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1,068.6 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833.1 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amortization of inventory fair value step-up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37.0 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92.9 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restructuring charges and other cost saving initiatives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3.1 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6.2 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research and development expense,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7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489.5 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393.7 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969.5 </w:t>
            </w:r>
          </w:p>
        </w:tc>
        <w:tc>
          <w:tcPr>
            <w:tcW w:w="1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820.4 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Selling, General and Administrative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selling, general and administrative,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7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709.7 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4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583.8 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1,317.0 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1,156.3 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acquisition-related transaction and integration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28.2 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33.5 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restructuring charges and other cost saving initiatives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1.9 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4.2 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497F"/>
              </w:rPr>
            </w:pPr>
            <w:r>
              <w:rPr>
                <w:color w:val="00497F"/>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497F"/>
              </w:rPr>
            </w:pPr>
            <w:r>
              <w:rPr>
                <w:color w:val="00497F"/>
              </w:rPr>
              <w:t>—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selling, general and administrative,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7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679.6 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578.6 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1,279.3 </w:t>
            </w:r>
          </w:p>
        </w:tc>
        <w:tc>
          <w:tcPr>
            <w:tcW w:w="1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1,150.9 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Amortization and Impairment of Acquired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amortization and impairment of acquired intangible assets,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7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168.2 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4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130.9 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304.7 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242.7 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impairment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497F"/>
              </w:rPr>
            </w:pPr>
            <w:r>
              <w:rPr>
                <w:color w:val="00497F"/>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497F"/>
              </w:rPr>
            </w:pPr>
            <w:r>
              <w:rPr>
                <w:color w:val="00497F"/>
              </w:rPr>
              <w:t>—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amortization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153.6 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114.6 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276.8 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216.0 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amortization and impairment of acquired intangible assets,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7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14.6 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12.8 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27.9 </w:t>
            </w:r>
          </w:p>
        </w:tc>
        <w:tc>
          <w:tcPr>
            <w:tcW w:w="1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23.2 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Other (Income) Expense,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other (income) expense, net,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7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18.5 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4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48.7 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38.2 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117.1 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(gain) loss on equity security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(42.8)</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(65.1)</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1.2 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1.2 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other (income) expense, net,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7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60.1 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56.6 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102.1 </w:t>
            </w:r>
          </w:p>
        </w:tc>
        <w:tc>
          <w:tcPr>
            <w:tcW w:w="1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89.4 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Income Tax (Benefit)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income tax (benefit) expense,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7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34.9 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4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109.2 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93.1 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179.9 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income tax effect related to Non-GAAP reconciling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(76.2)</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(113.3)</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(52.3)</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income tax (benefit) expense,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7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111.1 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125.4 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206.4 </w:t>
            </w:r>
          </w:p>
        </w:tc>
        <w:tc>
          <w:tcPr>
            <w:tcW w:w="1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232.2 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2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13</w:t>
                      </w:r>
                    </w:p>
                  </w:txbxContent>
                </v:textbox>
                <w10:wrap type="none"/>
              </v:rect>
            </w:pict>
          </mc:Fallback>
        </mc:AlternateContent>
      </w:r>
    </w:p>
    <w:p>
      <w:pPr>
        <w:pStyle w:val="TextBody"/>
        <w:bidi w:val="0"/>
        <w:spacing w:lineRule="auto" w:line="288" w:before="180" w:after="283"/>
        <w:ind w:left="0" w:right="0" w:firstLine="720"/>
        <w:jc w:val="center"/>
        <w:rPr>
          <w:rFonts w:ascii="Franklin Gothic Book;sans-serif" w:hAnsi="Franklin Gothic Book;sans-serif"/>
          <w:b/>
          <w:color w:val="1C5A7D"/>
          <w:sz w:val="24"/>
        </w:rPr>
      </w:pPr>
      <w:r>
        <w:rPr>
          <w:rFonts w:ascii="Franklin Gothic Book;sans-serif" w:hAnsi="Franklin Gothic Book;sans-serif"/>
          <w:b/>
          <w:color w:val="1C5A7D"/>
          <w:sz w:val="24"/>
        </w:rPr>
        <w:t>TABLE 4 (continued)</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GAAP TO NON-GAAP RECONCILIATION</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NET INCOME ATTRIBUTABLE TO BIOGEN INC. &amp; DILUTED EPS</w:t>
      </w:r>
    </w:p>
    <w:p>
      <w:pPr>
        <w:pStyle w:val="TextBody"/>
        <w:bidi w:val="0"/>
        <w:spacing w:lineRule="auto" w:line="288" w:before="0" w:after="0"/>
        <w:jc w:val="center"/>
        <w:rPr>
          <w:rFonts w:ascii="Franklin Gothic Book;sans-serif" w:hAnsi="Franklin Gothic Book;sans-serif"/>
          <w:b/>
          <w:i/>
          <w:color w:val="1C5A7D"/>
          <w:sz w:val="20"/>
        </w:rPr>
      </w:pPr>
      <w:r>
        <w:rPr>
          <w:rFonts w:ascii="Franklin Gothic Book;sans-serif" w:hAnsi="Franklin Gothic Book;sans-serif"/>
          <w:b/>
          <w:i/>
          <w:color w:val="1C5A7D"/>
          <w:sz w:val="20"/>
        </w:rPr>
        <w:t>(unaudited, in millions, except effective tax rate and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51"/>
        <w:gridCol w:w="1042"/>
        <w:gridCol w:w="1050"/>
        <w:gridCol w:w="109"/>
        <w:gridCol w:w="109"/>
        <w:gridCol w:w="109"/>
        <w:gridCol w:w="231"/>
        <w:gridCol w:w="675"/>
        <w:gridCol w:w="280"/>
        <w:gridCol w:w="119"/>
        <w:gridCol w:w="119"/>
        <w:gridCol w:w="119"/>
        <w:gridCol w:w="231"/>
        <w:gridCol w:w="675"/>
        <w:gridCol w:w="280"/>
        <w:gridCol w:w="119"/>
        <w:gridCol w:w="119"/>
        <w:gridCol w:w="119"/>
        <w:gridCol w:w="225"/>
        <w:gridCol w:w="819"/>
        <w:gridCol w:w="274"/>
        <w:gridCol w:w="116"/>
        <w:gridCol w:w="116"/>
        <w:gridCol w:w="116"/>
        <w:gridCol w:w="225"/>
        <w:gridCol w:w="819"/>
        <w:gridCol w:w="274"/>
        <w:gridCol w:w="165"/>
      </w:tblGrid>
      <w:tr>
        <w:trPr/>
        <w:tc>
          <w:tcPr>
            <w:tcW w:w="155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2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497F"/>
                <w:sz w:val="16"/>
              </w:rPr>
            </w:pPr>
            <w:r>
              <w:rPr>
                <w:rFonts w:ascii="Franklin Gothic Book;sans-serif" w:hAnsi="Franklin Gothic Book;sans-serif"/>
                <w:b/>
                <w:color w:val="00497F"/>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497F"/>
                <w:sz w:val="16"/>
              </w:rPr>
            </w:pPr>
            <w:r>
              <w:rPr>
                <w:rFonts w:ascii="Franklin Gothic Book;sans-serif" w:hAnsi="Franklin Gothic Book;sans-serif"/>
                <w:b/>
                <w:color w:val="00497F"/>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Effective Tax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effective tax rate,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26.4 </w:t>
            </w:r>
          </w:p>
        </w:tc>
        <w:tc>
          <w:tcPr>
            <w:tcW w:w="28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14.7 </w:t>
            </w:r>
          </w:p>
        </w:tc>
        <w:tc>
          <w:tcPr>
            <w:tcW w:w="28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18.3 </w:t>
            </w:r>
          </w:p>
        </w:tc>
        <w:tc>
          <w:tcPr>
            <w:tcW w:w="27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17.0 </w:t>
            </w:r>
          </w:p>
        </w:tc>
        <w:tc>
          <w:tcPr>
            <w:tcW w:w="27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impact of GAAP to Non-GAAP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9.2 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2.1 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effective tax rate,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17.2 </w:t>
            </w:r>
          </w:p>
        </w:tc>
        <w:tc>
          <w:tcPr>
            <w:tcW w:w="2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13.5 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16.2 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15.7 </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Net Income Attributable to Biogen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net income attributable to Biogen Inc.,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97.5 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7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634.8 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417.0 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875.3 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Plus: litigation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1.1 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2.3 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Plus: amortization of inventory fair value step-up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200.6 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50.7 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306.2 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100.1 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Plus: impairment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497F"/>
              </w:rPr>
            </w:pPr>
            <w:r>
              <w:rPr>
                <w:color w:val="00497F"/>
              </w:rPr>
              <w:t>—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497F"/>
              </w:rPr>
            </w:pPr>
            <w:r>
              <w:rPr>
                <w:color w:val="00497F"/>
              </w:rPr>
              <w:t>—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Plus: acquisition-related transaction and integration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28.2 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33.5 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Plus: amortization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153.6 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114.6 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276.8 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216.0 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Plus: restructuring charges and other cost saving initiatives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170.5 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183.7 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47.7 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Plus: (gain) loss on fair value remeasurement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2.5 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23.0 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22.8 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Plus: (gain) loss on equity security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(42.8)</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(65.1)</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30.3 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Plus: income tax effect related to Non-GAAP reconciling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(76.2)</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(16.2)</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(113.3)</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(52.3)</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Plus: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1.2 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1.2 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net income attributable to Biogen Inc.,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6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536.2 </w:t>
            </w:r>
          </w:p>
        </w:tc>
        <w:tc>
          <w:tcPr>
            <w:tcW w:w="2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802.5 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1,065.3 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1,245.8 </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Diluted Earnings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diluted earnings per share,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0.66 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7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4.33 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2.81 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5.97 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Plus: adjustments to GAAP net income attributable to Biogen Inc. (as detailed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2.94 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1.14 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4.36 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2.52 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diluted earnings per share,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6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3.60 </w:t>
            </w:r>
          </w:p>
        </w:tc>
        <w:tc>
          <w:tcPr>
            <w:tcW w:w="2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5.47 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7.17 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8.49 </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2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8"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14</w:t>
                      </w:r>
                    </w:p>
                  </w:txbxContent>
                </v:textbox>
                <w10:wrap type="none"/>
              </v:rect>
            </w:pict>
          </mc:Fallback>
        </mc:AlternateContent>
      </w:r>
    </w:p>
    <w:p>
      <w:pPr>
        <w:pStyle w:val="TextBody"/>
        <w:bidi w:val="0"/>
        <w:spacing w:lineRule="auto" w:line="288" w:before="180" w:after="283"/>
        <w:jc w:val="center"/>
        <w:rPr>
          <w:rFonts w:ascii="Franklin Gothic Book;sans-serif" w:hAnsi="Franklin Gothic Book;sans-serif"/>
          <w:b/>
          <w:color w:val="1C5A7D"/>
          <w:sz w:val="24"/>
        </w:rPr>
      </w:pPr>
      <w:r>
        <w:rPr>
          <w:rFonts w:ascii="Franklin Gothic Book;sans-serif" w:hAnsi="Franklin Gothic Book;sans-serif"/>
          <w:b/>
          <w:color w:val="1C5A7D"/>
          <w:sz w:val="24"/>
        </w:rPr>
        <w:t>TABLE 4 (continued)</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GAAP TO NON-GAAP RECONCILIATION: REVENUE CHANGE AT CONSTANT CURRENCY</w:t>
      </w:r>
    </w:p>
    <w:p>
      <w:pPr>
        <w:pStyle w:val="TextBody"/>
        <w:bidi w:val="0"/>
        <w:spacing w:lineRule="auto" w:line="288" w:before="0" w:after="0"/>
        <w:jc w:val="center"/>
        <w:rPr>
          <w:rFonts w:ascii="Franklin Gothic Book;sans-serif" w:hAnsi="Franklin Gothic Book;sans-serif"/>
          <w:b/>
          <w:i/>
          <w:color w:val="1C5A7D"/>
          <w:sz w:val="20"/>
        </w:rPr>
      </w:pPr>
      <w:r>
        <w:rPr>
          <w:rFonts w:ascii="Franklin Gothic Book;sans-serif" w:hAnsi="Franklin Gothic Book;sans-serif"/>
          <w:b/>
          <w:i/>
          <w:color w:val="1C5A7D"/>
          <w:sz w:val="20"/>
        </w:rPr>
        <w:t>(unaudited)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Revenue changes at constant currency are presented excluding the impact of changes in foreign currency exchange rates and hedging gains or losses. Foreign currency revenue values are converted into U.S. Dollars using the exchange rates from the end of the previous calendar year.</w:t>
      </w:r>
    </w:p>
    <w:tbl>
      <w:tblPr>
        <w:tblW w:w="9718" w:type="dxa"/>
        <w:jc w:val="left"/>
        <w:tblInd w:w="0" w:type="dxa"/>
        <w:tblLayout w:type="fixed"/>
        <w:tblCellMar>
          <w:top w:w="28" w:type="dxa"/>
          <w:left w:w="28" w:type="dxa"/>
          <w:bottom w:w="28" w:type="dxa"/>
          <w:right w:w="28" w:type="dxa"/>
        </w:tblCellMar>
      </w:tblPr>
      <w:tblGrid>
        <w:gridCol w:w="2371"/>
        <w:gridCol w:w="2086"/>
        <w:gridCol w:w="2097"/>
        <w:gridCol w:w="109"/>
        <w:gridCol w:w="109"/>
        <w:gridCol w:w="109"/>
        <w:gridCol w:w="337"/>
        <w:gridCol w:w="338"/>
        <w:gridCol w:w="509"/>
        <w:gridCol w:w="109"/>
        <w:gridCol w:w="109"/>
        <w:gridCol w:w="109"/>
        <w:gridCol w:w="336"/>
        <w:gridCol w:w="339"/>
        <w:gridCol w:w="651"/>
      </w:tblGrid>
      <w:tr>
        <w:trPr/>
        <w:tc>
          <w:tcPr>
            <w:tcW w:w="237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497F"/>
                <w:sz w:val="18"/>
              </w:rPr>
            </w:pPr>
            <w:r>
              <w:rPr>
                <w:rFonts w:ascii="Franklin Gothic Book;sans-serif" w:hAnsi="Franklin Gothic Book;sans-serif"/>
                <w:b/>
                <w:color w:val="00497F"/>
                <w:sz w:val="18"/>
              </w:rPr>
              <w:t>Q2 2026</w:t>
            </w:r>
          </w:p>
          <w:p>
            <w:pPr>
              <w:pStyle w:val="TableContents"/>
              <w:bidi w:val="0"/>
              <w:spacing w:lineRule="auto" w:line="240" w:before="0" w:after="0"/>
              <w:jc w:val="center"/>
              <w:rPr>
                <w:rFonts w:ascii="Franklin Gothic Book;sans-serif" w:hAnsi="Franklin Gothic Book;sans-serif"/>
                <w:b/>
                <w:color w:val="00497F"/>
                <w:sz w:val="18"/>
              </w:rPr>
            </w:pPr>
            <w:r>
              <w:rPr>
                <w:rFonts w:ascii="Franklin Gothic Book;sans-serif" w:hAnsi="Franklin Gothic Book;sans-serif"/>
                <w:b/>
                <w:color w:val="00497F"/>
                <w:sz w:val="18"/>
              </w:rPr>
              <w:t>vs.</w:t>
            </w:r>
          </w:p>
          <w:p>
            <w:pPr>
              <w:pStyle w:val="TableContents"/>
              <w:bidi w:val="0"/>
              <w:spacing w:lineRule="auto" w:line="240" w:before="0" w:after="0"/>
              <w:jc w:val="center"/>
              <w:rPr>
                <w:rFonts w:ascii="Franklin Gothic Book;sans-serif" w:hAnsi="Franklin Gothic Book;sans-serif"/>
                <w:b/>
                <w:color w:val="00497F"/>
                <w:sz w:val="18"/>
              </w:rPr>
            </w:pPr>
            <w:r>
              <w:rPr>
                <w:rFonts w:ascii="Franklin Gothic Book;sans-serif" w:hAnsi="Franklin Gothic Book;sans-serif"/>
                <w:b/>
                <w:color w:val="00497F"/>
                <w:sz w:val="18"/>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497F"/>
                <w:sz w:val="18"/>
              </w:rPr>
            </w:pPr>
            <w:r>
              <w:rPr>
                <w:rFonts w:ascii="Franklin Gothic Book;sans-serif" w:hAnsi="Franklin Gothic Book;sans-serif"/>
                <w:b/>
                <w:color w:val="00497F"/>
                <w:sz w:val="18"/>
              </w:rPr>
              <w:t>YTD 2026</w:t>
            </w:r>
          </w:p>
          <w:p>
            <w:pPr>
              <w:pStyle w:val="TableContents"/>
              <w:bidi w:val="0"/>
              <w:spacing w:lineRule="auto" w:line="240" w:before="0" w:after="0"/>
              <w:jc w:val="center"/>
              <w:rPr>
                <w:rFonts w:ascii="Franklin Gothic Book;sans-serif" w:hAnsi="Franklin Gothic Book;sans-serif"/>
                <w:b/>
                <w:color w:val="00497F"/>
                <w:sz w:val="18"/>
              </w:rPr>
            </w:pPr>
            <w:r>
              <w:rPr>
                <w:rFonts w:ascii="Franklin Gothic Book;sans-serif" w:hAnsi="Franklin Gothic Book;sans-serif"/>
                <w:b/>
                <w:color w:val="00497F"/>
                <w:sz w:val="18"/>
              </w:rPr>
              <w:t>vs.</w:t>
            </w:r>
          </w:p>
          <w:p>
            <w:pPr>
              <w:pStyle w:val="TableContents"/>
              <w:bidi w:val="0"/>
              <w:spacing w:lineRule="auto" w:line="240" w:before="0" w:after="0"/>
              <w:jc w:val="center"/>
              <w:rPr>
                <w:rFonts w:ascii="Franklin Gothic Book;sans-serif" w:hAnsi="Franklin Gothic Book;sans-serif"/>
                <w:b/>
                <w:color w:val="00497F"/>
                <w:sz w:val="18"/>
              </w:rPr>
            </w:pPr>
            <w:r>
              <w:rPr>
                <w:rFonts w:ascii="Franklin Gothic Book;sans-serif" w:hAnsi="Franklin Gothic Book;sans-serif"/>
                <w:b/>
                <w:color w:val="00497F"/>
                <w:sz w:val="18"/>
              </w:rPr>
              <w:t>YTD 2025</w:t>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3.4 </w:t>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2.7 </w:t>
            </w:r>
          </w:p>
        </w:tc>
        <w:tc>
          <w:tcPr>
            <w:tcW w:w="6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Less: impact of foreign currency translation and hedging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1.8 </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2.7 </w:t>
            </w:r>
          </w:p>
        </w:tc>
        <w:tc>
          <w:tcPr>
            <w:tcW w:w="6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1.6 </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497F"/>
              </w:rPr>
            </w:pPr>
            <w:r>
              <w:rPr>
                <w:color w:val="00497F"/>
              </w:rPr>
              <w:t>— </w:t>
            </w:r>
          </w:p>
        </w:tc>
        <w:tc>
          <w:tcPr>
            <w:tcW w:w="6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Total Product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2.0 </w:t>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1.8 </w:t>
            </w:r>
          </w:p>
        </w:tc>
        <w:tc>
          <w:tcPr>
            <w:tcW w:w="6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Less: impact of foreign currency translation and hedging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2.0 </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3.0 </w:t>
            </w:r>
          </w:p>
        </w:tc>
        <w:tc>
          <w:tcPr>
            <w:tcW w:w="6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497F"/>
              </w:rPr>
            </w:pPr>
            <w:r>
              <w:rPr>
                <w:color w:val="00497F"/>
              </w:rPr>
              <w:t>— </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(1.2)</w:t>
            </w:r>
          </w:p>
        </w:tc>
        <w:tc>
          <w:tcPr>
            <w:tcW w:w="6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Total MS Product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(13.0)</w:t>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(6.8)</w:t>
            </w:r>
          </w:p>
        </w:tc>
        <w:tc>
          <w:tcPr>
            <w:tcW w:w="6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Less: impact of foreign currency translation and hedging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1.4 </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2.2 </w:t>
            </w:r>
          </w:p>
        </w:tc>
        <w:tc>
          <w:tcPr>
            <w:tcW w:w="6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(14.4)</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(9.0)</w:t>
            </w:r>
          </w:p>
        </w:tc>
        <w:tc>
          <w:tcPr>
            <w:tcW w:w="6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Total Rare Disease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10.8 </w:t>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4.8 </w:t>
            </w:r>
          </w:p>
        </w:tc>
        <w:tc>
          <w:tcPr>
            <w:tcW w:w="6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Less: impact of foreign currency translation and hedging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2.0 </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3.0 </w:t>
            </w:r>
          </w:p>
        </w:tc>
        <w:tc>
          <w:tcPr>
            <w:tcW w:w="6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8.8 </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1.8 </w:t>
            </w:r>
          </w:p>
        </w:tc>
        <w:tc>
          <w:tcPr>
            <w:tcW w:w="6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Total Biosimilars Product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(15.9)</w:t>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(7.6)</w:t>
            </w:r>
          </w:p>
        </w:tc>
        <w:tc>
          <w:tcPr>
            <w:tcW w:w="6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Less: impact of foreign currency translation and hedging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4.1 </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5.6 </w:t>
            </w:r>
          </w:p>
        </w:tc>
        <w:tc>
          <w:tcPr>
            <w:tcW w:w="6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(20.0)</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(13.2)</w:t>
            </w:r>
          </w:p>
        </w:tc>
        <w:tc>
          <w:tcPr>
            <w:tcW w:w="6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Total Other Product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51.4 </w:t>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65.7 </w:t>
            </w:r>
          </w:p>
        </w:tc>
        <w:tc>
          <w:tcPr>
            <w:tcW w:w="6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Less: impact of foreign currency translation and hedging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497F"/>
              </w:rPr>
            </w:pPr>
            <w:r>
              <w:rPr>
                <w:color w:val="00497F"/>
              </w:rPr>
              <w:t>— </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0.4 </w:t>
            </w:r>
          </w:p>
        </w:tc>
        <w:tc>
          <w:tcPr>
            <w:tcW w:w="6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51.4 </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65.3 </w:t>
            </w:r>
          </w:p>
        </w:tc>
        <w:tc>
          <w:tcPr>
            <w:tcW w:w="6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Total Revenue from Anti-CD20 Therapeutic Programs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9.9 </w:t>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10.3 </w:t>
            </w:r>
          </w:p>
        </w:tc>
        <w:tc>
          <w:tcPr>
            <w:tcW w:w="6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Less: impact of foreign currency translation and hedging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0.1 </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0.1 </w:t>
            </w:r>
          </w:p>
        </w:tc>
        <w:tc>
          <w:tcPr>
            <w:tcW w:w="6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9.8 </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10.2 </w:t>
            </w:r>
          </w:p>
        </w:tc>
        <w:tc>
          <w:tcPr>
            <w:tcW w:w="6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Total Revenue from Alzheimer's Collaboration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16.0 </w:t>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40.2 </w:t>
            </w:r>
          </w:p>
        </w:tc>
        <w:tc>
          <w:tcPr>
            <w:tcW w:w="6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Less: impact of foreign currency translation and hedging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497F"/>
              </w:rPr>
            </w:pPr>
            <w:r>
              <w:rPr>
                <w:color w:val="00497F"/>
              </w:rPr>
              <w:t>— </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0.1 </w:t>
            </w:r>
          </w:p>
        </w:tc>
        <w:tc>
          <w:tcPr>
            <w:tcW w:w="6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16.0 </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40.1 </w:t>
            </w:r>
          </w:p>
        </w:tc>
        <w:tc>
          <w:tcPr>
            <w:tcW w:w="6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Total Contract Manufacturing, 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(0.9)</w:t>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(9.0)</w:t>
            </w:r>
          </w:p>
        </w:tc>
        <w:tc>
          <w:tcPr>
            <w:tcW w:w="6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Less: impact of foreign currency translation and hedging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3.6 </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4.3 </w:t>
            </w:r>
          </w:p>
        </w:tc>
        <w:tc>
          <w:tcPr>
            <w:tcW w:w="6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(4.5)</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(13.3)</w:t>
            </w:r>
          </w:p>
        </w:tc>
        <w:tc>
          <w:tcPr>
            <w:tcW w:w="6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2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9"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15</w:t>
                      </w:r>
                    </w:p>
                  </w:txbxContent>
                </v:textbox>
                <w10:wrap type="none"/>
              </v:rect>
            </w:pict>
          </mc:Fallback>
        </mc:AlternateContent>
      </w:r>
    </w:p>
    <w:p>
      <w:pPr>
        <w:pStyle w:val="TextBody"/>
        <w:bidi w:val="0"/>
        <w:spacing w:lineRule="auto" w:line="288" w:before="180" w:after="283"/>
        <w:ind w:left="0" w:right="0" w:firstLine="720"/>
        <w:jc w:val="center"/>
        <w:rPr>
          <w:rFonts w:ascii="Franklin Gothic Book;sans-serif" w:hAnsi="Franklin Gothic Book;sans-serif"/>
          <w:b/>
          <w:color w:val="1C5A7D"/>
          <w:sz w:val="24"/>
        </w:rPr>
      </w:pPr>
      <w:r>
        <w:rPr>
          <w:rFonts w:ascii="Franklin Gothic Book;sans-serif" w:hAnsi="Franklin Gothic Book;sans-serif"/>
          <w:b/>
          <w:color w:val="1C5A7D"/>
          <w:sz w:val="24"/>
        </w:rPr>
        <w:t>TABLE 4 (continued)</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GAAP TO NON-GAAP RECONCILIATION</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FREE CASH FLOW</w:t>
      </w:r>
    </w:p>
    <w:p>
      <w:pPr>
        <w:pStyle w:val="TextBody"/>
        <w:bidi w:val="0"/>
        <w:spacing w:lineRule="auto" w:line="288" w:before="0" w:after="0"/>
        <w:jc w:val="center"/>
        <w:rPr>
          <w:rFonts w:ascii="Franklin Gothic Book;sans-serif" w:hAnsi="Franklin Gothic Book;sans-serif"/>
          <w:b/>
          <w:i/>
          <w:color w:val="1C5A7D"/>
          <w:sz w:val="20"/>
        </w:rPr>
      </w:pPr>
      <w:r>
        <w:rPr>
          <w:rFonts w:ascii="Franklin Gothic Book;sans-serif" w:hAnsi="Franklin Gothic Book;sans-serif"/>
          <w:b/>
          <w:i/>
          <w:color w:val="1C5A7D"/>
          <w:sz w:val="20"/>
        </w:rPr>
        <w:t>(unaudited, in millions)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define free cash flow as net cash provided by (used in) operating activities in the period less capital expenditures made in the period. The following table reconciles net cash provided by (used in) operating activities, a GAAP measure, to free cash flow, a Non-GAAP measure.</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52"/>
        <w:gridCol w:w="944"/>
        <w:gridCol w:w="909"/>
        <w:gridCol w:w="109"/>
        <w:gridCol w:w="109"/>
        <w:gridCol w:w="109"/>
        <w:gridCol w:w="278"/>
        <w:gridCol w:w="1168"/>
        <w:gridCol w:w="134"/>
        <w:gridCol w:w="134"/>
        <w:gridCol w:w="134"/>
        <w:gridCol w:w="134"/>
        <w:gridCol w:w="278"/>
        <w:gridCol w:w="871"/>
        <w:gridCol w:w="134"/>
        <w:gridCol w:w="109"/>
        <w:gridCol w:w="109"/>
        <w:gridCol w:w="109"/>
        <w:gridCol w:w="266"/>
        <w:gridCol w:w="1114"/>
        <w:gridCol w:w="128"/>
        <w:gridCol w:w="128"/>
        <w:gridCol w:w="128"/>
        <w:gridCol w:w="128"/>
        <w:gridCol w:w="266"/>
        <w:gridCol w:w="832"/>
        <w:gridCol w:w="191"/>
      </w:tblGrid>
      <w:tr>
        <w:trPr/>
        <w:tc>
          <w:tcPr>
            <w:tcW w:w="125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For the Six Months Ended June 30,</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497F"/>
                <w:sz w:val="18"/>
              </w:rPr>
            </w:pPr>
            <w:r>
              <w:rPr>
                <w:rFonts w:ascii="Franklin Gothic Book;sans-serif" w:hAnsi="Franklin Gothic Book;sans-serif"/>
                <w:b/>
                <w:color w:val="00497F"/>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497F"/>
                <w:sz w:val="18"/>
              </w:rPr>
            </w:pPr>
            <w:r>
              <w:rPr>
                <w:rFonts w:ascii="Franklin Gothic Book;sans-serif" w:hAnsi="Franklin Gothic Book;sans-serif"/>
                <w:b/>
                <w:color w:val="00497F"/>
                <w:sz w:val="18"/>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cash provided by (used in)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1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448.9 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160.9 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1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1,094.4 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83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420.2 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cash provided by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(3,839.2)</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(57.0)</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(4,048.7)</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(104.3)</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cash provided by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1,296.0 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(11.7)</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1,252.2 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(34.7)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increase (decrease) in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1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(2,094.3)</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92.2 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1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(1,702.1)</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8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281.2 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cash provided by (used in)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1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448.9 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160.9 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1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1,094.4 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83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420.2 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Less: Purchases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40.9 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26.6 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92.1 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63.7 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1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408.0 </w:t>
            </w:r>
          </w:p>
        </w:tc>
        <w:tc>
          <w:tcPr>
            <w:tcW w:w="13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134.3 </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1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1,002.3 </w:t>
            </w:r>
          </w:p>
        </w:tc>
        <w:tc>
          <w:tcPr>
            <w:tcW w:w="1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8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356.5 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2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20"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16</w:t>
                      </w:r>
                    </w:p>
                  </w:txbxContent>
                </v:textbox>
                <w10:wrap type="none"/>
              </v:rect>
            </w:pict>
          </mc:Fallback>
        </mc:AlternateContent>
      </w:r>
    </w:p>
    <w:p>
      <w:pPr>
        <w:pStyle w:val="TextBody"/>
        <w:bidi w:val="0"/>
        <w:spacing w:lineRule="auto" w:line="288" w:before="120" w:after="283"/>
        <w:ind w:left="0" w:right="0" w:firstLine="720"/>
        <w:jc w:val="center"/>
        <w:rPr>
          <w:rFonts w:ascii="Franklin Gothic Book;sans-serif" w:hAnsi="Franklin Gothic Book;sans-serif"/>
          <w:b/>
          <w:color w:val="2573BA"/>
          <w:sz w:val="24"/>
        </w:rPr>
      </w:pPr>
      <w:r>
        <w:rPr>
          <w:rFonts w:ascii="Franklin Gothic Book;sans-serif" w:hAnsi="Franklin Gothic Book;sans-serif"/>
          <w:b/>
          <w:color w:val="2573BA"/>
          <w:sz w:val="24"/>
        </w:rPr>
        <w:t xml:space="preserve">Use of Non-GAAP Financial Measures </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supplement our GAAP consolidated financial statements and GAAP financial measures with other financial measures, such as adjusted net income, adjusted diluted earnings per share, revenue growth at constant currency, which excludes the impact of changes in foreign exchange rates and hedging gains or losses, and free cash flow, which is defined as net cash flow from operations less capital expenditures. We believe that these and other Non-GAAP financial measures provide additional insight into the ongoing economics of our business and reflect how we manage our business internally, set operational goals and form the basis of our management incentive programs. Non-GAAP financial measures are in addition to, not a substitute for, or superior to, measures of financial performance prepared in accordance with GAAP.</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“Non-GAAP net income attributable to Biogen Inc.” and “Non-GAAP earnings per share - Diluted” financial measures exclude the following items from “GAAP net income attributable to Biogen Inc.” and “GAAP earnings per share - Diluted”:</w:t>
      </w:r>
    </w:p>
    <w:p>
      <w:pPr>
        <w:pStyle w:val="TextBody"/>
        <w:bidi w:val="0"/>
        <w:spacing w:lineRule="auto" w:line="417" w:before="180" w:after="283"/>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1. Acquisitions and divestitures</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exclude transaction, integration and certain other costs related to the acquisition and divestiture of businesses/commercial assets and items associated with the initial consolidation or deconsolidation of variable interest entities. These adjustments include, but are not limited to, the amortization of inventory fair value step-up, amortization and impairment of intangible assets, charges or credits from the fair value remeasurement of our contingent consideration obligations and losses on assets and liabilities held for sale. </w:t>
      </w:r>
    </w:p>
    <w:p>
      <w:pPr>
        <w:pStyle w:val="TextBody"/>
        <w:bidi w:val="0"/>
        <w:spacing w:lineRule="auto" w:line="417" w:before="180" w:after="283"/>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2. Restructuring, business transformation and other cost saving initiatives</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exclude costs associated with our execution of certain strategies and initiatives to streamline operations, achieve targeted cost reductions, rationalize manufacturing facilities or refocus research and development activities. These costs may include employee separation costs, retention bonuses, facility closing/abandonment and exit costs, asset impairment charges or additional depreciation when the expected useful life of certain assets have been shortened due to changes in anticipated usage and other costs or credits that management believes do not have a direct correlation to our ongoing or future business operations.</w:t>
      </w:r>
    </w:p>
    <w:p>
      <w:pPr>
        <w:pStyle w:val="TextBody"/>
        <w:bidi w:val="0"/>
        <w:spacing w:lineRule="auto" w:line="417" w:before="180" w:after="283"/>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3. (Gain) loss on equity security investments</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exclude unrealized and realized gains and losses related to our equity security investments as we do not believe that these components of income or expense have a direct correlation to our ongoing or future business operations.</w:t>
      </w:r>
    </w:p>
    <w:p>
      <w:pPr>
        <w:pStyle w:val="TextBody"/>
        <w:bidi w:val="0"/>
        <w:spacing w:lineRule="auto" w:line="417" w:before="180" w:after="283"/>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4. Other items</w:t>
      </w:r>
    </w:p>
    <w:p>
      <w:pPr>
        <w:pStyle w:val="TextBody"/>
        <w:bidi w:val="0"/>
        <w:spacing w:lineRule="auto" w:line="288"/>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evaluate other items of income and expense on an individual basis and consider both the quantitative and qualitative aspects of the item, including (i) its size and nature, (ii) whether or not it relates to our ongoing business operations and (iii) whether or not we expect it to occur as part of our normal business on a regular basis. We also include an adjustment to reflect the related tax effect of all reconciling items within our reconciliation of our GAAP to Non-GAAP net income attributable to Biogen Inc. and earnings per share - diluted. </w:t>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21"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Franklin Gothic Book">
    <w:altName w:val="sans-serif"/>
    <w:charset w:val="01"/>
    <w:family w:val="auto"/>
    <w:pitch w:val="default"/>
  </w:font>
  <w:font w:name="Wingdings 3">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6956</Words>
  <Characters>39180</Characters>
  <CharactersWithSpaces>45492</CharactersWithSpaces>
  <Paragraphs>1544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