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207645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Biogen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jc w:val="center"/>
              <w:ind w:right="302"/>
              <w:spacing w:after="0"/>
              <w:rPr>
                <w:sz w:val="20"/>
                <w:szCs w:val="20"/>
                <w:color w:val="auto"/>
              </w:rPr>
            </w:pPr>
            <w:r>
              <w:rPr>
                <w:rFonts w:ascii="Times New Roman" w:cs="Times New Roman" w:eastAsia="Times New Roman" w:hAnsi="Times New Roman"/>
                <w:sz w:val="18"/>
                <w:szCs w:val="18"/>
                <w:b w:val="1"/>
                <w:bCs w:val="1"/>
                <w:color w:val="auto"/>
                <w:w w:val="99"/>
              </w:rPr>
              <w:t>0-19311</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33-0112644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jc w:val="center"/>
              <w:ind w:right="3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225 Binney Street</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679-2000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$0.0005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BIIB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CVR Agreement</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previously disclosed, on March 31, 2026, Biogen Inc., a Delaware corporation (“Biogen”), entered into an Agreement and Plan of Merger (the “Merger Agreement”) with Apellis Pharmaceuticals, Inc., a Delaware corporation (“Apellis”), and Aspen Purchaser Sub, Inc., a Delaware corporation and a wholly owned subsidiary of Biogen (“Purchaser”).</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and in connection with the irrevocable acceptance for payment by Purchaser of all outstanding shares of common stock, par value $0.0001 per share, of Apellis (the “Shares”) validly tendered and not validly withdrawn pursuant to the Offer (as defined below), on May 14, 2026, Biogen, Apellis and Equiniti Trust Company, LLC, a New York limited liability trust company, entered into a Contingent Value Rights Agreement (the “CVR Agreement”) governing the terms of the CVRs (as defined below) issued pursuant to the Offer and the Merger (as defined below).</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Each CVR represents a non-transferable contractual contingent right to receive the following cash payments, without interest and subject to reduction for any applicable tax withholding (the “Milestone Payments”) if the following milestones (each, a “Milestone”) are achieved:</w:t>
      </w:r>
    </w:p>
    <w:p>
      <w:pPr>
        <w:spacing w:after="0" w:line="67" w:lineRule="exact"/>
        <w:rPr>
          <w:sz w:val="20"/>
          <w:szCs w:val="20"/>
          <w:color w:val="auto"/>
        </w:rPr>
      </w:pPr>
    </w:p>
    <w:p>
      <w:pPr>
        <w:ind w:left="960" w:right="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per CVR, upon the achievement of Annual Net Sales (as defined in the CVR Agreement) of at least $1,500,000,000 attributable to SYFOVRE® and related products in the aggregate during the 2027, 2028, 2029 or 2030 calendar years (the “Net Sales Milestone 1”); and</w:t>
      </w:r>
    </w:p>
    <w:p>
      <w:pPr>
        <w:spacing w:after="0" w:line="67" w:lineRule="exact"/>
        <w:rPr>
          <w:rFonts w:ascii="Times New Roman" w:cs="Times New Roman" w:eastAsia="Times New Roman" w:hAnsi="Times New Roman"/>
          <w:sz w:val="18"/>
          <w:szCs w:val="18"/>
          <w:color w:val="auto"/>
        </w:rPr>
      </w:pPr>
    </w:p>
    <w:p>
      <w:pPr>
        <w:ind w:left="960" w:right="10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per CVR, upon the achievement of Annual Net Sales (as defined in the CVR Agreement) of at least $2,000,000,000 attributable to SYFOVRE® and related products in the aggregate during the 2027, 2028, 2029, 2030 or 2031 calendar years (the “Net Sales Milestone 2”), provided that if the Net Sales Milestone 1 is not met prior to December 31, 2030 but the Net Sales Milestone 2 is achieved during the 2031 calendar year, then the Net Sales Milestone 2 will be worth $4.00 per CVR.</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Each Milestone may only be achieved and paid once; if the Annual Net Sales threshold is met in multiple calendar years, only the first achievement triggers payment.</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Milestone will be achieved prior to the expiration or termination of the CVR Agreement, or that payment will be required of Biogen with respect to any Milestone.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CVR Agreement does not purport to be complete and is qualified in all respects by reference to the full text of the CVR Agreement, a copy of which is filed as Exhibit 10.1 to this Current Report on Form 8-K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Credit Agreement</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On May 12, 2026, Biogen entered into a Credit Agreement with U.S. Bank National Association (“U.S. Bank”), as administrative agent, and the lenders party thereto (the “Credit Agreement”). The Credit Agreement provides for unsecured term loan facilities in an aggregate principal amount of $2 billion (the “Term Facilities”), comprised of a $1 billion 364-day tranche (“Tranche A”) and a $1 billion two-year tranche (“Tranche B”). On May 13, 2026, in connection with the completion of the Offer and the Merger, Biogen borrowed the full amount available under the Credit Agreement.</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proceeds from the borrowings under the Term Facilities were used to pay a portion of the consideration for the Offer and the Merger and for other purposes in connection with the Transactions (as defined in the Credit Agreement).</w:t>
      </w:r>
    </w:p>
    <w:p>
      <w:pPr>
        <w:sectPr>
          <w:pgSz w:w="11900" w:h="16838" w:orient="portrait"/>
          <w:cols w:equalWidth="0" w:num="1">
            <w:col w:w="10980"/>
          </w:cols>
          <w:pgMar w:left="440" w:top="293"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Loans under the Credit Agreement are denominated in dollars. Tranche A loans bear interest at a rate per annum equal to either, at Biogen’s option,</w:t>
      </w:r>
    </w:p>
    <w:p>
      <w:pPr>
        <w:spacing w:after="0" w:line="27" w:lineRule="exact"/>
        <w:rPr>
          <w:sz w:val="20"/>
          <w:szCs w:val="20"/>
          <w:color w:val="auto"/>
        </w:rPr>
      </w:pPr>
    </w:p>
    <w:p>
      <w:pPr>
        <w:ind w:left="4" w:right="60" w:hanging="4"/>
        <w:spacing w:after="0" w:line="253" w:lineRule="auto"/>
        <w:tabs>
          <w:tab w:leader="none" w:pos="2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(as defined in the Credit Agreement), subject to a floor of 0.000% per annum, plus an applicable margin of 0.750% or (b) Base Rate (as defined in the Credit Agreement), plus an applicable margin of 0.000%. Tranche B loans bear interest at a rate per annum equal to either, at Biogen’s option, (a) Term SOFR, subject to a floor of 0.00% per annum, plus an applicable margin ranging from 0.750% to 1.000% based on the ratings of Biogen’s non-credit enhanced, senior unsecured long-term debt, as determined by S&amp;P Global Ratings and Moody’s or (b) Base Rate plus an applicable margin of 0.000%.</w:t>
      </w:r>
    </w:p>
    <w:p>
      <w:pPr>
        <w:spacing w:after="0" w:line="187"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All amounts outstanding under the Term Facility shall become due and payable (a) in the case of Tranche A, May 12, 2027 and (b) in the case of Tranche B, May 12, 2028. Under the Term Facility, voluntary prepayments are permitted, in whole or in part, in minimum amounts without premium or penalty, other than customary breakage costs.</w:t>
      </w:r>
    </w:p>
    <w:p>
      <w:pPr>
        <w:spacing w:after="0" w:line="176" w:lineRule="exact"/>
        <w:rPr>
          <w:sz w:val="20"/>
          <w:szCs w:val="20"/>
          <w:color w:val="auto"/>
        </w:rPr>
      </w:pPr>
    </w:p>
    <w:p>
      <w:pPr>
        <w:jc w:val="both"/>
        <w:ind w:left="4" w:right="380"/>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affirmative and negative covenants and events of default that are, in each case, substantially similar to the equivalent terms of that certain Credit Agreement dated as of August 12, 2024 (as amended, restated, amended and restated, supplemented and/or otherwise modified prior to the date hereof), among Biogen, the lenders party thereto and Bank of America, N.A., as administrative agent.</w:t>
      </w:r>
    </w:p>
    <w:p>
      <w:pPr>
        <w:spacing w:after="0" w:line="180"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Credit Agreement also includes a financial covenant requiring Biogen to maintain, as of the end of each fiscal quarter, a maximum consolidated leverage ratio of 3.75 to 1.0 (which shall be temporarily increased, at the option of Biogen, to 4.25 to 1.0 upon notice by Biogen to U.S. Bank as a result of other material acquisitions from time to time, subject to customary limitations).</w:t>
      </w:r>
    </w:p>
    <w:p>
      <w:pPr>
        <w:spacing w:after="0" w:line="176"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A copy of the Credit Agreement is attached hereto as Exhibit 10.2 and is incorporated herein by reference. The foregoing description of the Credit Agreement does not purport to be complete and is qualified in its entirety by reference to the full text of the Credit Agreement.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Merger Agreement, on April 14, 2026, Purchaser commenced a tender offer (the “Offer”) to acquire any and all of the issued and outstanding Shares, in exchange for (i) $41.00 per Share, net to the seller in cash, without interest and subject to reduction for any applicable tax withholding (the “Cash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one contractual, non-transferable contingent value right per Share (each, a “CVR”) representing the right to receive contingent cash payments of up to an aggregate of $4.00 in cash, without interest and subject to reduction for any applicable tax withholding, upon the achievement of certain specified milestones (the Cash Amount plus one CVR, collectively, the “Offer Price”), upon the terms and subject to the conditions set forth in the Offer to Purchase, dated April 14, 2026 (as amended or supplemented from time to time, the “Offer to Purchase”) and in the related Letter of Transmittal.</w:t>
      </w:r>
    </w:p>
    <w:p>
      <w:pPr>
        <w:spacing w:after="0" w:line="18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On May 14, 2026, Biogen announced that the Offer and related withdrawal rights expired as scheduled at one minute after 11:59 p.m., Eastern Time, on May 13, 2026 (the “Expiration Time”) and that immediately prior to the Expiration Time, based on the information provided by the depositary for the Offer, a total of 105,687,831 Shares were validly tendered (and not validly withdrawn) pursuant to the Offer, representing approximately 82.4% of the Shares outstanding immediately prior to the Expiration Time. The number of Shares validly tendered (and not validly withdrawn) pursuant to the Offer (excluding Shares tendered pursuant to guaranteed delivery procedures that have not yet been “received”, as such term is defined by Section 251(h)(6)(f) of the General Corporation Law of the State of Delaware (the “DGCL”)), together with any Shares beneficially owned by Biogen or any of its subsidiaries, satisfied the Minimum Condition (as defined in the Offer to Purchase), and all other conditions to the consummation of the Offer having been satisfied or waived, on May 14, 2026, Purchaser irrevocably accepted for payment all Shares that were validly tendered (and not validly withdrawn) pursuant to the Offer, and payment for such Shares will be made promptly in accordance with the terms of the Offer and the Merger Agreement.</w:t>
      </w:r>
    </w:p>
    <w:p>
      <w:pPr>
        <w:sectPr>
          <w:pgSz w:w="11900" w:h="16838" w:orient="portrait"/>
          <w:cols w:equalWidth="0" w:num="1">
            <w:col w:w="11004"/>
          </w:cols>
          <w:pgMar w:left="436" w:top="297" w:right="459" w:bottom="1440" w:gutter="0" w:footer="0" w:header="0"/>
        </w:sectPr>
      </w:pPr>
    </w:p>
    <w:bookmarkStart w:id="3" w:name="page4"/>
    <w:bookmarkEnd w:id="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Following the completion of the Offer, the remaining conditions to the Merger (as defined below) set forth in the Merger Agreement were satisfied or waived, and on May 14, 2026, pursuant to the terms of the Merger Agreement, Purchaser merged with and into Apellis, without a vote of the stockholders of Apellis in accordance with Section 251(h) of the DGCL, with Apellis continuing as the surviving corporation of the Merger (the “Surviving Corporation”) and as a wholly owned subsidiary of Biogen (the “Merger”, and the date and time at which the Merger became effective is referred to as the “Effective Time”). Pursuant to the Merger Agreement, at the Effective Time, each Share (other than Shares that were (i) held in the treasury of Apellis, (ii) irrevocably accepted for purchase in the Offer by Purchaser and “received” (as such term is defined by Section 251(h)(6)(f) of the DGCL) by Purchaser, (iii) held by Biogen, Purchaser or any other wholly owned subsidiary of Biogen as of both the commencement of the Offer and immediately prior to the Effective Time and (iv) held by stockholders who were entitled to, and properly demanded, appraisal for such Shares in accordance with Section 262 of the DGCL) was cancelled and converted into the right to receive the Offer Price without interest, subject to reduction for any applicable withholding taxes (the “Merger Consideration”).</w:t>
      </w:r>
    </w:p>
    <w:p>
      <w:pPr>
        <w:spacing w:after="0" w:line="194"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17"/>
          <w:szCs w:val="17"/>
          <w:color w:val="auto"/>
        </w:rPr>
        <w:t>Pursuant to the terms of the Merger Agreement, effective as of immediately prior to the Effective Time, any outstanding and unexercised warrant to purchase Shares (each, an “Apellis Warrant”) was deemed to be exercised in full in a “cashless exercise” pursuant to its terms, and any Shares issued upon such deemed cashless exercise were automatically converted into the right to receive the Merger Consideration, without interest and subject to applicable withholding taxes. Apellis has confirmed that, as of immediately prior to the Effective Time, no Apellis Warrants were outstanding.</w:t>
      </w:r>
    </w:p>
    <w:p>
      <w:pPr>
        <w:spacing w:after="0" w:line="16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At the Effective Time, subject to all required withholding taxes and with each CVR payable in accordance with the CVR Agreement, each outstanding Apellis equity award was treated as follows: (i) each option to purchase Shares (each, an “Apellis Option”) that had vested as of immediately prior to the Expiration Time (including any Apellis Option that vested as a result of the transactions) with an exercise price less than the Cash Amount was automatically cancelled and converted into the right to receive from the Surviving Corporation a cash payment equal to the product of the total number of Shares underlying such vested Apellis Option multiplied by the excess of the Cash Amount over the exercise price per Share of such vested Apellis Option, plus one CVR per Share underlying such vested Apellis Option; (ii) each vested Apellis Option with an exercise price equal to or greater than the Cash Amount but less than the Aggregate Amount (as defined in the Merger Agreement) was cancelled and converted into the right to receive one CVR per Share underlying such vested Apellis Option (with any Milestone Payment reduced by the excess, if any, of the applicable exercise price per Share over the Cash Amount, as set forth in the CVR Agreement); (iii) each Apellis Option with an exercise price equal to or greater than the Aggregate Amount was cancelled for no consideration; (iv) each unvested Apellis Option was cancelled and converted into a contingent right to receive the same consideration as a comparably priced vested Apellis Option (including the right to receive one CVR per Share underlying such unvested Apellis Option, subject to the terms of the CVR Agreement), payable in cash, subject to the holder’s continued service through the applicable vesting dates and otherwise subject to the same terms and conditions (including any double-trigger vesting provisions, as extended under the terms of the Merger Agreement) as the original award; (v) each award of restricted stock units with respect to Shares (each, an “Apellis RSU”), including awards subject to both a time-based and performance-based vesting schedule (each, an “Apellis PSU”), that had vested as of immediately prior to the Expiration Time was automatically cancelled and converted into the right to receive a cash payment equal to the product of the total number of Shares underlying such vested Apellis RSU or vested Apellis PSU multiplied by the Cash Amount, plus one CVR per Share underlying such vested Apellis RSU or vested Apellis PSU; and (vi) each unvested Apellis RSU and unvested Apellis PSU was cancelled and converted into the contingent right to receive the same consideration as a vested award of the same type (including the right to receive one CVR per Share underlying such unvested Apellis RSU and unvested Apellis PSU, subject to the terms of the CVR Agreement), subject to the holder’s continued service through the applicable vesting dates (in the case of Apellis PSUs, through the end of the applicable performance period) and otherwise subject to the same terms and conditions (including any double-trigger vesting provisions, as extended under the terms of the Merger Agreement, but, in the case of Apellis PSUs, no longer subject to performance-based vesting conditions) as the original award. The number of Shares underlying each Apellis PSU was determined based on (A) actual performance as determined by the Compensation Committee of the Apellis Board as of the latest practicable date prior to the Effective Time with respect to total stockholder return-based Apellis PSUs granted in January 2026 and (B) the target performance levels for all other Apellis PSUs.</w:t>
      </w:r>
    </w:p>
    <w:p>
      <w:pPr>
        <w:sectPr>
          <w:pgSz w:w="11900" w:h="16838" w:orient="portrait"/>
          <w:cols w:equalWidth="0" w:num="1">
            <w:col w:w="11000"/>
          </w:cols>
          <w:pgMar w:left="440" w:top="297" w:right="459" w:bottom="1440" w:gutter="0" w:footer="0" w:header="0"/>
        </w:sectPr>
      </w:pPr>
    </w:p>
    <w:bookmarkStart w:id="4" w:name="page5"/>
    <w:bookmarkEnd w:id="4"/>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aggregate amount to be paid by Purchaser in the Offer and the Merger is approximately $5.3 billion, excluding related fees and expenses and, for the avoidance of doubt, any amounts that may become payable pursuant to the CVRs. Biogen and Purchaser will fund the acquisition of the Shares in the Offer and the Merger through a combination of cash and borrowings. Biogen estimates it would need approximately $582 million to pay the maximum aggregate amount that the holders of CVRs (including holders of certain Apellis Options, Apellis RSUs, Apellis PSUs and Apellis Warrants who received CVRs pursuant to the Merger Agreement) would be entitled to if all of the Milestones are achieved.</w:t>
      </w:r>
    </w:p>
    <w:p>
      <w:pPr>
        <w:spacing w:after="0" w:line="183"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related transactions does not purport to be complete and is qualified in its entirety by reference to the full text of the Merger Agreement, a copy of which was filed as Exhibit 2.1 to the Current Report on Form 8-K filed by Biogen on March 31, 2026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May 14, 2026, Biogen issued a press release announcing, among other things, the consummation of the Merger. A copy of the press release is attached hereto as Exhibit 99.1 and is incorporated herein by reference.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in Exhibit 99.1 of this Current Report on Form 8-K shall not be deemed “filed” for purposes of Section 18 of the Securities Exchange Act of 1934, as amended (the “Exchange Act”), or otherwise subject to the liabilities of that section, nor shall it be incorporated by reference into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of businesses acquired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Apellis for the fiscal year ended December 31, 2025 are incorporated herein by reference to Apellis’s Annual Report on Form 10-K for the fiscal year ended December 31, 2025, filed with the Securities and Exchange Commission (the “SEC”) on February 24, 2026.</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Apellis for the quarterly period ended March 31, 2026 are incorporated herein by reference to Apellis’s Quarterly Report on Form 10-Q for the quarterly period ended March 31, 2026, filed with the SEC on May 7,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unaudited pro forma financial information required by this Item 9.01(b) will be filed by amendment to this Current Report on Form 8-K no later than 71 calendar days after the date on which this Current Report on Form 8-K is required to be filed.</w:t>
      </w:r>
    </w:p>
    <w:p>
      <w:pPr>
        <w:sectPr>
          <w:pgSz w:w="11900" w:h="16838" w:orient="portrait"/>
          <w:cols w:equalWidth="0" w:num="1">
            <w:col w:w="10940"/>
          </w:cols>
          <w:pgMar w:left="440" w:top="297" w:right="51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 Exhibits.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4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tcPr>
          <w:p>
            <w:pPr>
              <w:spacing w:after="0"/>
              <w:rPr>
                <w:sz w:val="24"/>
                <w:szCs w:val="24"/>
                <w:color w:val="auto"/>
              </w:rPr>
            </w:pPr>
          </w:p>
        </w:tc>
        <w:tc>
          <w:tcPr>
            <w:tcW w:w="9460" w:type="dxa"/>
            <w:vAlign w:val="bottom"/>
            <w:gridSpan w:val="12"/>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Agreement and Plan of Merger, dated as of March 31, 2026, by and among Apellis Pharmaceuticals, Inc., Biogen Inc. and Aspen</w:t>
              </w:r>
            </w:hyperlink>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Purchaser Sub, Inc. (incorporated herein by reference to Exhibit 2.1 of the Current Report on Form 8-K filed by Biogen with the</w:t>
              </w:r>
            </w:hyperlink>
          </w:p>
        </w:tc>
        <w:tc>
          <w:tcPr>
            <w:tcW w:w="18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SEC on March 31, 2026).</w:t>
              </w:r>
              <w:r>
                <w:rPr>
                  <w:rFonts w:ascii="Times New Roman" w:cs="Times New Roman" w:eastAsia="Times New Roman" w:hAnsi="Times New Roman"/>
                  <w:sz w:val="11"/>
                  <w:szCs w:val="11"/>
                  <w:color w:val="0000EE"/>
                </w:rPr>
                <w:t>†</w:t>
              </w:r>
            </w:hyperlink>
          </w:p>
        </w:tc>
        <w:tc>
          <w:tcPr>
            <w:tcW w:w="220" w:type="dxa"/>
            <w:vAlign w:val="bottom"/>
            <w:gridSpan w:val="5"/>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24"/>
                <w:szCs w:val="24"/>
                <w:color w:val="auto"/>
              </w:rPr>
            </w:pPr>
          </w:p>
        </w:tc>
        <w:tc>
          <w:tcPr>
            <w:tcW w:w="93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Contingent Value Rights Agreement, dated as of May 14, 2026, by and among Biogen, Apellis and Equiniti Trust Company, LLC.</w:t>
            </w:r>
          </w:p>
        </w:tc>
        <w:tc>
          <w:tcPr>
            <w:tcW w:w="80" w:type="dxa"/>
            <w:vAlign w:val="bottom"/>
            <w:gridSpan w:val="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20" w:type="dxa"/>
            <w:vAlign w:val="bottom"/>
          </w:tcPr>
          <w:p>
            <w:pPr>
              <w:spacing w:after="0"/>
              <w:rPr>
                <w:sz w:val="24"/>
                <w:szCs w:val="24"/>
                <w:color w:val="auto"/>
              </w:rPr>
            </w:pPr>
          </w:p>
        </w:tc>
        <w:tc>
          <w:tcPr>
            <w:tcW w:w="9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Credit Agreement, dated as of May 12, 2026, by and among Biogen, U.S. Bank National Association and the lenders party thereto.</w:t>
            </w:r>
          </w:p>
        </w:tc>
        <w:tc>
          <w:tcPr>
            <w:tcW w:w="40" w:type="dxa"/>
            <w:vAlign w:val="bottom"/>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Press Release issued by Biogen, dated May 14, 2026.</w:t>
            </w:r>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20" w:type="dxa"/>
            <w:vAlign w:val="bottom"/>
          </w:tcPr>
          <w:p>
            <w:pPr>
              <w:spacing w:after="0"/>
              <w:rPr>
                <w:sz w:val="24"/>
                <w:szCs w:val="24"/>
                <w:color w:val="auto"/>
              </w:rPr>
            </w:pPr>
          </w:p>
        </w:tc>
        <w:tc>
          <w:tcPr>
            <w:tcW w:w="94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Audited consolidated financial statements of Apellis for the fiscal year ended December 31, 2025 (incorporated herein by reference</w:t>
              </w:r>
            </w:hyperlink>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to Apellis’s Annual Report on Form 10-K for the fiscal year ended December 31, 2025, filed with the SEC on February 24, 2026).</w:t>
              </w:r>
            </w:hyperlink>
          </w:p>
        </w:tc>
        <w:tc>
          <w:tcPr>
            <w:tcW w:w="80" w:type="dxa"/>
            <w:vAlign w:val="bottom"/>
            <w:gridSpan w:val="3"/>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720" w:type="dxa"/>
            <w:vAlign w:val="bottom"/>
          </w:tcPr>
          <w:p>
            <w:pPr>
              <w:spacing w:after="0"/>
              <w:rPr>
                <w:sz w:val="24"/>
                <w:szCs w:val="24"/>
                <w:color w:val="auto"/>
              </w:rPr>
            </w:pPr>
          </w:p>
        </w:tc>
        <w:tc>
          <w:tcPr>
            <w:tcW w:w="9460" w:type="dxa"/>
            <w:vAlign w:val="bottom"/>
            <w:gridSpan w:val="12"/>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Unaudited condensed consolidated financial statements of Apellis for the quarterly period ended March 31, 2026 (incorporated</w:t>
              </w:r>
            </w:hyperlink>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900" w:type="dxa"/>
            <w:vAlign w:val="bottom"/>
            <w:gridSpan w:val="5"/>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60" w:type="dxa"/>
            <w:vAlign w:val="bottom"/>
            <w:gridSpan w:val="12"/>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herein by reference to Apellis’s Quarterly Report on Form 10-Q for the quarterly period ended March 31, 2026, filed with the SEC</w:t>
              </w:r>
            </w:hyperlink>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on May 7, 2026).</w:t>
              </w:r>
            </w:hyperlink>
          </w:p>
        </w:tc>
        <w:tc>
          <w:tcPr>
            <w:tcW w:w="6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220" w:type="dxa"/>
            <w:vAlign w:val="bottom"/>
            <w:gridSpan w:val="11"/>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224" w:right="100" w:hanging="224"/>
        <w:spacing w:after="0" w:line="282" w:lineRule="auto"/>
        <w:tabs>
          <w:tab w:leader="none" w:pos="224"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Certain exhibits and schedules have been omitted pursuant to Item 601(b)(2) of Regulation S-K. Biogen hereby undertakes to furnish supplemental copies of any of the omitted exhibits and schedules upon request by the SEC.</w:t>
      </w:r>
    </w:p>
    <w:p>
      <w:pPr>
        <w:sectPr>
          <w:pgSz w:w="11900" w:h="16838" w:orient="portrait"/>
          <w:cols w:equalWidth="0" w:num="1">
            <w:col w:w="10904"/>
          </w:cols>
          <w:pgMar w:left="436" w:top="293" w:right="559" w:bottom="1440" w:gutter="0" w:footer="0" w:header="0"/>
        </w:sectPr>
      </w:pPr>
    </w:p>
    <w:bookmarkStart w:id="6" w:name="page7"/>
    <w:bookmarkEnd w:id="6"/>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Wendell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Wendell Taylor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Secretary</w:t>
      </w:r>
    </w:p>
    <w:p>
      <w:pPr>
        <w:sectPr>
          <w:pgSz w:w="11900" w:h="16838" w:orient="portrait"/>
          <w:cols w:equalWidth="0" w:num="1">
            <w:col w:w="10260"/>
          </w:cols>
          <w:pgMar w:left="440" w:top="293" w:right="11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CONTINGENT VALUE RIGHTS AGREEMENT</w:t>
      </w:r>
    </w:p>
    <w:p>
      <w:pPr>
        <w:spacing w:after="0" w:line="229"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THIS CONTINGENT VALUE RIGHTS AGREEMENT, dated as of May 14,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Biogen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Apellis Pharmaceuticals, Inc., a Delaware corporation (together with any successor thereto,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Equiniti Trust Company, LLC, a New York limited liability trust company, as Rights Agent.</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 w:right="80" w:firstLine="440"/>
        <w:spacing w:after="0" w:line="270" w:lineRule="auto"/>
        <w:rPr>
          <w:sz w:val="20"/>
          <w:szCs w:val="20"/>
          <w:color w:val="auto"/>
        </w:rPr>
      </w:pPr>
      <w:r>
        <w:rPr>
          <w:rFonts w:ascii="Times New Roman" w:cs="Times New Roman" w:eastAsia="Times New Roman" w:hAnsi="Times New Roman"/>
          <w:sz w:val="17"/>
          <w:szCs w:val="17"/>
          <w:color w:val="auto"/>
        </w:rPr>
        <w:t>WHEREAS, the Parent, Aspen Purchaser Sub, Inc., a Delaware corporation and a wholly owned subsidiary of the Parent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and the Company have entered into an Agreement and Plan of Merger dated as of March 31, 2026 (as it may be amended or supplemented from time to time pursuant to the terms thereof,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pursuant to which (a) the Parent has agreed to cause Purchaser to commence a tender offer (the “</w:t>
      </w:r>
      <w:r>
        <w:rPr>
          <w:rFonts w:ascii="Times New Roman" w:cs="Times New Roman" w:eastAsia="Times New Roman" w:hAnsi="Times New Roman"/>
          <w:sz w:val="17"/>
          <w:szCs w:val="17"/>
          <w:u w:val="single" w:color="auto"/>
          <w:color w:val="auto"/>
        </w:rPr>
        <w:t>Offer</w:t>
      </w:r>
      <w:r>
        <w:rPr>
          <w:rFonts w:ascii="Times New Roman" w:cs="Times New Roman" w:eastAsia="Times New Roman" w:hAnsi="Times New Roman"/>
          <w:sz w:val="17"/>
          <w:szCs w:val="17"/>
          <w:color w:val="auto"/>
        </w:rPr>
        <w:t>”) to acquire all of the outstanding shares of common stock, $0.0001 par value per share, of the Company (the “</w:t>
      </w:r>
      <w:r>
        <w:rPr>
          <w:rFonts w:ascii="Times New Roman" w:cs="Times New Roman" w:eastAsia="Times New Roman" w:hAnsi="Times New Roman"/>
          <w:sz w:val="17"/>
          <w:szCs w:val="17"/>
          <w:u w:val="single" w:color="auto"/>
          <w:color w:val="auto"/>
        </w:rPr>
        <w:t>Company Common Stock</w:t>
      </w:r>
      <w:r>
        <w:rPr>
          <w:rFonts w:ascii="Times New Roman" w:cs="Times New Roman" w:eastAsia="Times New Roman" w:hAnsi="Times New Roman"/>
          <w:sz w:val="17"/>
          <w:szCs w:val="17"/>
          <w:color w:val="auto"/>
        </w:rPr>
        <w:t>”), and</w:t>
      </w:r>
    </w:p>
    <w:p>
      <w:pPr>
        <w:spacing w:after="0" w:line="3" w:lineRule="exact"/>
        <w:rPr>
          <w:sz w:val="20"/>
          <w:szCs w:val="20"/>
          <w:color w:val="auto"/>
        </w:rPr>
      </w:pPr>
    </w:p>
    <w:p>
      <w:pPr>
        <w:ind w:left="4" w:right="60" w:hanging="4"/>
        <w:spacing w:after="0" w:line="260"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consummation of the Offer, Purchaser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 owned subsidiary of the Parent, all upon the terms and subject to the conditions set forth in the Merger Agreement; and</w:t>
      </w:r>
    </w:p>
    <w:p>
      <w:pPr>
        <w:spacing w:after="0" w:line="181"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WHEREAS, pursuant to the Merger Agreement, Parent has agreed that each outstanding share of Company Common Stock (other than shares to be cancelled in accordance with Section 2.6(b) of the Merger Agreement and Dissenting Shares) will convert into the right to receive (i) the Cash Amount and (ii) one (1) contractual contingent value right as hereinafter described, and that certain Company Equity Awards and Company Warrants will convert into the right to receive the Cash Amount and contractual contingent value rights as hereinafter described, each of which the Parent has agreed to provide to the Company’s stockholders and such holders of Company Equity Awards and Company Warrants, as applicable; and</w:t>
      </w:r>
    </w:p>
    <w:p>
      <w:pPr>
        <w:spacing w:after="0" w:line="183"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consummation of the transactions referred to above, the parties hereto agree, for the equal and proportionate benefit of all Holders, as follows:</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DEFINITIONS; CERTAIN RULES OF CONSTRUCTION</w:t>
      </w:r>
    </w:p>
    <w:p>
      <w:pPr>
        <w:spacing w:after="0" w:line="203"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Terms used but not otherwise defined herein will have the meanings ascribed to them in the Merger Agreement. As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Agreement, the following terms will have the following meanings:</w:t>
      </w:r>
    </w:p>
    <w:p>
      <w:pPr>
        <w:spacing w:after="0" w:line="159"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Methodology</w:t>
      </w:r>
      <w:r>
        <w:rPr>
          <w:rFonts w:ascii="Times New Roman" w:cs="Times New Roman" w:eastAsia="Times New Roman" w:hAnsi="Times New Roman"/>
          <w:sz w:val="18"/>
          <w:szCs w:val="18"/>
          <w:color w:val="auto"/>
        </w:rPr>
        <w:t>” means the accounting methods, practices and procedures, including revenue recognition policies, used to prepare the consolidated financial statements (including, in each case, any notes thereto) contained in the Annual Report on Form 10-K filed by the Parent with respect to the applicable Calendar Year.</w:t>
      </w:r>
    </w:p>
    <w:p>
      <w:pPr>
        <w:sectPr>
          <w:pgSz w:w="11900" w:h="16838" w:orient="portrait"/>
          <w:cols w:equalWidth="0" w:num="1">
            <w:col w:w="11024"/>
          </w:cols>
          <w:pgMar w:left="436" w:top="117" w:right="439" w:bottom="1440" w:gutter="0" w:footer="0" w:header="0"/>
        </w:sectPr>
      </w:pPr>
    </w:p>
    <w:bookmarkStart w:id="8" w:name="page9"/>
    <w:bookmarkEnd w:id="8"/>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Acting Holders</w:t>
      </w:r>
      <w:r>
        <w:rPr>
          <w:rFonts w:ascii="Times New Roman" w:cs="Times New Roman" w:eastAsia="Times New Roman" w:hAnsi="Times New Roman"/>
          <w:sz w:val="18"/>
          <w:szCs w:val="18"/>
          <w:color w:val="auto"/>
        </w:rPr>
        <w:t>” means, at the time of determination, Holders of at least thirty-two and a half percent (32.5%) of the outstanding CVRs, as set forth in the CVR Register at the time of determination.</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Net Sales</w:t>
      </w:r>
      <w:r>
        <w:rPr>
          <w:rFonts w:ascii="Times New Roman" w:cs="Times New Roman" w:eastAsia="Times New Roman" w:hAnsi="Times New Roman"/>
          <w:sz w:val="18"/>
          <w:szCs w:val="18"/>
          <w:color w:val="auto"/>
        </w:rPr>
        <w:t xml:space="preserve">” means the net product revenue worldwide recognized by members of the Product Rights Group for a Calendar Year attributable to sales of the Product (excluding any sales to other members of the Product Rights Group), as determined in accordance with GAAP, consistent with the Accounting Methodology;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or the Accounting Methodology, Annual Net Sales shall not be decreased by any royalty payments, product or sales milestone payments or license payments, in each case, paid by any member of the Product Rights Group.</w:t>
      </w:r>
    </w:p>
    <w:p>
      <w:pPr>
        <w:spacing w:after="0" w:line="183"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and operations of the Company and its Subsidiaries in connection with the commercialization and exploitation of the Product, including such business and operations conducted as of the date of this Agreement and any and all rights to commercialize and exploit the Product held by the Company or any of its Subsidiaries as of the date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Sunday) on which banks are open in New York, New York.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Calendar Year</w:t>
      </w:r>
      <w:r>
        <w:rPr>
          <w:rFonts w:ascii="Times New Roman" w:cs="Times New Roman" w:eastAsia="Times New Roman" w:hAnsi="Times New Roman"/>
          <w:sz w:val="18"/>
          <w:szCs w:val="18"/>
          <w:color w:val="auto"/>
        </w:rPr>
        <w:t>” means each successive period of twelve (12) months commencing on January 1 and ending on December 31.</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with respect to a party, (a) a sale or other disposition of all or substantially all of the assets of such party, as applicable, on a consolidated basis (other than to any Subsidiary (direct or indirect) of such party), (b) a merger or consolidation involving such party in which it is not the surviving entity unless the stockholders of such party immediately prior to such transaction own or hold 50% or more of such surviving entity’s voting power immediately after such transaction and in substantially the same proportions as such stockholders owned or held immediately prior to such transaction or with substantially the same control or (c) any other transaction involving such party in which it is the surviving or continuing entity but in which the stockholders of such party immediately prior to such transaction own less than 50% of such party’s voting power immediately after the transaction.</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Commercially Diligent Efforts</w:t>
      </w:r>
      <w:r>
        <w:rPr>
          <w:rFonts w:ascii="Times New Roman" w:cs="Times New Roman" w:eastAsia="Times New Roman" w:hAnsi="Times New Roman"/>
          <w:sz w:val="18"/>
          <w:szCs w:val="18"/>
          <w:color w:val="auto"/>
        </w:rPr>
        <w:t>” means the level of efforts of Parent and its Subsidiaries to operate the Business in the ordinary course of business and in a good-faith, diligent and sustained manner, without undue interruption, pause or delay, including a level of effort and expenditure of resources that is consistent with the level of efforts that a company of comparable size, nature and resources as those of the Parent would use to conduct the Business, including by maintaining an appropriate sales force/work force in the Business, with the Parent permitted to take into account the nature of efforts and cost required for the undertaking at stake and all factors reasonably deemed relevant to such operation, including the time and cost to commercialize the Product, product safety, regulatory requirements, the competitiveness of alternative third-party products, pricing, reimbursement, future revenue prospects, actual or reasonably anticipated profitability, potential third-party liability and litigation risk, and technical, commercial, legal, scientific and medical factors, in each case, based on then-existing and reasonably anticipated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9" w:name="page10"/>
    <w:bookmarkEnd w:id="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future conditions;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level of efforts and resources shall be determined without taking into account the fact of or the cost of any potential Milestone Payment Amounts payable in accordance with the terms of this Agreement. For the avoidance of doubt, “Commercially Diligent Efforts” does not mean that Parent guarantees that it will actually achieve a Milestone and a failure to achieve a Milestone may still be consistent with Commercially Diligent Efforts.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Company RSU Awards and Company Stock Options.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Compound</w:t>
      </w:r>
      <w:r>
        <w:rPr>
          <w:rFonts w:ascii="Times New Roman" w:cs="Times New Roman" w:eastAsia="Times New Roman" w:hAnsi="Times New Roman"/>
          <w:sz w:val="18"/>
          <w:szCs w:val="18"/>
          <w:color w:val="auto"/>
        </w:rPr>
        <w:t>” means the compound known as APL-2 (pegcetacoplan) or any compstatin analogue or derivative of such compound.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CVRs</w:t>
      </w:r>
      <w:r>
        <w:rPr>
          <w:rFonts w:ascii="Times New Roman" w:cs="Times New Roman" w:eastAsia="Times New Roman" w:hAnsi="Times New Roman"/>
          <w:sz w:val="18"/>
          <w:szCs w:val="18"/>
          <w:color w:val="auto"/>
        </w:rPr>
        <w:t>” means the rights of Holders to receive contingent cash payments pursuant to the Merger Agreement and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or any successor thereto.</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CVR</w:t>
      </w:r>
      <w:r>
        <w:rPr>
          <w:rFonts w:ascii="Times New Roman" w:cs="Times New Roman" w:eastAsia="Times New Roman" w:hAnsi="Times New Roman"/>
          <w:sz w:val="18"/>
          <w:szCs w:val="18"/>
          <w:color w:val="auto"/>
        </w:rPr>
        <w:t>” means a CVR received by an initial Holder in respect of Company Equity Awards pursuant to Section 2.9 of the Merger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person in whose name a CVR is registered in the CVR Register at the applicable time.</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means an independent certified public accounting firm of nationally recognized standing designated either (a) jointly by the Acting Holders and the Parent, or (b) if such parties fail to make a designation, jointly by an independent public accounting firm selected by the Parent and an independent public accounting firm selected by the Acting 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means each of the Net Sales Milestone 1 and the Net Sales Milestone 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 Amount</w:t>
      </w:r>
      <w:r>
        <w:rPr>
          <w:rFonts w:ascii="Times New Roman" w:cs="Times New Roman" w:eastAsia="Times New Roman" w:hAnsi="Times New Roman"/>
          <w:sz w:val="18"/>
          <w:szCs w:val="18"/>
          <w:color w:val="auto"/>
        </w:rPr>
        <w:t>” means (a) with respect to the Net Sales Milestone 1, the Net Sales Milestone 1 Payment Amount, if any, and (b) with respect to the Net Sales Milestone 2, the Net Sales Milestone 2 Payment Amount, if any.</w:t>
      </w:r>
    </w:p>
    <w:p>
      <w:pPr>
        <w:spacing w:after="0" w:line="162"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53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0"/>
          </w:cols>
          <w:pgMar w:left="440" w:top="268" w:right="619" w:bottom="1440" w:gutter="0" w:footer="0" w:header="0"/>
        </w:sectPr>
      </w:pPr>
    </w:p>
    <w:bookmarkStart w:id="10" w:name="page11"/>
    <w:bookmarkEnd w:id="10"/>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Net Sales Milestone 1</w:t>
      </w:r>
      <w:r>
        <w:rPr>
          <w:rFonts w:ascii="Times New Roman" w:cs="Times New Roman" w:eastAsia="Times New Roman" w:hAnsi="Times New Roman"/>
          <w:sz w:val="18"/>
          <w:szCs w:val="18"/>
          <w:color w:val="auto"/>
        </w:rPr>
        <w:t>” means the first achievement of Annual Net Sales of at least $1,500,000,000 in the aggregate during any Calendar Year ending December 31, 2027, December 31, 2028, December 31, 2029 or December 31, 2030.</w:t>
      </w:r>
    </w:p>
    <w:p>
      <w:pPr>
        <w:spacing w:after="0" w:line="160"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 Milestone 1 Payment Amount</w:t>
      </w:r>
      <w:r>
        <w:rPr>
          <w:rFonts w:ascii="Times New Roman" w:cs="Times New Roman" w:eastAsia="Times New Roman" w:hAnsi="Times New Roman"/>
          <w:sz w:val="18"/>
          <w:szCs w:val="18"/>
          <w:color w:val="auto"/>
        </w:rPr>
        <w:t xml:space="preserve">” means $2 per CVR;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amount will be reduced (not to below zero) in respect of an Equity Award CVR issued in respect of a Company Stock Option with an exercise price that is equal to or greater than the Cash Amount by the excess, if any, of the exercise price per Share of such Company Stock Option over the Cash Amount.</w:t>
      </w:r>
    </w:p>
    <w:p>
      <w:pPr>
        <w:spacing w:after="0" w:line="17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 Milestone 2</w:t>
      </w:r>
      <w:r>
        <w:rPr>
          <w:rFonts w:ascii="Times New Roman" w:cs="Times New Roman" w:eastAsia="Times New Roman" w:hAnsi="Times New Roman"/>
          <w:sz w:val="18"/>
          <w:szCs w:val="18"/>
          <w:color w:val="auto"/>
        </w:rPr>
        <w:t>” means the first achievement of Annual Net Sales of at least $2,000,000,000 in the aggregate during any Calendar Year ending December 31, 2027, December 31, 2028, December 31, 2029, December 31, 2030 or December 31, 2031.</w:t>
      </w:r>
    </w:p>
    <w:p>
      <w:pPr>
        <w:spacing w:after="0" w:line="16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 Milestone 2 Payment Amount</w:t>
      </w:r>
      <w:r>
        <w:rPr>
          <w:rFonts w:ascii="Times New Roman" w:cs="Times New Roman" w:eastAsia="Times New Roman" w:hAnsi="Times New Roman"/>
          <w:sz w:val="18"/>
          <w:szCs w:val="18"/>
          <w:color w:val="auto"/>
        </w:rPr>
        <w:t xml:space="preserve">” means $2 per CVR;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Net Sales Milestone 1 is not met prior to December 31, 2030, then the Net Sales Milestone 2 Payment Amount if the Net Sales Milestone 2 is achieved during the Calendar Year ending December 31, 2031 shall instead be $4 per CVR;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amount will be reduced (not to below zero) in respect of an Equity Award CVR issued in respect of a Company Stock Option with an exercise price that is equal to or greater than the Cash Amount by the result of (a) the excess, if any, of the exercise price per Share of such Company Stock Option over the Cash Amount minus (b) the amount of any reduction made pursuant to the proviso in the definition of “Net Sales Milestone 1 Payment Amount”.</w:t>
      </w:r>
    </w:p>
    <w:p>
      <w:pPr>
        <w:spacing w:after="0" w:line="184"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 Statement</w:t>
      </w:r>
      <w:r>
        <w:rPr>
          <w:rFonts w:ascii="Times New Roman" w:cs="Times New Roman" w:eastAsia="Times New Roman" w:hAnsi="Times New Roman"/>
          <w:sz w:val="18"/>
          <w:szCs w:val="18"/>
          <w:color w:val="auto"/>
        </w:rPr>
        <w:t>” means, for an applicable Calendar Year, a written statement of the Parent, along with an Officer’s Certificate certifying the same, setting forth in reasonable detail the calculation of Annual Net Sales in the applicable Calendar Year, together with reasonable supporting documentation for such calculation.</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chief executive officer, president, chief financial officer, any vice president, the controller, the treasurer or the secretary, in each case of the Parent, in his or her capacity as such an officer, and delivered to the Rights Agent.</w:t>
      </w:r>
    </w:p>
    <w:p>
      <w:pPr>
        <w:spacing w:after="0" w:line="160"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xml:space="preserve">” means: a Transfer of a CVR (a) upon death of a Holder by will or intestacy; (b) by instrument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 in which the CVR is to be passed to beneficiaries of the Holder upon the death of the Holder; (c) pursuant to a court order (including in connection with bankruptcy or liquidation); (d) by operation of law (including by consolidation or merger of the Holder) or without consideration in connection with the dissolution, liquidation or termination of any Holder that is a corporation, limited liability company, partnership or other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dissolution, liquidation or termination does not subject the CVRs to a requirement of registration under the Securities Act or the Exchange Act); (e) in the case of a CVR held in book-entry or other similar nominee form, from a nominee to a beneficial owner and, if applicable, through an intermediary, or from such nominee to another nominee for the same beneficial owner; (f) if the Holder is a corporation, partnership or limited liability company, a distribution by the transferring corporation, partnership or limited liability company to its stockholders, partners or members,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distribution does not subject the CVRs to a requirement of registration under the Securities Act or the Exchange Act); or (g) as provided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1" w:name="page12"/>
    <w:bookmarkEnd w:id="11"/>
    <w:p>
      <w:pPr>
        <w:ind w:right="80" w:firstLine="440"/>
        <w:spacing w:after="0" w:line="23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any product in any form, formulation, or presentation containing, incorporating, consisting of, or comprising a Compound as an active ingredient that is (a) formulated, approved, or marketed for diseases that have, as their primary association, an association to the eye and (b) not administered or co-administered systemically, including, for clarity,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injection) and any line extensions, alternative formulations, reformulations and extensions thereof. For the avoidance of doubt, the term “Product” does not include any drug that may be co-administered with a Compound.</w:t>
      </w:r>
    </w:p>
    <w:p>
      <w:pPr>
        <w:spacing w:after="0" w:line="20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Rights Group</w:t>
      </w:r>
      <w:r>
        <w:rPr>
          <w:rFonts w:ascii="Times New Roman" w:cs="Times New Roman" w:eastAsia="Times New Roman" w:hAnsi="Times New Roman"/>
          <w:sz w:val="18"/>
          <w:szCs w:val="18"/>
          <w:color w:val="auto"/>
        </w:rPr>
        <w:t>” means the Parent, its Subsidiaries (including the Company and its Subsidiaries), and any direct or indirect licensee or transferee of the Parent or its Subsidiaries (including the Company and its Subsidiaries).</w:t>
      </w:r>
    </w:p>
    <w:p>
      <w:pPr>
        <w:spacing w:after="0" w:line="162"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Buyer</w:t>
      </w:r>
      <w:r>
        <w:rPr>
          <w:rFonts w:ascii="Times New Roman" w:cs="Times New Roman" w:eastAsia="Times New Roman" w:hAnsi="Times New Roman"/>
          <w:sz w:val="18"/>
          <w:szCs w:val="18"/>
          <w:color w:val="auto"/>
        </w:rPr>
        <w:t>” means (a) any third party acquirer or successor of all or substantially all of the assets of the Parent or the Company and their respective Subsidiaries in connection with a Change of Control or (b) any third party that has net assets (determined by reference to the most recent audited or unaudited balance sheet) or public company market capitalization of at least $4,000,000,000 (taking into account the net assets or public company market capitalization of the company or companies so acquired in connection with such transaction).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 Request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means the Rights Agent named in the first paragraph of this Agreement, until a successor Rights Agent will have become such pursuant to the applicable provisions of this Agreement, and thereafter “Rights Agent” will mean such successor Rights Agent.</w:t>
      </w:r>
    </w:p>
    <w:p>
      <w:pPr>
        <w:spacing w:after="0" w:line="162" w:lineRule="exact"/>
        <w:rPr>
          <w:sz w:val="20"/>
          <w:szCs w:val="20"/>
          <w:color w:val="auto"/>
        </w:rPr>
      </w:pPr>
    </w:p>
    <w:p>
      <w:pPr>
        <w:ind w:right="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Sale of the Business</w:t>
      </w:r>
      <w:r>
        <w:rPr>
          <w:rFonts w:ascii="Times New Roman" w:cs="Times New Roman" w:eastAsia="Times New Roman" w:hAnsi="Times New Roman"/>
          <w:sz w:val="17"/>
          <w:szCs w:val="17"/>
          <w:color w:val="auto"/>
        </w:rPr>
        <w:t>” means any transaction or series of related transactions (including a sale or other disposition of assets, merger or consolidation, sale of equity interests or exclusive licensing transaction) pursuant to which all or a majority of the Business is sold, exclusively licensed or otherwise transferred, directly or indirectly, to, or acquired by, directly or indirectly, a Person other than the Parent or any of its Subsidiaries.</w:t>
      </w:r>
    </w:p>
    <w:p>
      <w:pPr>
        <w:spacing w:after="0" w:line="158"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Rules of Construction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40" w:firstLine="419"/>
        <w:spacing w:after="0" w:line="266" w:lineRule="auto"/>
        <w:tabs>
          <w:tab w:leader="none" w:pos="11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and headings herein are for convenience of reference only, do not constitute part of this Agreement and shall not be deemed to limit or otherwise affect any of the provisions hereof. Where a reference in this Agreement is made to a Section, such reference shall be to a Section of this Agreement unless otherwise indicated.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2" w:name="page13"/>
    <w:bookmarkEnd w:id="12"/>
    <w:p>
      <w:pPr>
        <w:ind w:left="440" w:firstLine="419"/>
        <w:spacing w:after="0" w:line="252"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the word “or” shall be disjunctive but not exclusive and have the same meaning as “and/or;” any reference to a law shall include any rules and regulations promulgated thereunder, and any reference to any law in this Agreement shall mean such law as from time to time amended, modified or supplemented. Currency amounts referenced herein are in U.S. Dollars. When calculating the period of time before which, within which or following which any act is to be done or step taken pursuant to this Agreement, the date that is the reference date in calculating such period is to be excluded. Unless otherwise specified in this Agreement, all references in this Agreement to any contract, other agreement, document or instrument (excluding this Agreement) mean such contract, other agreement, document or instrument as amended, supplemented or otherwise modified from time to time in accordance with the terms thereof and, unless otherwise specified therein, include all schedules, annexes, addendums, exhibits and any other documents attached thereto or incorporated therein by reference.</w:t>
      </w:r>
    </w:p>
    <w:p>
      <w:pPr>
        <w:spacing w:after="0" w:line="89"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negotiating and drafting this Agreement. In the event that an ambiguity or a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CONTINGENT VALUE RIGHTS</w:t>
      </w:r>
    </w:p>
    <w:p>
      <w:pPr>
        <w:spacing w:after="0" w:line="203"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CVR</w:t>
      </w:r>
      <w:r>
        <w:rPr>
          <w:rFonts w:ascii="Times New Roman" w:cs="Times New Roman" w:eastAsia="Times New Roman" w:hAnsi="Times New Roman"/>
          <w:sz w:val="18"/>
          <w:szCs w:val="18"/>
          <w:color w:val="auto"/>
        </w:rPr>
        <w:t>. The CVRs represent the rights of Holders to receive contingent cash payments pursuant to the Merger Agreement 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The initial Holders shall be determined pursuant to the terms of the Merger Agreement and this Agreement, and a list of the initial Holders shall be furnished to the Rights Agent by or on behalf of Parent in accordance with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w:t>
      </w:r>
    </w:p>
    <w:p>
      <w:pPr>
        <w:spacing w:after="0" w:line="171"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Nontransferable</w:t>
      </w:r>
      <w:r>
        <w:rPr>
          <w:rFonts w:ascii="Times New Roman" w:cs="Times New Roman" w:eastAsia="Times New Roman" w:hAnsi="Times New Roman"/>
          <w:sz w:val="18"/>
          <w:szCs w:val="18"/>
          <w:color w:val="auto"/>
        </w:rPr>
        <w:t>. The CVRs may not be sold, assigned, transferred, pledged, encumbered or in any other manner disposed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Transferred, in whole or in part, other than through a Permitted Transfer. The foregoing restrictions shall apply notwithstanding that certain of the CVRs will be held through DTC. Any attempted sale, assignment, transfer, pledge, encumbrance, disposition or Transfer of CVRs, in whole or in part, in violation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void ab initio and of no effect. The CVRs will not be listed on any quotation system or traded on any securities exchange.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w:t>
      </w:r>
      <w:r>
        <w:rPr>
          <w:rFonts w:ascii="Times New Roman" w:cs="Times New Roman" w:eastAsia="Times New Roman" w:hAnsi="Times New Roman"/>
          <w:sz w:val="18"/>
          <w:szCs w:val="18"/>
          <w:b w:val="1"/>
          <w:bCs w:val="1"/>
          <w:u w:val="single" w:color="auto"/>
          <w:color w:val="auto"/>
        </w:rPr>
        <w:t>No Certificate; Registration; Registration of Transfer; Change of Address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hanging="241"/>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will not be evidenced by a certificate or other instrument.</w:t>
      </w:r>
    </w:p>
    <w:p>
      <w:pPr>
        <w:spacing w:after="0" w:line="117" w:lineRule="exact"/>
        <w:rPr>
          <w:rFonts w:ascii="Times New Roman" w:cs="Times New Roman" w:eastAsia="Times New Roman" w:hAnsi="Times New Roman"/>
          <w:sz w:val="18"/>
          <w:szCs w:val="18"/>
          <w:color w:val="auto"/>
        </w:rPr>
      </w:pPr>
    </w:p>
    <w:p>
      <w:pPr>
        <w:ind w:firstLine="419"/>
        <w:spacing w:after="0" w:line="268" w:lineRule="auto"/>
        <w:tabs>
          <w:tab w:leader="none" w:pos="67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will keep a register (the “</w:t>
      </w:r>
      <w:r>
        <w:rPr>
          <w:rFonts w:ascii="Times New Roman" w:cs="Times New Roman" w:eastAsia="Times New Roman" w:hAnsi="Times New Roman"/>
          <w:sz w:val="17"/>
          <w:szCs w:val="17"/>
          <w:u w:val="single" w:color="auto"/>
          <w:color w:val="auto"/>
        </w:rPr>
        <w:t>CVR Register</w:t>
      </w:r>
      <w:r>
        <w:rPr>
          <w:rFonts w:ascii="Times New Roman" w:cs="Times New Roman" w:eastAsia="Times New Roman" w:hAnsi="Times New Roman"/>
          <w:sz w:val="17"/>
          <w:szCs w:val="17"/>
          <w:color w:val="auto"/>
        </w:rPr>
        <w:t xml:space="preserve">”) for the purpose of registering CVRs and Transfers of CVRs as herein provided. The CVR Register will (i) with respect to holders of Company Common Stock that hold such shares in book-entry form through DTC immediately prior to the Effective Time, reflect one position for Cede &amp; Co (as nominee of DTC) representing all the shares of Company Common Stock that were converted into the right to receive the Cash Amount in accordance with the terms of the Merger Agreement, (ii) with respect to (A) holders of Company Common Stock that hold such Company Common Stock in certificated form immediately prior to the Effective Time that were converted into the right to receive the Cash Amount in accordance with the terms of the Merger Agreement, upon delivery to the Rights Agent (or Paying Agent, as applicable) by each such holder of the applicable stock certificates, together with a validly executed letter of transmittal and such other customary documents as may be reasonably requested by the Rights Agent (or Paying Agent, as applicable), in accordance with the Merger Agreement, (B) holders of Company Common Stock who hold such Company Common Stock in book-entry form through the Company’s transfer agent immediately prior to the Effective Time, (C) holders of Company Equity Awards who are entitled to receive CVRs pursuant to the terms of the Merger Agreement, and (D) holders of Company Warrants who are entitled to receive CVRs pursuant to the terms of the Merger Agreement, in each case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reflect the applicable number of CVRs to which each such holder is entitled pursuant to the Merger Agreement (other than, in the case of the foregoing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(ii)(B)</w:t>
      </w:r>
      <w:r>
        <w:rPr>
          <w:rFonts w:ascii="Times New Roman" w:cs="Times New Roman" w:eastAsia="Times New Roman" w:hAnsi="Times New Roman"/>
          <w:sz w:val="17"/>
          <w:szCs w:val="17"/>
          <w:color w:val="auto"/>
        </w:rPr>
        <w:t xml:space="preserve">, holders of shares cancelled in accordance with Section 2.6(b) of the Merger Agreement and Dissenting Shares). The Rights Agent will have no responsibility whatsoever directly to the street name holders with respect to Transfers of CVRs unless and until such CVRs are Transferred into the name of such street name holders in accordance with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of this Agreement. With respect to any payments to be made under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below with respect to CVRs held through DTC, the Rights Agent will accomplish the payment in respect of such CVRs by sending one lump payment to DTC. The Rights Agent will have no responsibilities whatsoever with regard to the distribution of payments by DTC to the Holders of such CVRs.</w:t>
      </w:r>
    </w:p>
    <w:p>
      <w:pPr>
        <w:spacing w:after="0" w:line="285" w:lineRule="exact"/>
        <w:rPr>
          <w:rFonts w:ascii="Times New Roman" w:cs="Times New Roman" w:eastAsia="Times New Roman" w:hAnsi="Times New Roman"/>
          <w:sz w:val="17"/>
          <w:szCs w:val="17"/>
          <w:color w:val="auto"/>
        </w:rPr>
      </w:pPr>
    </w:p>
    <w:p>
      <w:pPr>
        <w:ind w:right="80" w:firstLine="419"/>
        <w:spacing w:after="0" w:line="255" w:lineRule="auto"/>
        <w:tabs>
          <w:tab w:leader="none" w:pos="6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on transferability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every request made to Transfer a CVR must be in writing and accompanied by a written instrument of Transfer in form reasonably satisfactory to the Rights Agent pursuant to its guidelines, duly executed by the Holder thereof, the Holder’s attorney duly authorized in writing, the Holder’s personal representative duly authorized in writing, or the Holder’s survivor (with written documentation evidencing such person’s status as the Holder’s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register the Transfer of the CVRs in the CVR Register and notify such</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66" w:right="459" w:bottom="1440" w:gutter="0" w:footer="0" w:header="0"/>
        </w:sectPr>
      </w:pPr>
    </w:p>
    <w:bookmarkStart w:id="14" w:name="page15"/>
    <w:bookmarkEnd w:id="14"/>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 of the same. No service charge shall be made for any registration of Transfer of a CVR, but the Rights Agent may require payment by a Holder to the applicable Governmental Entity of a sum sufficient to cover any transfer, stamp or other similar Tax or governmental charge that is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charges have been paid or that such Taxes or charges are not applicable. All duly Transferred CVRs registered in the CVR Register will be the valid obligations of the Parent and will entitle the transferee to the same benefits and rights under this Agreement as those held immediately prior to the Transfer by the transferor. No Transfer of a CVR will be valid until registered in the CVR Register.</w:t>
      </w:r>
    </w:p>
    <w:p>
      <w:pPr>
        <w:spacing w:after="0" w:line="84" w:lineRule="exact"/>
        <w:rPr>
          <w:sz w:val="20"/>
          <w:szCs w:val="20"/>
          <w:color w:val="auto"/>
        </w:rPr>
      </w:pPr>
    </w:p>
    <w:p>
      <w:pPr>
        <w:ind w:right="80" w:firstLine="419"/>
        <w:spacing w:after="0" w:line="266"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Payment Procedures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19"/>
        <w:spacing w:after="0" w:line="253" w:lineRule="auto"/>
        <w:tabs>
          <w:tab w:leader="none" w:pos="6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Milestone is achieved, then, in each case, on or prior to the date that is thirty (30) Business Days following the achievement of such Milestone, Parent shall (i) deliver to the Rights Agent a written notice (each, a “</w:t>
      </w:r>
      <w:r>
        <w:rPr>
          <w:rFonts w:ascii="Times New Roman" w:cs="Times New Roman" w:eastAsia="Times New Roman" w:hAnsi="Times New Roman"/>
          <w:sz w:val="18"/>
          <w:szCs w:val="18"/>
          <w:u w:val="single" w:color="auto"/>
          <w:color w:val="auto"/>
        </w:rPr>
        <w:t>Milestone Notice</w:t>
      </w:r>
      <w:r>
        <w:rPr>
          <w:rFonts w:ascii="Times New Roman" w:cs="Times New Roman" w:eastAsia="Times New Roman" w:hAnsi="Times New Roman"/>
          <w:sz w:val="18"/>
          <w:szCs w:val="18"/>
          <w:color w:val="auto"/>
        </w:rPr>
        <w:t xml:space="preserve">”) indicating that the corresponding Milestone was achieved and the corresponding Milestone Payment Amount due, along with an Officer’s Certificate certifying the same, which Milestone Notice shall include the Net Sales Statement for the applicable Calendar Year and (ii) duly deposit or cause to be deposited with the Rights Agent, within three (3) Business Days of the delivery of the Milestone Notice, cash by wire transfer of immediately available funds to an account specified by the Rights Agent (or to the Company or its or the Parent’s applicable Affiliate in the case of payments with respect to Equity Award CVRs that will be paid through the Company’s or its or the Parent’s applicable Affiliate’s payroll system), equal to the aggregate amount necessary to pay the applicable Milestone Payment Amount to all Holders in accordance with the terms of this Agreement (subject to any amounts deducted or withheld pursuant to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below). Such amounts shall be considered paid if on such date the Rights Agent (or the Company or its or the Parent’s applicable Affiliate in the case of payments with respect to Equity Award CVRs that will be paid through the Company’s or its or the Parent’s applicable Affiliate’s payroll system) has received in accordance with this Agreement money sufficient to pay all Milestone Payment Amounts in respect of such Milestone then due in accordance with the terms hereof.</w:t>
      </w:r>
    </w:p>
    <w:p>
      <w:pPr>
        <w:spacing w:after="0" w:line="81"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promptly, and in any event within ten (10) calendar days of receipt of a Milestone Notice, send each Holder at its registered address a copy of the Milestone Notice (such date on which the Rights Agent sends such copy, a “</w:t>
      </w:r>
      <w:r>
        <w:rPr>
          <w:rFonts w:ascii="Times New Roman" w:cs="Times New Roman" w:eastAsia="Times New Roman" w:hAnsi="Times New Roman"/>
          <w:sz w:val="18"/>
          <w:szCs w:val="18"/>
          <w:u w:val="single" w:color="auto"/>
          <w:color w:val="auto"/>
        </w:rPr>
        <w:t>Milestone Payment Date</w:t>
      </w:r>
      <w:r>
        <w:rPr>
          <w:rFonts w:ascii="Times New Roman" w:cs="Times New Roman" w:eastAsia="Times New Roman" w:hAnsi="Times New Roman"/>
          <w:sz w:val="18"/>
          <w:szCs w:val="18"/>
          <w:color w:val="auto"/>
        </w:rPr>
        <w:t>”). At the time the Rights Agent sends a copy of the Milestone Notice to the Holders, the Rights Agent will also pay the applicable Milestone Payment Amount to each of the Holders (subject to any amounts deducted or withheld pursuant to</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880" w:top="270" w:right="47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2.4(d)</w:t>
      </w:r>
      <w:r>
        <w:rPr>
          <w:rFonts w:ascii="Times New Roman" w:cs="Times New Roman" w:eastAsia="Times New Roman" w:hAnsi="Times New Roman"/>
          <w:sz w:val="18"/>
          <w:szCs w:val="18"/>
          <w:color w:val="auto"/>
        </w:rPr>
        <w:t xml:space="preserve"> below) (i) by check mailed to the address of each Holder as reflected in the CVR Register as of the close of business on the last Business Day prior to such Milestone Payment Date or (ii) with respect to any Holder who has provided the Rights Agent wiring instructions in writing, by wire transfer of immediately available funds to the account specified on such instructions. Notwithstanding anything to the contrary set forth herein, the Rights Agent shall have no responsibility whatsoever with respect to any Milestone Payment Amount to Holders in respect of Equity Award CVRs that will be paid through the Company’s or its or the Parent’s applicable Affiliate’s payroll system.</w:t>
      </w:r>
    </w:p>
    <w:p>
      <w:pPr>
        <w:spacing w:after="0" w:line="75" w:lineRule="exact"/>
        <w:rPr>
          <w:sz w:val="20"/>
          <w:szCs w:val="20"/>
          <w:color w:val="auto"/>
        </w:rPr>
      </w:pPr>
    </w:p>
    <w:p>
      <w:pPr>
        <w:ind w:right="60" w:firstLine="419"/>
        <w:spacing w:after="0" w:line="253" w:lineRule="auto"/>
        <w:tabs>
          <w:tab w:leader="none" w:pos="6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shall cause the applicable Milestone Payment Amount payable with respect to Equity Award CVRs (determined in accordance with Section 2.9 of the Merger Agreement) held by current or former employees of the Company or its Affiliates to be paid to the applicable Holder through the Surviving Corporation’s or its or the Parent’s applicable Affiliate’s payroll system or any successor payroll system no later than the second regular payroll date of such applicable payroll system following the later of (i) the applicable Milestone Payment Date and (ii) in the case of Equity Award CVRs in respect of Company Equity Awards that are unvested as of immediately prior to the Effective Time (and that do not vest by their terms as a result of the occurrence of the Effective Time), the applicable vesting date, but in any event no later than the date that is sixty (60) days following the later of the date on which the Milestone is achieved or the applicable vesting date, subject to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of this Agreement and Section 2.9 of the Merger Agreement. For clarity, no payment shall be made on an Equity Award CVR in respect of Company Equity Awards unless and until the Company Equity Award (or any assumed or converted award in respect of such Company Equity Award) has vested.</w:t>
      </w:r>
    </w:p>
    <w:p>
      <w:pPr>
        <w:spacing w:after="0" w:line="86"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Merger Agreement or this Agreement, the Parent, the Surviving Corporation, the Rights Agent and any other applicable withholding agent (and their applicable Affiliates) shall be entitled to deduct or withhold, or cause to be deducted or withheld, from any Milestone Payment Amount otherwise payable pursuant to this Agreement such amounts as may be required to be deducted or withheld therefrom under the Code, the Treasury Regulations thereunder, or any other applicable Tax law, as may be determined by the Parent, the Surviving Corporation, the Rights Agent or any other applicable withholding agent (or their applicable Affiliates), as applicable. The Parent, the Surviving Corporation, the Rights Agent and any other applicable withholding agent (or their applicable Affiliates) shall reasonably cooperate in good faith with any Person (other than a Holder of Equity Award CVRs who is a current or former employee of the Company or its Affiliates) in respect of which such deduction or withholding is to be made to reduce or eliminate any such withholding prior to withholding any amounts payable to such Person. With respect to Holders of Equity Award CVRs who are current or former employees of the Company or its Affiliates, any such withholding may be made, or caused to be made, by the Parent through the Surviving Corporation’s (or any of the Parent’s applicable Affiliate’s) payroll systems. To the extent such amounts are so deducted or withheld, such amounts shall be treated for all purposes under this Agreement as having been paid to the Person to whom such amounts would otherwise have been paid, and as soon as practicable after any payment of such taxes by the Parent, the Surviving Corporation or the Rights Agent (or</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6" w:name="page17"/>
    <w:bookmarkEnd w:id="16"/>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their applicable Affiliates), as applicable, the Parent shall deliver (or shall cause the Surviving Corporation, the Rights Agent or their or the Parent’s applicable Affiliates to deliver) to the Person (other than a Holder of Equity Award CVRs who is a current or former employee of the Company or its Affiliates) to whom such amounts would otherwise have been paid the original or a certified copy of a receipt issued by the applicable taxing authority evidencing such payment, a copy of the return reporting such payment, or other reasonably acceptable evidence of such payment. The parties intend that (i) each payment provided under this Agreement with respect to an Equity Award CVR is a separate “payment” for purposes of Section 1.409A-2(b)(2)(i) of the U.S. Treasury Regulations and (ii) each Equity Award CVR is exempt from or in compliance with Section 409A of the Code, and this Agreement shall be interpreted and administered in accordance therewith. The parties intend to treat each Milestone as a valid performance condition and each respective Milestone Payment Amount as subject to a substantial risk of forfeiture as defined under Section 409A of the Code. None of the parties to this Agreement or any of their Affiliates nor any of their respective employees, directors or representatives shall have any liability to a Holder or transferee or other Person in respect of Section 409A of the Code.</w:t>
      </w:r>
    </w:p>
    <w:p>
      <w:pPr>
        <w:spacing w:after="0" w:line="86" w:lineRule="exact"/>
        <w:rPr>
          <w:sz w:val="20"/>
          <w:szCs w:val="20"/>
          <w:color w:val="auto"/>
        </w:rPr>
      </w:pPr>
    </w:p>
    <w:p>
      <w:pPr>
        <w:ind w:right="380" w:firstLine="419"/>
        <w:spacing w:after="0" w:line="266" w:lineRule="auto"/>
        <w:tabs>
          <w:tab w:leader="none" w:pos="6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any Milestone Payment Amount that remains undistributed to the Holders one (1) year after an applicable Milestone Payment Date will be delivered by the Rights Agent to the Parent, upon demand, and any Holder will thereafter look only to the Parent for payment of the applicable Milestone Payment Amount, without interest.</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Parent, the Company, the Rights Agent or any of their Affiliates will be liable to any Person in respect of any Milestone Payment Amounts delivered to a public official pursuant to any applicable abandoned property, escheat or similar legal requirement. If, despite reasonable best efforts by the Rights Agent to deliver a Milestone Payment Amount to the applicable Holder pursuant to the Rights Agent’s customary unclaimed funds procedures, such Milestone Payment Amount has not been paid immediately prior to such date on which such Milestone Payment Amount would otherwise escheat to or become the property of any Governmental Entity, such Milestone Payment Amount will, to the extent permitted by applicable legal requirements, become the property of the Parent, free and clear of all claims or interest of any Person previously entitled thereto. In addition to and not in limitation of any other indemnity obligation herein, the Parent agrees to indemnify and hold harmless the Rights Agent with respect to any liability, penalty, cost or expense the Rights Agent may incur or be subject to in connection with transferring such property to the Parent, unless such loss has been determined by a court of competent jurisdiction to be a result of the Rights Agent’s willful or intentional misconduct (including willful breach), bad faith, fraud or gross negligence.</w:t>
      </w:r>
    </w:p>
    <w:p>
      <w:pPr>
        <w:spacing w:after="0" w:line="86"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Agent shall be responsible for information reporting required under applicable legal requirements with respect to the CVRs (other than Equity Award CVRs held by current or former employees of the Company or its Affiliates), including reporting the Holder’s receipt of such CVRs and any Milestone Payment Amounts hereunder on Internal Revenue Service Form 1099-B or other applicable form. The Parent shall use reasonable best efforts to cooperate with the Rights Agent to provide any information reasonably necessary for the Rights Agent to carry out its obligations in this </w:t>
      </w:r>
      <w:r>
        <w:rPr>
          <w:rFonts w:ascii="Times New Roman" w:cs="Times New Roman" w:eastAsia="Times New Roman" w:hAnsi="Times New Roman"/>
          <w:sz w:val="18"/>
          <w:szCs w:val="18"/>
          <w:u w:val="single" w:color="auto"/>
          <w:color w:val="auto"/>
        </w:rPr>
        <w:t>Section 2.4(g)</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2.5 </w:t>
      </w:r>
      <w:r>
        <w:rPr>
          <w:rFonts w:ascii="Times New Roman" w:cs="Times New Roman" w:eastAsia="Times New Roman" w:hAnsi="Times New Roman"/>
          <w:sz w:val="18"/>
          <w:szCs w:val="18"/>
          <w:b w:val="1"/>
          <w:bCs w:val="1"/>
          <w:u w:val="single" w:color="auto"/>
          <w:color w:val="auto"/>
        </w:rPr>
        <w:t>No Voting, Dividends or Interest; No Equity or Ownership Interest in the Parent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00" w:hanging="24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will not have any voting or dividend rights, and interest will not accrue on any amounts payable on the CVRs to any Holder.</w:t>
      </w:r>
    </w:p>
    <w:p>
      <w:pPr>
        <w:spacing w:after="0" w:line="117"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rights of the Rights Agent or any of the Holders under this Agreement or with respect to the CVRs (including the right to payments thereunder pursuant to the terms of this Agreement), the CVRs will not represent any equity or ownership interest in the Parent or in any constituent company to the Merger or any of their respective Affiliates (including the Company). The sole right of each Holder to receive property hereunder is the right to receive the Milestone Payment Amounts, if any, when and if due and payable in accordance with the terms hereof. A CVR shall not constitute a security of any Person.</w:t>
      </w:r>
    </w:p>
    <w:p>
      <w:pPr>
        <w:spacing w:after="0" w:line="75"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Parent or the Company nor any of their respective directors or officers will be deemed to have any fiduciary or similar duties to any Holder by virtue of this Agreement or the CVRs.</w:t>
      </w:r>
    </w:p>
    <w:p>
      <w:pPr>
        <w:spacing w:after="0" w:line="158"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Holding of Funds</w:t>
      </w:r>
      <w:r>
        <w:rPr>
          <w:rFonts w:ascii="Times New Roman" w:cs="Times New Roman" w:eastAsia="Times New Roman" w:hAnsi="Times New Roman"/>
          <w:sz w:val="18"/>
          <w:szCs w:val="18"/>
          <w:color w:val="auto"/>
        </w:rPr>
        <w:t>. All funds received by the Rights Agent under this Agreement that are to be distributed or applied by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in the performance of its services hereunder (the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shall be held by the Rights Agent as agent for the Parent and deposited in one or more segregated bank accounts to be maintained by the Rights Agent in its name as agent for the Parent. The Funds shall not be used for any purpose other than to pay the Milestone Payment Amounts under this Agreement. The parties hereby acknowledge and agree that, for U.S. federal (and applicable state and local) income tax purposes, the Parent shall be treated as the owner of the Funds prior to the time they are distributed pursuant to this Agreement. The Rights Agent shall report with respect to income earned on the Funds to the IRS or other taxing authority as income of the Parent.</w:t>
      </w:r>
    </w:p>
    <w:p>
      <w:pPr>
        <w:spacing w:after="0" w:line="18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Ability to Abandon CVR</w:t>
      </w:r>
      <w:r>
        <w:rPr>
          <w:rFonts w:ascii="Times New Roman" w:cs="Times New Roman" w:eastAsia="Times New Roman" w:hAnsi="Times New Roman"/>
          <w:sz w:val="18"/>
          <w:szCs w:val="18"/>
          <w:color w:val="auto"/>
        </w:rPr>
        <w:t>. A Holder may at any time, at such Holder’s option, abandon all of such Holder’s remaining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represented by CVRs by Transferring such CVR to the Parent or a person nominated in writing by the Parent (with written notice thereof from the Parent to the Rights Agent) without consideration in compensation therefor, and such rights will be cancelled, with the Rights Agent being promptly notified in writing by the Parent of such Transfer and cancellation. Nothing in this Agreement is intended to prohibit the Parent or any of its Affiliates from offering to acquire or acquiring CVRs, in private transactions or otherwise, for consideration, and consummating any such acquisition and related Transfer, in each case in its sole discretion. Any CVRs acquired by the Parent or any of its Affiliates shall be automatically deemed extinguished and no longer outstanding for purposes of this Agreement. The Rights Agent shall update the CVR Register to reflect any abandonment or acquisition of CVRs described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RIGHTS AGENT</w:t>
      </w:r>
    </w:p>
    <w:p>
      <w:pPr>
        <w:spacing w:after="0" w:line="203" w:lineRule="exact"/>
        <w:rPr>
          <w:sz w:val="20"/>
          <w:szCs w:val="20"/>
          <w:color w:val="auto"/>
        </w:rPr>
      </w:pPr>
    </w:p>
    <w:p>
      <w:pPr>
        <w:ind w:right="2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Section 3.1 </w:t>
      </w:r>
      <w:r>
        <w:rPr>
          <w:rFonts w:ascii="Times New Roman" w:cs="Times New Roman" w:eastAsia="Times New Roman" w:hAnsi="Times New Roman"/>
          <w:sz w:val="17"/>
          <w:szCs w:val="17"/>
          <w:b w:val="1"/>
          <w:bCs w:val="1"/>
          <w:u w:val="single" w:color="auto"/>
          <w:color w:val="auto"/>
        </w:rPr>
        <w:t>Certain Duties and Responsibilities</w:t>
      </w:r>
      <w:r>
        <w:rPr>
          <w:rFonts w:ascii="Times New Roman" w:cs="Times New Roman" w:eastAsia="Times New Roman" w:hAnsi="Times New Roman"/>
          <w:sz w:val="17"/>
          <w:szCs w:val="17"/>
          <w:color w:val="auto"/>
        </w:rPr>
        <w:t>. The Rights Agent will not have any liability for any actions taken or not taken in connection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this Agreement, except to the extent of its willful or intentional misconduct (including willful breach), bad faith, fraud or gross negligence.</w:t>
      </w:r>
    </w:p>
    <w:p>
      <w:pPr>
        <w:spacing w:after="0" w:line="13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Certain Rights of Rights Agent</w:t>
      </w:r>
      <w:r>
        <w:rPr>
          <w:rFonts w:ascii="Times New Roman" w:cs="Times New Roman" w:eastAsia="Times New Roman" w:hAnsi="Times New Roman"/>
          <w:sz w:val="18"/>
          <w:szCs w:val="18"/>
          <w:color w:val="auto"/>
        </w:rPr>
        <w:t>. The Rights Agent undertakes to perform such duties and only such duties as are specifically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Agreement, and no implied covenants or obligations will be read into this Agreement against the Rights Agent. The Rights Agent may in its discretion or upon the written request of the Acting Holders proceed to and shall be entitled and empowered to protect and enforce the rights of the Holders hereunder by such appropriate judicial proceedings as the Rights Agent shall deem most effectual to protect and enforce any such rights for the benefit of and on behalf of all Holders to the extent directed to by the Acting Holders in writing. The Rights Agent shall be under no obligation to institute any action, suit or proceeding unless the Acting Holders (on behalf of the Holders) shall furnish the Rights Agent with reasonable security and indemnity for any costs and expenses that may be incurred. In addition:</w:t>
      </w:r>
    </w:p>
    <w:p>
      <w:pPr>
        <w:spacing w:after="0" w:line="79" w:lineRule="exact"/>
        <w:rPr>
          <w:sz w:val="20"/>
          <w:szCs w:val="20"/>
          <w:color w:val="auto"/>
        </w:rPr>
      </w:pPr>
    </w:p>
    <w:p>
      <w:pPr>
        <w:ind w:left="440" w:firstLine="419"/>
        <w:spacing w:after="0" w:line="261" w:lineRule="auto"/>
        <w:tabs>
          <w:tab w:leader="none" w:pos="11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willful or intentional misconduct (including willful breach), bad faith, fraud or gross negligence, the Rights Agent may rely and will be protected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Rights Agent will deem it desirable that a matter be proved or established prior to taking, suffering or omitting any action hereunder, the Rights Agent may, in the absence of willful or intentional misconduct (including willful breach), bad faith, fraud or gross negligence on its part, rely upon an Officer’s Certificate;</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engage and consult with counsel of its selection and the written advice of such counsel or any opinion of counsel will, in the absence of willful or intentional misconduct (including willful breach), bad faith, fraud or gross negligence, be full and complete authorization and protection in respect of any action taken, suffered or omitted by it hereunder in good faith and in reliance thereon;</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Rights Agent to do things enumerated in this Agreement will not be construed as a duty;</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required to give any note or surety in respect of the execution of such powers or otherwise in respect of the premises;</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0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agrees to indemnify Rights Agent for, and hold Rights Agent harmless against, any loss, liability, claim, demands, suits or expense arising out of or in connection with Rights Agent’s duties under this Agreement, including the costs and expenses of defending Rights Agent against any claims, charges, demands, suits or loss, unless such loss has been determined by a court of competent jurisdiction to be a result of Rights Agent’s willful or intentional misconduct (including willful breach), bad faith, fraud or gross negligence;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19" w:name="page20"/>
    <w:bookmarkEnd w:id="19"/>
    <w:p>
      <w:pPr>
        <w:ind w:right="120" w:firstLine="419"/>
        <w:spacing w:after="0" w:line="272" w:lineRule="auto"/>
        <w:tabs>
          <w:tab w:leader="none" w:pos="67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Parent agrees (i) to pay the fees and expenses of the Rights Agent in connection with this Agreement as set forth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attached to this Agreement and (ii) to reimburse the Rights Agent for all Taxes and governmental charges, reasonable expenses and other charges of any kind and nature incurred by the Rights Agent in the execution of this Agreement (other than Taxes imposed on or measured by the Rights Agent’s net income and franchise or similar Taxes imposed on it (in lieu of net income Taxes)). The Rights Agent will also be entitled to reimbursement from the Parent for all reasonable and necessary documented out-of-pocket expenses paid or incurred by it in connection with the administration by the Rights Agent of its duties 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notwithstanding the foregoing or anything to the contrary set forth herein, Parent shall have no obligation to indemnify or pay the fees or expenses of the Rights Agent or reimburse the Rights Agent for the fees of counsel, in each case, in connection with any claim, lawsuit or action initiated by the Rights Agent on behalf of itself or the Holders;</w:t>
      </w:r>
    </w:p>
    <w:p>
      <w:pPr>
        <w:spacing w:after="0" w:line="63" w:lineRule="exact"/>
        <w:rPr>
          <w:rFonts w:ascii="Times New Roman" w:cs="Times New Roman" w:eastAsia="Times New Roman" w:hAnsi="Times New Roman"/>
          <w:sz w:val="17"/>
          <w:szCs w:val="17"/>
          <w:color w:val="auto"/>
        </w:rPr>
      </w:pPr>
    </w:p>
    <w:p>
      <w:pPr>
        <w:ind w:right="40" w:firstLine="419"/>
        <w:spacing w:after="0" w:line="266"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and</w:t>
      </w:r>
    </w:p>
    <w:p>
      <w:pPr>
        <w:spacing w:after="0" w:line="67" w:lineRule="exact"/>
        <w:rPr>
          <w:rFonts w:ascii="Times New Roman" w:cs="Times New Roman" w:eastAsia="Times New Roman" w:hAnsi="Times New Roman"/>
          <w:sz w:val="18"/>
          <w:szCs w:val="18"/>
          <w:color w:val="auto"/>
        </w:rPr>
      </w:pPr>
    </w:p>
    <w:p>
      <w:pPr>
        <w:ind w:firstLine="419"/>
        <w:spacing w:after="0" w:line="258" w:lineRule="auto"/>
        <w:tabs>
          <w:tab w:leader="none" w:pos="6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Holder shall be obligated to indemnify the Rights Agent for, or hold the Rights Agent harmless against, any loss, liability, claim, demand, suit or expense arising out of or in connection with the Rights Agent’s duties under this Agreement or to pay or reimburse the Rights Agent for any fees, costs or expenses incurred by the Rights Agent in connection with this Agreement or the administration of its duties hereunder, and the Rights Agent shall not be entitled to deduct any amount from any Milestone Payment Amount in any circumstance except as provided in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419"/>
        <w:spacing w:after="0" w:line="258" w:lineRule="auto"/>
        <w:tabs>
          <w:tab w:leader="none" w:pos="6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resign at any time by giving written notice thereof to the Parent specifying a date when such resignation will take effect, which notice will be sent at least sixty (60) days prior to the date so specified but in no event will such resignation become effective until a successor Rights Agent has been appointed. The Parent has the right to remove Rights Agent at any time by a written notice specifying a date when such removal will take effect but no such removal will become effective until a successor Rights Agent has been appointed. Notice of such removal will be given by the Parent to the Rights Agent, which notice will be sent at least sixty (60) days prior to the date so specified.</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20" w:name="page21"/>
    <w:bookmarkEnd w:id="20"/>
    <w:p>
      <w:pPr>
        <w:ind w:left="444" w:right="200" w:firstLine="419"/>
        <w:spacing w:after="0" w:line="261" w:lineRule="auto"/>
        <w:tabs>
          <w:tab w:leader="none" w:pos="11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Rights Agent provides notice of its intent to resign, is removed or becomes incapable of acting, the Parent, by a written notice as soon as is reasonably possible will appoint a qualified successor Rights Agent that is a stock transfer agent of national reputation or, with the written approval of the Acting Holders, the corporate trust department of a commercial bank. The successor Rights Agent so appointed will, forthwith upon its acceptance of such appointment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become the successor Rights Agent.</w:t>
      </w:r>
    </w:p>
    <w:p>
      <w:pPr>
        <w:spacing w:after="0" w:line="71" w:lineRule="exact"/>
        <w:rPr>
          <w:rFonts w:ascii="Times New Roman" w:cs="Times New Roman" w:eastAsia="Times New Roman" w:hAnsi="Times New Roman"/>
          <w:sz w:val="18"/>
          <w:szCs w:val="18"/>
          <w:color w:val="auto"/>
        </w:rPr>
      </w:pPr>
    </w:p>
    <w:p>
      <w:pPr>
        <w:ind w:left="444" w:firstLine="419"/>
        <w:spacing w:after="0" w:line="261" w:lineRule="auto"/>
        <w:tabs>
          <w:tab w:leader="none" w:pos="11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the Parent fails to send such notice within ten (10) days after acceptance of appointment by a successor Rights Agent, the successor Rights Agent will cause the notice to be mailed at the expense of the Parent.</w:t>
      </w:r>
    </w:p>
    <w:p>
      <w:pPr>
        <w:spacing w:after="0" w:line="71" w:lineRule="exact"/>
        <w:rPr>
          <w:rFonts w:ascii="Times New Roman" w:cs="Times New Roman" w:eastAsia="Times New Roman" w:hAnsi="Times New Roman"/>
          <w:sz w:val="18"/>
          <w:szCs w:val="18"/>
          <w:color w:val="auto"/>
        </w:rPr>
      </w:pPr>
    </w:p>
    <w:p>
      <w:pPr>
        <w:ind w:left="444" w:right="400" w:firstLine="419"/>
        <w:spacing w:after="0" w:line="266" w:lineRule="auto"/>
        <w:tabs>
          <w:tab w:leader="none" w:pos="11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reasonably cooperate with the Parent and any successor Rights Agent in connection with the transition of the duties and responsibilities of the Rights Agent to the successor Rights Agent, including the transfer of all relevant data, including the CVR Register, to the successor Rights Agent.</w:t>
      </w:r>
    </w:p>
    <w:p>
      <w:pPr>
        <w:spacing w:after="0" w:line="172"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Acceptance of Appointment by Successor</w:t>
      </w:r>
      <w:r>
        <w:rPr>
          <w:rFonts w:ascii="Times New Roman" w:cs="Times New Roman" w:eastAsia="Times New Roman" w:hAnsi="Times New Roman"/>
          <w:sz w:val="18"/>
          <w:szCs w:val="18"/>
          <w:color w:val="auto"/>
        </w:rPr>
        <w:t>. Every successor Rights Agent appointed hereunder will execute, acknowledge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to the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the Parent or the successor Rights Agent, the retiring Rights Agent will execute and deliver an instrument transferring to the successor Rights Agent all the rights, powers and trusts of the retiring Rights Agent.</w:t>
      </w:r>
    </w:p>
    <w:p>
      <w:pPr>
        <w:spacing w:after="0" w:line="395"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ind w:left="4" w:right="36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color w:val="auto"/>
        </w:rPr>
        <w:t>. The Parent will furnish or cause to be furnished to the Rights Agent in such form as the Parent receives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transfer agent (or other agent performing similar services for the Company), the names and addresses of the Holders within fifteen</w:t>
      </w:r>
    </w:p>
    <w:p>
      <w:pPr>
        <w:spacing w:after="0" w:line="1" w:lineRule="exact"/>
        <w:rPr>
          <w:sz w:val="20"/>
          <w:szCs w:val="20"/>
          <w:color w:val="auto"/>
        </w:rPr>
      </w:pPr>
    </w:p>
    <w:p>
      <w:pPr>
        <w:ind w:left="4" w:right="80" w:hanging="4"/>
        <w:spacing w:after="0" w:line="253" w:lineRule="auto"/>
        <w:tabs>
          <w:tab w:leader="none" w:pos="3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Effective Time. The Rights Agent will reflect all such names and addresses on the CVR Register and confirm the CVR Register and list of initial Holders to the Parent promptly thereafter and, in any event, within thirty (30) days of the receipt of such names and addresses from the Parent or the Surviving Corporation’s transfer agent, as the case may be. Upon request of a Holder, the Rights Agent will make available to such Holder a list of the other Holders, the number of CVRs held by each Holder and the contact information maintained by the Rights Agent with respect to each Holder.</w:t>
      </w:r>
    </w:p>
    <w:p>
      <w:pPr>
        <w:spacing w:after="0" w:line="183" w:lineRule="exact"/>
        <w:rPr>
          <w:sz w:val="20"/>
          <w:szCs w:val="20"/>
          <w:color w:val="auto"/>
        </w:rPr>
      </w:pPr>
    </w:p>
    <w:p>
      <w:pPr>
        <w:ind w:left="4"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Payment of Milestone Payment Amount</w:t>
      </w:r>
      <w:r>
        <w:rPr>
          <w:rFonts w:ascii="Times New Roman" w:cs="Times New Roman" w:eastAsia="Times New Roman" w:hAnsi="Times New Roman"/>
          <w:sz w:val="18"/>
          <w:szCs w:val="18"/>
          <w:color w:val="auto"/>
        </w:rPr>
        <w:t>. If a Milestone has been achieved in accordance with this Agreement, the Parent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promptly (on or prior to the date that is three (3) Business Days following the delivery of a Milestone Notice with respect to the applicable Milestone) deposit with (i) the Rights Agent the applicable Milestone Payment Amount for such Milestone for each Holder (other than in respect of Equity Award CVRs described in clause (ii))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(ii) the Company or its or the Parent’s applicable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1" w:name="page22"/>
    <w:bookmarkEnd w:id="2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Affiliate, for payment to the Holders of Equity Award CVRs who are then current or former employees of the Company or its Affiliates,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aggregate amount necessary to pay the Milestone Payment Amount to each such Holder of an Equity Award CVR, in each case, prior to the Milestone Payment Date or applicable vesting dates in respect of such Milestone if such amount is payable in accordance with the terms of this Agreement. Each of the Net Sales Milestone 1 Payment Amount and the Net Sales Milestone 2 Payment Amount shall only be paid one time, if at all, subject to the achievement of the applicable Milestone (and, with respect to Equity Award CVRs, applicable vesting conditions) according to this Agreement, and the maximum aggregate potential amount payable under this Agreement shall be $4.00 per CVR, without interest thereon and subject to reduction for any applicable withholding Taxes in respect thereof as further described in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Efforts; Operation of the Business</w:t>
      </w:r>
      <w:r>
        <w:rPr>
          <w:rFonts w:ascii="Times New Roman" w:cs="Times New Roman" w:eastAsia="Times New Roman" w:hAnsi="Times New Roman"/>
          <w:sz w:val="18"/>
          <w:szCs w:val="18"/>
          <w:color w:val="auto"/>
        </w:rPr>
        <w:t>. From the Closing Date through the earlier of (i) January 31, 2032, (ii) the payment to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 of all Milestone Payment Amounts, if any,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(iii) the date of termination of this Agreement in accordance with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40" w:right="520" w:firstLine="419"/>
        <w:spacing w:after="0" w:line="266" w:lineRule="auto"/>
        <w:tabs>
          <w:tab w:leader="none" w:pos="11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and the Company (and their respective successors and assigns) shall, and shall cause their respective Affiliates to, use Commercially Diligent Efforts to achieve each Milestone;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(a) does not impose any obligation on Parent to actually achieve any Milestone;</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Parent or the Company (or their respective successors and assigns) nor any of their respective Affiliates shall take any action or fail to take any action with the purpose or intent, in whole or in part, of (i) avoiding or impeding the achievement of a Milestone or the obligation to pay any Milestone Payment Amount or (ii) reducing any Milestone Payment Amount;</w:t>
      </w:r>
    </w:p>
    <w:p>
      <w:pPr>
        <w:spacing w:after="0" w:line="67" w:lineRule="exact"/>
        <w:rPr>
          <w:rFonts w:ascii="Times New Roman" w:cs="Times New Roman" w:eastAsia="Times New Roman" w:hAnsi="Times New Roman"/>
          <w:sz w:val="18"/>
          <w:szCs w:val="18"/>
          <w:color w:val="auto"/>
        </w:rPr>
      </w:pPr>
    </w:p>
    <w:p>
      <w:pPr>
        <w:ind w:left="440" w:right="420" w:firstLine="419"/>
        <w:spacing w:after="0" w:line="266" w:lineRule="auto"/>
        <w:tabs>
          <w:tab w:leader="none" w:pos="11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Parent or the Company (or their respective successors and assigns) nor any of their respective Affiliates shall effect any affiliate transaction between the Company, on the one hand, and the Parent or any of its Affiliates (other than the Company or any of its Subsidiaries), on the other hand, in contravention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440" w:right="20" w:firstLine="419"/>
        <w:spacing w:after="0" w:line="277" w:lineRule="auto"/>
        <w:tabs>
          <w:tab w:leader="none" w:pos="111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but subject to the Parent’s obligations as set forth herein, including the obligation of the Parent, the Company and their respective Affiliates to use Commercially Diligent Efforts to achieve each Milestone as set forth herein, the Parent and its Affiliates shall have the power and right to control all aspects of their businesses and operations (and all of their assets and products), and subject to the Parent’s compliance with the terms of this Agreement, the Parent and its Affiliates may exercise or refrain from exercising such power and right as it may deem appropriate and in the best overall interests of the Parent and its Affiliates and its and their equityholders.</w:t>
      </w:r>
    </w:p>
    <w:p>
      <w:pPr>
        <w:spacing w:after="0" w:line="164"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Books and Records</w:t>
      </w:r>
      <w:r>
        <w:rPr>
          <w:rFonts w:ascii="Times New Roman" w:cs="Times New Roman" w:eastAsia="Times New Roman" w:hAnsi="Times New Roman"/>
          <w:sz w:val="18"/>
          <w:szCs w:val="18"/>
          <w:color w:val="auto"/>
        </w:rPr>
        <w:t>. The Parent shall, and shall cause its Subsidiaries to, keep true, complete and accurate records in sufficient detail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enable the Holders and the Independent Accountant to determine the amounts payable hereunder.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22" w:name="page23"/>
    <w:bookmarkEnd w:id="22"/>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4.5 </w:t>
      </w:r>
      <w:r>
        <w:rPr>
          <w:rFonts w:ascii="Times New Roman" w:cs="Times New Roman" w:eastAsia="Times New Roman" w:hAnsi="Times New Roman"/>
          <w:sz w:val="18"/>
          <w:szCs w:val="18"/>
          <w:b w:val="1"/>
          <w:bCs w:val="1"/>
          <w:u w:val="single" w:color="auto"/>
          <w:color w:val="auto"/>
        </w:rPr>
        <w:t>Non-Use of Name</w:t>
      </w:r>
      <w:r>
        <w:rPr>
          <w:rFonts w:ascii="Times New Roman" w:cs="Times New Roman" w:eastAsia="Times New Roman" w:hAnsi="Times New Roman"/>
          <w:sz w:val="18"/>
          <w:szCs w:val="18"/>
          <w:color w:val="auto"/>
        </w:rPr>
        <w:t>. The Rights Agent shall not use the name, trademark, trade name or logo of the Parent, its Affiliates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their respective employees in any publicity or news release relating to this Agreement or its subject matter, without the prior express written permission of the Parent, other than (in the case of the name of the Parent, its Affiliates, or their respective employees) with respect to a dispute pursuant to this Agreement between any of the Holders, the Rights Agent, the Parent or its Affiliates.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Audits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20" w:firstLine="419"/>
        <w:spacing w:after="0" w:line="256" w:lineRule="auto"/>
        <w:tabs>
          <w:tab w:leader="none" w:pos="11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December 31, 2027, December 31, 2028, December 31, 2029, December 31, 2030 or December 31, 2031, either of the Net Sales Milestone 1 or the Net Sales Milestone 2 has not been attained, then, within thirty (30) Business Days following such date, Parent shall deliver to the Rights Agent a written notice (an “</w:t>
      </w:r>
      <w:r>
        <w:rPr>
          <w:rFonts w:ascii="Times New Roman" w:cs="Times New Roman" w:eastAsia="Times New Roman" w:hAnsi="Times New Roman"/>
          <w:sz w:val="18"/>
          <w:szCs w:val="18"/>
          <w:u w:val="single" w:color="auto"/>
          <w:color w:val="auto"/>
        </w:rPr>
        <w:t>Expiry Notice</w:t>
      </w:r>
      <w:r>
        <w:rPr>
          <w:rFonts w:ascii="Times New Roman" w:cs="Times New Roman" w:eastAsia="Times New Roman" w:hAnsi="Times New Roman"/>
          <w:sz w:val="18"/>
          <w:szCs w:val="18"/>
          <w:color w:val="auto"/>
        </w:rPr>
        <w:t>”) stating that such Milestone was not attained as of such applicable date and that the applicable Milestone Payment Amount is not payable hereunder to the Holders of such CVR as of such applicable date. The Rights Agent shall promptly, and in any event within ten (10) Business Days of receipt of any Expiry Notice, send each Holder at its registered address a copy of such Expiry Notice.</w:t>
      </w:r>
    </w:p>
    <w:p>
      <w:pPr>
        <w:spacing w:after="0" w:line="79" w:lineRule="exact"/>
        <w:rPr>
          <w:rFonts w:ascii="Times New Roman" w:cs="Times New Roman" w:eastAsia="Times New Roman" w:hAnsi="Times New Roman"/>
          <w:sz w:val="18"/>
          <w:szCs w:val="18"/>
          <w:color w:val="auto"/>
        </w:rPr>
      </w:pPr>
    </w:p>
    <w:p>
      <w:pPr>
        <w:ind w:left="440" w:firstLine="419"/>
        <w:spacing w:after="0" w:line="252"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ninety (90) day period following the delivery of any Expiry Notice in accordance with Section 4.6(a), upon the reasonable written request of the Acting Holders, the Parent shall provide the Acting Holders with the Net Sales Statement for the applicable Calendar Year and shall make its financial personnel reasonably available to a designated representative of the Acting Holders to discuss and answer the Acting Holders’ questions regarding the Net Sales Statement; provided that (x) such Acting Holders enter into customary confidentiality agreements reasonably satisfactory to the Parent with respect to the confidential information of the Parent or its Subsidiaries to be furnished pursuant to this Section 4.6 and (y) such confidential information or access shall not be required to be provided to the extent that such confidential information or access would reasonably be expected to result in the waiver of any attorney-client privilege or violate any applicable law; provided, that the Parent and the Company shall use reasonable best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The Acting Holders shall have the right to deliver to the Parent and the Rights Agent within ninety (90) days of the delivery of any Expiry Notice to the Holders (each period, a “</w:t>
      </w:r>
      <w:r>
        <w:rPr>
          <w:rFonts w:ascii="Times New Roman" w:cs="Times New Roman" w:eastAsia="Times New Roman" w:hAnsi="Times New Roman"/>
          <w:sz w:val="18"/>
          <w:szCs w:val="18"/>
          <w:u w:val="single" w:color="auto"/>
          <w:color w:val="auto"/>
        </w:rPr>
        <w:t>Review Request Period</w:t>
      </w:r>
      <w:r>
        <w:rPr>
          <w:rFonts w:ascii="Times New Roman" w:cs="Times New Roman" w:eastAsia="Times New Roman" w:hAnsi="Times New Roman"/>
          <w:sz w:val="18"/>
          <w:szCs w:val="18"/>
          <w:color w:val="auto"/>
        </w:rPr>
        <w:t xml:space="preserve">”) a notice disputing any items set forth in the applicable Net Sales Statement delivered pursuant to this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once per Expiry Notice (such notice, a “</w:t>
      </w:r>
      <w:r>
        <w:rPr>
          <w:rFonts w:ascii="Times New Roman" w:cs="Times New Roman" w:eastAsia="Times New Roman" w:hAnsi="Times New Roman"/>
          <w:sz w:val="18"/>
          <w:szCs w:val="18"/>
          <w:u w:val="single" w:color="auto"/>
          <w:color w:val="auto"/>
        </w:rPr>
        <w:t>Dispute Notice</w:t>
      </w:r>
      <w:r>
        <w:rPr>
          <w:rFonts w:ascii="Times New Roman" w:cs="Times New Roman" w:eastAsia="Times New Roman" w:hAnsi="Times New Roman"/>
          <w:sz w:val="18"/>
          <w:szCs w:val="18"/>
          <w:color w:val="auto"/>
        </w:rPr>
        <w:t>”), and thereafter the Acting Holders and the Parent shall, in good faith, try to resolve any items under dispute as set forth in the Dispute Notice. If the Acting Holders and the Parent fail to agree on the item(s) under dispute within fifteen (15) Business Days after the Acting Holders deliver the Dispute Notice to the Parent and the Rights Agent, the Parent and the Company shall permit, and shall cause their respective Affiliates to permit, the Independent Accountant to have access during normal business hours to the records of the Company and its Subsidiaries in respect of the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23" w:name="page24"/>
    <w:bookmarkEnd w:id="2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Business as may be reasonably necessary to verify the accuracy of the Net Sales Statement and shall furnish, and shall cause their respective Affiliates to furnish, to the Independent Accountant such access, records, work papers and other documents and information as the Independent Accountant may reasonably request and as may be reasonably necessary to audit the Net Sales Statement and the determination of whether the applicable Milestone was achieved (subject to customary confidentiality agreements and access letters, in form and substance reasonably acceptable to the Parent and excluding information or access which would reasonably be expected to result in the waiver of any attorney-client privilege or violate any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Parent and the Company shall use reasonable best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The Independent Accountant shall be instructed to come to a final determination with respect to those items set forth in a Dispute Notice within thirty (30) days following the engagement of such Independent Accountant. The Independent Accountant shall act only as an expert and not as an arbitrator and shall be charged to come to a final determination in accordance with the terms of this Agreement regarding the calculation of Annual Net Sales with respect to only those items set forth in the Dispute Notice that the parties disagree on and submit to it for resolution. All other items in the applicable Net Sales Statement that the parties do not submit, prior to the end of the Review Request Period, to the Independent Accountant for resolution shall be deemed to be agreed by the parties and the Independent Accountant shall not be charged with calculating or validating those agreed upon items. The Independent Accountant shall disclose to the Parent and the Acting Holders any matters directly related to their findings to the extent necessary to verify the accuracy or completeness of the applicable Net Sales Statement. The Independent Accountant shall provide the Parent with a copy of all disclosures made to the Acting Holders concurrently with each such disclosures to the Acting Holders and shall provide the Acting Holders with a copy of all disclosures made to the Parent concurrently with each such disclosures to the Parent. The fees charged by the Independent Accountant shall be allocated to and borne by (i) Parent, based on the percentage that the portion of the disputed items determined by the Independent Accountant to be in favor of the Acting Holders bears to the amount actually disputed by the Acting Holders, on the one hand, and (ii) the Acting Holders, based on the percentage that the portion of the disputed items determined by the Independent Accountant to be in favor of Parent bears to the amount actually disputed by the Acting Holders, on the other.</w:t>
      </w:r>
    </w:p>
    <w:p>
      <w:pPr>
        <w:spacing w:after="0" w:line="97" w:lineRule="exact"/>
        <w:rPr>
          <w:sz w:val="20"/>
          <w:szCs w:val="20"/>
          <w:color w:val="auto"/>
        </w:rPr>
      </w:pPr>
    </w:p>
    <w:p>
      <w:pPr>
        <w:ind w:right="20" w:firstLine="419"/>
        <w:spacing w:after="0" w:line="258" w:lineRule="auto"/>
        <w:tabs>
          <w:tab w:leader="none" w:pos="6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Independent Accountant concludes that a Milestone was achieved as of the applicable date in accordance with the terms hereof and the applicable Milestone Payment Amounts were not paid to the Rights Agent, the Parent shall pay or caused to be paid to the Rights Agent such applicable Milestone Payment Amounts within thirty (30) calendar days of the date the Independent Accountant delivers its final written report to the Acting Holders and the Parent. The decision of the Independent Accountant shall be final, conclusive and binding on the Parent and the Holders, shall be non-appealable and shall not be subject to further review, absent manifest error.</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24" w:name="page25"/>
    <w:bookmarkEnd w:id="24"/>
    <w:p>
      <w:pPr>
        <w:jc w:val="both"/>
        <w:ind w:left="440" w:right="120" w:firstLine="419"/>
        <w:spacing w:after="0" w:line="266" w:lineRule="auto"/>
        <w:tabs>
          <w:tab w:leader="none" w:pos="11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upon the expiration of a Review Request Period, the Acting Holders have not provided a Dispute Notice to the Parent and the Rights Agent in accordance with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the calculations set forth in the applicable Net Sales Statement and the determination in the applicable Expiry Notice shall be final, binding and conclusive upon the Holders.</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person seeking to receive information from the Parent in connection with an audit pursuant to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shall enter into, and shall cause its accounting firm to enter into, a reasonable and mutually satisfactory confidentiality agreement with the Parent or any controlled Affiliate (including the Surviving Corporation) obligating such party to retain all such information disclosed to such party in confidence pursuant to such confidentiality agreement.</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Change of Control; Sale of the Business</w:t>
      </w:r>
      <w:r>
        <w:rPr>
          <w:rFonts w:ascii="Times New Roman" w:cs="Times New Roman" w:eastAsia="Times New Roman" w:hAnsi="Times New Roman"/>
          <w:sz w:val="18"/>
          <w:szCs w:val="18"/>
          <w:color w:val="auto"/>
        </w:rPr>
        <w:t>. Notwithstanding anything to the contrary in this Agreement, neither the Parent nor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nor any of their respective Subsidiaries, may enter into an agreement providing for, or consummate a Change of Control or a Sale of the Business prior to the termination of this Agreement or the payment of all Milestone Payment Amounts in accordance with this Agreement, whichever occurs earlier, without the prior written consent of the Acting Holders, unless either (at the Parent’s option) (x) the Person acquiring or succeeding to the Parent or the Company (if applicable pursuant to the structure of such Change of Control or Sale of the Business) in connection with such Change of Control or Sale of the Business (i) is a Qualified Buyer and (ii) assumes all of the Parent’s and the Company’s obligations, duties and covenants under this Agreement effective as of the effective time of such Change of Control or Sale of the Business, as applicable, and in an instrument supplemental hereto that is executed and delivered by such Person to the Rights Agent or (y) the Parent and the Company retain their obligations, duties and covenants under this Agreement following such Change of Control or Sale of the Business. Upon or prior to the consummation of any such Change of Control or Sale of the Business, the Parent or the Company will deliver a notice to the Rights Agent (and the Rights Agent will promptly, and in any event within ten (10) calendar days of receipt of such notice, send each Holder at its registered address a copy of such notice) stating that such Change of Control or Sale of the Business, as applicable, complies with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Upon consummation of a Change of Control or Sale of the Business in accordance with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in which a Qualified Buyer assumes all of the Parent’s and the Company’s obligations, duties and covenants hereunder, neither the Parent nor any of its Affiliates shall have any further liability or obligation with respect to any Milestone Payment Amounts or otherwise hereunder, and the Parent and its Affiliates shall be fully relieved from any such obligations. If the Company is the Party that undergoes the Change of Control or is sold in a transaction that constitutes a Sale of the Business, and prior to such sale the Company has assumed all of the Parent’s obligations hereunder, the Parent and the Company shall be deemed to have complied with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(pursuant to clause (x)).</w:t>
      </w:r>
    </w:p>
    <w:p>
      <w:pPr>
        <w:spacing w:after="0" w:line="193"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Intended Tax Treatment</w:t>
      </w:r>
      <w:r>
        <w:rPr>
          <w:rFonts w:ascii="Times New Roman" w:cs="Times New Roman" w:eastAsia="Times New Roman" w:hAnsi="Times New Roman"/>
          <w:sz w:val="18"/>
          <w:szCs w:val="18"/>
          <w:color w:val="auto"/>
        </w:rPr>
        <w:t>. Except to the extent any portion of any Milestone Payment Amount is required to be treated as imputed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under applicable law (including Section 483 of the Code), the parties hereto agree to treat (a) the CVRs (other than any Equity Award CVRs, or CVRs otherwise received as compensation) for all U.S. federal and applicable state and local Tax purposes as additional consideration for or in respect of the Company Common Stock pursuant to the Merger Agreement, (b) any Milestone Payment Amounts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5" w:name="page26"/>
    <w:bookmarkEnd w:id="2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received in respect of such CVRs as amounts realized on the disposition of the applicable CVRs and (c) the Equity Award CVRs for all U.S. federal and applicable state and local Tax purposes as additional compensation for or in respect of such Company Equity Awards, as applicable, pursuant to the Merger Agreement, and none of the parties hereto will take any position to the contrary on any Tax Return, any other filing with a Governmental Entity related to Taxes or for other Tax purposes except as otherwise required by applicable law. The Parent or the Rights Agent, as applicable, shall report imputed interest on the CVRs pursuant to Section 483 of the Code, except as required by applicable law.</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Amendments without Consent of 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00" w:firstLine="419"/>
        <w:spacing w:after="0" w:line="266" w:lineRule="auto"/>
        <w:tabs>
          <w:tab w:leader="none" w:pos="11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consent of any Holders or the Rights Agent, the Parent, at any time and from time to time, may enter into one or more amendments hereto, solely to evidence the succession of another person to the Parent and the assumption by any such successor of the covenants of the Parent herein as provided in and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any Holders, the Parent and the Rights Agent, at any time and from time to time, may enter into one or more amendments hereto, for any of the following purposes:</w:t>
      </w:r>
    </w:p>
    <w:p>
      <w:pPr>
        <w:spacing w:after="0" w:line="53" w:lineRule="exact"/>
        <w:rPr>
          <w:rFonts w:ascii="Times New Roman" w:cs="Times New Roman" w:eastAsia="Times New Roman" w:hAnsi="Times New Roman"/>
          <w:sz w:val="18"/>
          <w:szCs w:val="18"/>
          <w:color w:val="auto"/>
        </w:rPr>
      </w:pPr>
    </w:p>
    <w:p>
      <w:pPr>
        <w:ind w:left="980" w:right="60" w:firstLine="408"/>
        <w:spacing w:after="0" w:line="282" w:lineRule="auto"/>
        <w:tabs>
          <w:tab w:leader="none" w:pos="15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evidence the succession of another person as a successor Rights Agent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and the assumption by any such successor of the covenants and obligations of the Rights Agent herein;</w:t>
      </w:r>
    </w:p>
    <w:p>
      <w:pPr>
        <w:spacing w:after="0" w:line="53" w:lineRule="exact"/>
        <w:rPr>
          <w:rFonts w:ascii="Times New Roman" w:cs="Times New Roman" w:eastAsia="Times New Roman" w:hAnsi="Times New Roman"/>
          <w:sz w:val="18"/>
          <w:szCs w:val="18"/>
          <w:color w:val="auto"/>
        </w:rPr>
      </w:pPr>
    </w:p>
    <w:p>
      <w:pPr>
        <w:ind w:left="980" w:right="240" w:firstLine="408"/>
        <w:spacing w:after="0" w:line="266" w:lineRule="auto"/>
        <w:tabs>
          <w:tab w:leader="none" w:pos="16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the covenants of the Parent such further covenants, restrictions, conditions or provisions as the Parent and the Rights Agent will consider to be for the protection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provisions do not adversely affect the interests of the Holders;</w:t>
      </w:r>
    </w:p>
    <w:p>
      <w:pPr>
        <w:spacing w:after="0" w:line="67" w:lineRule="exact"/>
        <w:rPr>
          <w:rFonts w:ascii="Times New Roman" w:cs="Times New Roman" w:eastAsia="Times New Roman" w:hAnsi="Times New Roman"/>
          <w:sz w:val="18"/>
          <w:szCs w:val="18"/>
          <w:color w:val="auto"/>
        </w:rPr>
      </w:pPr>
    </w:p>
    <w:p>
      <w:pPr>
        <w:ind w:left="980" w:firstLine="408"/>
        <w:spacing w:after="0" w:line="266" w:lineRule="auto"/>
        <w:tabs>
          <w:tab w:leader="none" w:pos="16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provisions do not adversely affect the interests of the Holders;</w:t>
      </w:r>
    </w:p>
    <w:p>
      <w:pPr>
        <w:spacing w:after="0" w:line="67" w:lineRule="exact"/>
        <w:rPr>
          <w:rFonts w:ascii="Times New Roman" w:cs="Times New Roman" w:eastAsia="Times New Roman" w:hAnsi="Times New Roman"/>
          <w:sz w:val="18"/>
          <w:szCs w:val="18"/>
          <w:color w:val="auto"/>
        </w:rPr>
      </w:pPr>
    </w:p>
    <w:p>
      <w:pPr>
        <w:ind w:left="980" w:firstLine="408"/>
        <w:spacing w:after="0" w:line="266" w:lineRule="auto"/>
        <w:tabs>
          <w:tab w:leader="none" w:pos="168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may be necessary or appropriate to ensure that the CVRs are not subject to registration under the Securities Act, the Exchange Act and the rules and regulations promulgated thereunder, or any applicable state securities or “blue sky”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provisions do not materially adversely affect the interests of the Holders;</w:t>
      </w:r>
    </w:p>
    <w:p>
      <w:pPr>
        <w:spacing w:after="0" w:line="65" w:lineRule="exact"/>
        <w:rPr>
          <w:rFonts w:ascii="Times New Roman" w:cs="Times New Roman" w:eastAsia="Times New Roman" w:hAnsi="Times New Roman"/>
          <w:sz w:val="18"/>
          <w:szCs w:val="18"/>
          <w:color w:val="auto"/>
        </w:rPr>
      </w:pPr>
    </w:p>
    <w:p>
      <w:pPr>
        <w:ind w:left="980" w:right="120" w:firstLine="408"/>
        <w:spacing w:after="0" w:line="284" w:lineRule="auto"/>
        <w:tabs>
          <w:tab w:leader="none" w:pos="16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may be necessary to ensure that the Parent complies with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amendments shall not adversely affect the interests of the Holders; or</w:t>
      </w:r>
    </w:p>
    <w:p>
      <w:pPr>
        <w:spacing w:after="0" w:line="52"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8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hereto for the purpose of adding, eliminating or changing any provisions of this Agreement, unless such addition, elimination or change is adverse in any respect to the interests of the Holders.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26" w:name="page27"/>
    <w:bookmarkEnd w:id="26"/>
    <w:p>
      <w:pPr>
        <w:jc w:val="both"/>
        <w:ind w:right="280" w:firstLine="419"/>
        <w:spacing w:after="0" w:line="261" w:lineRule="auto"/>
        <w:tabs>
          <w:tab w:leader="none" w:pos="6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Promptly after the execution by the Parent and the Rights Agent of any amendment pursuant to the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 Parent will, with respect to CVRs held through DTC, transmit (or cause the Rights Agent to transmit) a notice thereof through the facilities of DTC in accordance with DTC’s procedures or, with respect to all other CVRs, will mail (or cause the Rights Agent to mail) a notice thereof by first class mail to the Holders at their addresses as they appear on the CVR Register, setting forth such amendment.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Amendments with Consent of 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19"/>
        <w:spacing w:after="0" w:line="258" w:lineRule="auto"/>
        <w:tabs>
          <w:tab w:leader="none" w:pos="6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(which amendments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may be made without the consent of the Holders), with the consent of the Acting Holders, whether evidenced in writing or taken at a meeting of the Holders, the Parent and the Rights Agent may enter into one or more amendments hereto for the purpose of adding, eliminating or changing any provisions of this Agreement, even if such addition, elimination or change is materially adverse to the interest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amendment shall, without the consent of the Holders of seventy-five percent (75%) of the outstanding CVRs:</w:t>
      </w:r>
    </w:p>
    <w:p>
      <w:pPr>
        <w:spacing w:after="0" w:line="75"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in a manner adverse to the Holders any provision contained herein with respect to the termination of this Agreement or the</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CVRs;</w:t>
      </w:r>
    </w:p>
    <w:p>
      <w:pPr>
        <w:spacing w:after="0" w:line="98" w:lineRule="exact"/>
        <w:rPr>
          <w:rFonts w:ascii="Times New Roman" w:cs="Times New Roman" w:eastAsia="Times New Roman" w:hAnsi="Times New Roman"/>
          <w:sz w:val="18"/>
          <w:szCs w:val="18"/>
          <w:color w:val="auto"/>
        </w:rPr>
      </w:pPr>
    </w:p>
    <w:p>
      <w:pPr>
        <w:ind w:left="540" w:right="240" w:firstLine="408"/>
        <w:spacing w:after="0" w:line="282" w:lineRule="auto"/>
        <w:tabs>
          <w:tab w:leader="none" w:pos="120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in a manner materially adverse to the Holders (A) the time for, and amount of, any payment to the made to the Holders pursuant to this Agreement or (B) the definition of any Milestone;</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number of CVRs (for the avoidance of doubt other than as automatically set forth herein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540" w:right="360" w:firstLine="408"/>
        <w:spacing w:after="0" w:line="266" w:lineRule="auto"/>
        <w:tabs>
          <w:tab w:leader="none" w:pos="124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provision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except to increase the percentage of Holders from whom consent is required or to provide that certain provisions of this Agreement cannot be modified or waived without the consent of the Holder of each outstanding CVR affected thereby.</w:t>
      </w:r>
    </w:p>
    <w:p>
      <w:pPr>
        <w:spacing w:after="0" w:line="67" w:lineRule="exact"/>
        <w:rPr>
          <w:rFonts w:ascii="Times New Roman" w:cs="Times New Roman" w:eastAsia="Times New Roman" w:hAnsi="Times New Roman"/>
          <w:sz w:val="18"/>
          <w:szCs w:val="18"/>
          <w:color w:val="auto"/>
        </w:rPr>
      </w:pPr>
    </w:p>
    <w:p>
      <w:pPr>
        <w:jc w:val="both"/>
        <w:ind w:right="280" w:firstLine="419"/>
        <w:spacing w:after="0" w:line="261" w:lineRule="auto"/>
        <w:tabs>
          <w:tab w:leader="none" w:pos="6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by the Parent and the Rights Agent of any amendment pursuant to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Parent will, with respect to CVRs held through DTC, transmit (or cause the Rights Agent to transmit) a notice thereof through the facilities of DTC in accordance with DTC’s procedures or, with respect to all other CVRs, will mail (or cause the Rights Agent to mail) a notice thereof by first class mail to the Holders at their addresses as they appear on the CVR Register, setting forth such amendment.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70" w:right="459" w:bottom="1440" w:gutter="0" w:footer="0" w:header="0"/>
        </w:sectPr>
      </w:pPr>
    </w:p>
    <w:bookmarkStart w:id="27" w:name="page28"/>
    <w:bookmarkEnd w:id="27"/>
    <w:p>
      <w:pPr>
        <w:jc w:val="both"/>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5.3 </w:t>
      </w:r>
      <w:r>
        <w:rPr>
          <w:rFonts w:ascii="Times New Roman" w:cs="Times New Roman" w:eastAsia="Times New Roman" w:hAnsi="Times New Roman"/>
          <w:sz w:val="18"/>
          <w:szCs w:val="18"/>
          <w:b w:val="1"/>
          <w:bCs w:val="1"/>
          <w:u w:val="single" w:color="auto"/>
          <w:color w:val="auto"/>
        </w:rPr>
        <w:t>Execution of Amendments</w:t>
      </w:r>
      <w:r>
        <w:rPr>
          <w:rFonts w:ascii="Times New Roman" w:cs="Times New Roman" w:eastAsia="Times New Roman" w:hAnsi="Times New Roman"/>
          <w:sz w:val="18"/>
          <w:szCs w:val="18"/>
          <w:color w:val="auto"/>
        </w:rPr>
        <w:t>. In executing any amendment permitted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Rights Agent will be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be fully protected in relying upon, an opinion of counsel selected by the Parent stating that the execution of such amendment is authorized or permitted by this Agreement. The Rights Agent may, but is not obligated to, enter into any such amendment that affects the Rights Agent’s own rights, privileges, covenants or duties under this Agreement or otherwise.</w:t>
      </w:r>
    </w:p>
    <w:p>
      <w:pPr>
        <w:spacing w:after="0" w:line="176"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Effect of Amendments</w:t>
      </w:r>
      <w:r>
        <w:rPr>
          <w:rFonts w:ascii="Times New Roman" w:cs="Times New Roman" w:eastAsia="Times New Roman" w:hAnsi="Times New Roman"/>
          <w:sz w:val="18"/>
          <w:szCs w:val="18"/>
          <w:color w:val="auto"/>
        </w:rPr>
        <w:t>. Upon the execution of any amendment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this Agreement will be modified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therewith, such amendment will form a part of this Agreement for all purposes and every Holder will be bound thereby.</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PROVISIONS OF GENERAL APPLICATION</w:t>
      </w:r>
    </w:p>
    <w:p>
      <w:pPr>
        <w:spacing w:after="0" w:line="203"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Notices to Rights Agent and the Parent</w:t>
      </w:r>
      <w:r>
        <w:rPr>
          <w:rFonts w:ascii="Times New Roman" w:cs="Times New Roman" w:eastAsia="Times New Roman" w:hAnsi="Times New Roman"/>
          <w:sz w:val="18"/>
          <w:szCs w:val="18"/>
          <w:color w:val="auto"/>
        </w:rPr>
        <w:t>. All notices, requests, instructions or other communications or documents to be given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hereunder by any party to the other parties to this Agreement shall be in writing and (a) served by personal delivery upon the party for whom it is intended, (b) served by an internationally recognized overnight courier service upon the party for whom it is intended, (c) delivered by registered or certified mail, return receipt requested or (d) sent by email:</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the Rights Agent, to it at: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1110 Centre Pointe Curve, Suite # 101</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Mendota Heights, MN 55120</w:t>
      </w:r>
    </w:p>
    <w:p>
      <w:pPr>
        <w:spacing w:after="0" w:line="9"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Reorganization Department</w:t>
      </w:r>
    </w:p>
    <w:p>
      <w:pPr>
        <w:spacing w:after="0" w:line="9"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ReorgRM@equiniti.com</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the Parent or to the Company, to it at: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225 Binney Street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Chief Legal Officer</w:t>
      </w:r>
    </w:p>
    <w:p>
      <w:pPr>
        <w:spacing w:after="0" w:line="9"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legaldepartment@biogen.com</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375 Ninth Avenue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Aaron M. Gruber</w:t>
      </w:r>
    </w:p>
    <w:p>
      <w:pPr>
        <w:spacing w:after="0" w:line="9" w:lineRule="exact"/>
        <w:rPr>
          <w:sz w:val="20"/>
          <w:szCs w:val="20"/>
          <w:color w:val="auto"/>
        </w:rPr>
      </w:pPr>
    </w:p>
    <w:p>
      <w:pPr>
        <w:ind w:left="1760" w:hanging="887"/>
        <w:spacing w:after="0"/>
        <w:tabs>
          <w:tab w:leader="none" w:pos="1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Bethany A. Pfalzgraf</w:t>
      </w:r>
    </w:p>
    <w:p>
      <w:pPr>
        <w:spacing w:after="0" w:line="9" w:lineRule="exact"/>
        <w:rPr>
          <w:rFonts w:ascii="Times New Roman" w:cs="Times New Roman" w:eastAsia="Times New Roman" w:hAnsi="Times New Roman"/>
          <w:sz w:val="18"/>
          <w:szCs w:val="18"/>
          <w:color w:val="auto"/>
        </w:rPr>
      </w:pPr>
    </w:p>
    <w:p>
      <w:pPr>
        <w:ind w:left="1760" w:hanging="887"/>
        <w:spacing w:after="0"/>
        <w:tabs>
          <w:tab w:leader="none" w:pos="1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J. Wichtowski</w:t>
      </w:r>
    </w:p>
    <w:p>
      <w:pPr>
        <w:spacing w:after="0" w:line="207" w:lineRule="exact"/>
        <w:rPr>
          <w:sz w:val="20"/>
          <w:szCs w:val="20"/>
          <w:color w:val="auto"/>
        </w:rPr>
      </w:pPr>
    </w:p>
    <w:p>
      <w:pPr>
        <w:ind w:left="1760" w:hanging="887"/>
        <w:spacing w:after="0"/>
        <w:tabs>
          <w:tab w:leader="none" w:pos="1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bpfalzgraf@cravath.com</w:t>
      </w:r>
    </w:p>
    <w:p>
      <w:pPr>
        <w:spacing w:after="0" w:line="27" w:lineRule="exact"/>
        <w:rPr>
          <w:rFonts w:ascii="Times New Roman" w:cs="Times New Roman" w:eastAsia="Times New Roman" w:hAnsi="Times New Roman"/>
          <w:sz w:val="18"/>
          <w:szCs w:val="18"/>
          <w:color w:val="auto"/>
        </w:rPr>
      </w:pPr>
    </w:p>
    <w:p>
      <w:pPr>
        <w:ind w:left="1760" w:hanging="887"/>
        <w:spacing w:after="0"/>
        <w:tabs>
          <w:tab w:leader="none" w:pos="1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rwichtowski@cravath.com</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80"/>
          </w:cols>
          <w:pgMar w:left="440" w:top="266" w:right="579" w:bottom="1440" w:gutter="0" w:footer="0" w:header="0"/>
        </w:sectPr>
      </w:pPr>
    </w:p>
    <w:bookmarkStart w:id="28" w:name="page29"/>
    <w:bookmarkEnd w:id="28"/>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to such other Person or addressees as has or have been designated in writing by the party to receive such notice provided above. Any notice, request, instruction or other communication or document given as provided above shall be deemed given to the receiving party (w) upon actual receipt, if delivered personally, (x) on the next Business Day after deposit with an overnight courier, if sent by an overnight courier, (y) three (3) Business Days after deposit in the mail, if sent by registered or certified mail or (z) when delivered by email (to the extent that no “bounce back” or similar message indicating non-delivery is received with respect thereto). Copies to outside counsel are for convenience only and failure to provide a copy to outside counsel does not alter the effectiveness of any notice, request, instruction or other communication or document otherwise given in accordance with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Notice to Holders</w:t>
      </w:r>
      <w:r>
        <w:rPr>
          <w:rFonts w:ascii="Times New Roman" w:cs="Times New Roman" w:eastAsia="Times New Roman" w:hAnsi="Times New Roman"/>
          <w:sz w:val="18"/>
          <w:szCs w:val="18"/>
          <w:color w:val="auto"/>
        </w:rPr>
        <w:t>. Where this Agreement provides for notice to Holders, such notice will be sufficiently given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expressly provided) (i) with respect to CVRs held through DTC if in writing and transmitted through the facilities of DTC in accordance with DTC’s procedures or (ii)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Parent Successors and Assigns</w:t>
      </w:r>
      <w:r>
        <w:rPr>
          <w:rFonts w:ascii="Times New Roman" w:cs="Times New Roman" w:eastAsia="Times New Roman" w:hAnsi="Times New Roman"/>
          <w:sz w:val="18"/>
          <w:szCs w:val="18"/>
          <w:color w:val="auto"/>
        </w:rPr>
        <w:t>. The Parent may assign, in its sole discretion and without the consent of any other party, any or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rights, interests and obligations hereunder to (a) one or more wholly-owned subsidiaries of the Parent but only for so long as any such entity remains a direct or indirect wholly-owned subsidiary of the Parent or (b) an acquiror in connection with a Change of Control of the Parent or a Sale of the Business in accordance with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of this Agreement (each such assignee in the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only to the extent in accordance with clause (y) of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the Parent remains jointly and severally liable. Any such Assignee may thereafter assign any or all of its rights, interests and obligations hereunder in the same manner as the Parent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This Agreement will be binding upon, inure to the benefit of and be enforceable by the Parent’s successors. Any attempted assignment of this Agreement in violation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void and of no effect. The Rights Agent may not assign this Agreement without the Parent’s and the Acting Holders’ written consent.</w:t>
      </w:r>
    </w:p>
    <w:p>
      <w:pPr>
        <w:spacing w:after="0" w:line="188"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b w:val="1"/>
          <w:bCs w:val="1"/>
          <w:u w:val="single" w:color="auto"/>
          <w:color w:val="auto"/>
        </w:rPr>
        <w:t>Benefits of Agreement</w:t>
      </w:r>
      <w:r>
        <w:rPr>
          <w:rFonts w:ascii="Times New Roman" w:cs="Times New Roman" w:eastAsia="Times New Roman" w:hAnsi="Times New Roman"/>
          <w:sz w:val="18"/>
          <w:szCs w:val="18"/>
          <w:color w:val="auto"/>
        </w:rPr>
        <w:t>. Nothing in this Agreement, express or implied, will give to any person (other than the Rights Agent,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the Parent’s successors and assignees and the Holders) any benefit or any legal or equitable right, remedy or claim under this Agreement or under any covenant or provision herein contained, all such covenants and provisions being for the sole benefit of the Rights Agent, the Parent, the Parent’s successors and assignees and the Holders. The rights of Holders are limited to those expressly provided in this Agreement which shall be exercised only by the Acting Holders. Notwithstanding anything to the contrary contained herein, any Holder may at any time agree to renounce, in whole or in part, whether or not for consideration, such Holder’s rights under this Agreement by written notice to the Rights Agent and the Parent, which notice, if given, shall be irrevocable, and the Parent may, in its sole discretion, at any time offer consideration to the Holders in exchange for their agreement to irrevocably renounce their rights, in whole or in part, hereunder.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9" w:name="page30"/>
    <w:bookmarkEnd w:id="29"/>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6.5 </w:t>
      </w:r>
      <w:r>
        <w:rPr>
          <w:rFonts w:ascii="Times New Roman" w:cs="Times New Roman" w:eastAsia="Times New Roman" w:hAnsi="Times New Roman"/>
          <w:sz w:val="18"/>
          <w:szCs w:val="18"/>
          <w:b w:val="1"/>
          <w:bCs w:val="1"/>
          <w:u w:val="single" w:color="auto"/>
          <w:color w:val="auto"/>
        </w:rPr>
        <w:t>Limitations on Suits by Holders</w:t>
      </w:r>
      <w:r>
        <w:rPr>
          <w:rFonts w:ascii="Times New Roman" w:cs="Times New Roman" w:eastAsia="Times New Roman" w:hAnsi="Times New Roman"/>
          <w:sz w:val="18"/>
          <w:szCs w:val="18"/>
          <w:color w:val="auto"/>
        </w:rPr>
        <w:t>. No individual Holder or group of Holders shall have any right under this Agreement to commence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proceedings under or with respect to this Agreement, and such rights may only be exercised by the Acting Holders in accordance with, and subject to the limitations set forth in, this Agreement. Any action brought by the Acting Holders shall be subject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the terms of which shall apply to such Acting Holders, as applicable, and such action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The Acting Holders shall have the right, on behalf of all Holders, by virtue of or under any provision of this Agreement, to institute any action at law or in equity or in bankruptcy or otherwise upon or under or with respect to this Agreement. In any such action, the Acting Holders shall be deemed to represent all Holders. Amounts collected by the Acting Holders in any action in which the Acting Holders are deemed to represent all Holders shall be paid first to reimburse the legal fees and other reasonable costs and expenses incurred by the Acting Holders in connection with such action and the balance shall be distributed to all Holders. The Acting Holders, in acting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on behalf of all Holders, shall have no liability to any other Holders for any such actions.</w:t>
      </w:r>
    </w:p>
    <w:p>
      <w:pPr>
        <w:spacing w:after="0" w:line="188"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6.6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the CVRs and any action (whether at law, in contract or in tort) that may directly or indirectly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upon, relate to or arise out of this Agreement or any transaction contemplated hereby, or the negotiation, execution or performance hereunder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w:t>
      </w:r>
    </w:p>
    <w:p>
      <w:pPr>
        <w:spacing w:after="0" w:line="17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6.7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the validity or enforceability of the other provisions hereof. If any provision of this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82"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6.8 </w:t>
      </w:r>
      <w:r>
        <w:rPr>
          <w:rFonts w:ascii="Times New Roman" w:cs="Times New Roman" w:eastAsia="Times New Roman" w:hAnsi="Times New Roman"/>
          <w:sz w:val="18"/>
          <w:szCs w:val="18"/>
          <w:b w:val="1"/>
          <w:bCs w:val="1"/>
          <w:u w:val="single" w:color="auto"/>
          <w:color w:val="auto"/>
        </w:rPr>
        <w:t>Counterparts and Signature</w:t>
      </w:r>
      <w:r>
        <w:rPr>
          <w:rFonts w:ascii="Times New Roman" w:cs="Times New Roman" w:eastAsia="Times New Roman" w:hAnsi="Times New Roman"/>
          <w:sz w:val="18"/>
          <w:szCs w:val="18"/>
          <w:color w:val="auto"/>
        </w:rPr>
        <w:t>. This Agreement may be executed in two or more counterparts (including by facsimile or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scan delivered 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6.9 </w:t>
      </w:r>
      <w:r>
        <w:rPr>
          <w:rFonts w:ascii="Times New Roman" w:cs="Times New Roman" w:eastAsia="Times New Roman" w:hAnsi="Times New Roman"/>
          <w:sz w:val="18"/>
          <w:szCs w:val="18"/>
          <w:b w:val="1"/>
          <w:bCs w:val="1"/>
          <w:u w:val="single" w:color="auto"/>
          <w:color w:val="auto"/>
        </w:rPr>
        <w:t>Jurisdiction; Waiver of Jury Trial</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80" w:firstLine="419"/>
        <w:spacing w:after="0" w:line="266" w:lineRule="auto"/>
        <w:tabs>
          <w:tab w:leader="none" w:pos="11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expressly submits to the personal jurisdiction and venue of the Court of Chancery of the State of Delaware and any state appellate court therefrom within the State of Delaware (or, if the Court of Chancery of the State of Delaware declines to accept jurisdiction over a particular matter, any federal court of the United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30" w:name="page31"/>
    <w:bookmarkEnd w:id="30"/>
    <w:p>
      <w:pPr>
        <w:ind w:left="440"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States of America within the State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in the event any dispute between the parties hereto (whether in contract, tort or otherwise) arises out of this Agreement or the transactions contemplated hereby, (b) expressly waives any claim of lack of personal jurisdiction or improper venue and any claims that such courts are an inconvenient forum with respect to such a claim, and (c) agrees that it shall not bring any claim, action or proceeding against any other parties hereto relating to this Agreement or the transactions contemplated hereby in any court other than the Chosen Courts. Each party hereto hereby irrevocably consents to the service of process of any of the aforementioned courts in any such suit, action or proceeding by the mailing of copies thereof by registered or certified mail or by overnight courier service, postage prepaid, to its address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such service to become effective ten (10) days after such mailing.</w:t>
      </w:r>
    </w:p>
    <w:p>
      <w:pPr>
        <w:spacing w:after="0" w:line="81" w:lineRule="exact"/>
        <w:rPr>
          <w:sz w:val="20"/>
          <w:szCs w:val="20"/>
          <w:color w:val="auto"/>
        </w:rPr>
      </w:pPr>
    </w:p>
    <w:p>
      <w:pPr>
        <w:ind w:left="440" w:right="80" w:firstLine="419"/>
        <w:spacing w:after="0" w:line="272" w:lineRule="auto"/>
        <w:tabs>
          <w:tab w:leader="none" w:pos="1118"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HEREBY WAIVES TO THE FULLEST EXTENT PERMITTED BY APPLICABLE LAW, ANY RIGHT IT MAY HAVE TO A TRIAL BY JURY IN RESPECT OF ANY CLAIM, ACTION OR PROCEEDING DIRECTLY OR INDIRECTLY ARISING OUT OF, UNDER OR IN CONNECTION WITH THIS AGREEMENT OR THE TRANSACTIONS CONTEMPLATED HEREBY. EACH PARTY</w:t>
      </w:r>
    </w:p>
    <w:p>
      <w:pPr>
        <w:spacing w:after="0" w:line="1" w:lineRule="exact"/>
        <w:rPr>
          <w:rFonts w:ascii="Times New Roman" w:cs="Times New Roman" w:eastAsia="Times New Roman" w:hAnsi="Times New Roman"/>
          <w:sz w:val="17"/>
          <w:szCs w:val="17"/>
          <w:color w:val="auto"/>
        </w:rPr>
      </w:pPr>
    </w:p>
    <w:p>
      <w:pPr>
        <w:ind w:left="440" w:right="20" w:hanging="4"/>
        <w:spacing w:after="0" w:line="253"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CERTIFIES THAT NO REPRESENTATIVE, AGENT OR ATTORNEY OF ANY OTHER PARTY HAS REPRESENTED, EXPRESSLY OR OTHERWISE, THAT SUCH OTHER PARTY WOULD NOT, IN THE EVENT OF LITIGATION, SEEK TO ENFORCE THE FOREGOING WAIVER AND (ii) ACKNOWLEDGES THAT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6.10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will be terminated and of no force or effect, the parties hereto will have no liability hereunder,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payments will be required to be made, upon the earliest to occur of (a) the complete payment in full of all Milestone Payment Amounts required to be paid under the terms of this Agreement, (b) the delivery to the Rights Agent of a written notice of termination duly executed by the Parent and Holders of seventy-five percent (75%) of the outstanding CVRs and (c) if (and only if) Parent has complied with its obligations under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in all material respects, June 30, 2032;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foregoing clause (c) if there is any pending Dispute Notice or ongoing action (whether in contract or in tort or otherwise) arising out of or relating to this Agreement properly brought hereunder by the Acting Holders prior to the termination hereof, this Agreement will not terminate until there is (i) in the case of a Dispute Notice, a final decision of the Independent Accountant pursuant to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or a settlement between the Parent and the Acting Holders and payment by the Parent to the Rights Agent of any applicable Milestone Payment Amounts determined by the Independent Accountant or such settlement, as applicable, to be payable to the Holders or (ii) in the case of such an ongoing action, a final non-appealable order on such action from a court of competent jurisdiction or a settlement between the Parent and the Acting Holders.</w:t>
      </w:r>
    </w:p>
    <w:p>
      <w:pPr>
        <w:spacing w:after="0" w:line="182"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6.11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and the Merger Agreement (including the schedules, annexes and exhibits thereto) contain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understanding of the parties hereto and thereto with reference to the transactions and matters contemplated hereby and thereby and supersede all prior agreements, written or oral, among the parties with respect hereto and thereto. If and to the extent that any provision of this Agreement is inconsistent or conflicts with the Merger Agreement, this Agreement will govern and be controlling with respect to CVR matters only and the Merger Agreement shall govern and be controlling with respect to all matters unrelated to CVRs.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440" w:top="270" w:right="519" w:bottom="1440" w:gutter="0" w:footer="0" w:header="0"/>
        </w:sectPr>
      </w:pPr>
    </w:p>
    <w:bookmarkStart w:id="31" w:name="page32"/>
    <w:bookmarkEnd w:id="31"/>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6.12 </w:t>
      </w:r>
      <w:r>
        <w:rPr>
          <w:rFonts w:ascii="Times New Roman" w:cs="Times New Roman" w:eastAsia="Times New Roman" w:hAnsi="Times New Roman"/>
          <w:sz w:val="18"/>
          <w:szCs w:val="18"/>
          <w:b w:val="1"/>
          <w:bCs w:val="1"/>
          <w:u w:val="single" w:color="auto"/>
          <w:color w:val="auto"/>
        </w:rPr>
        <w:t>Obligation of the Parent</w:t>
      </w:r>
      <w:r>
        <w:rPr>
          <w:rFonts w:ascii="Times New Roman" w:cs="Times New Roman" w:eastAsia="Times New Roman" w:hAnsi="Times New Roman"/>
          <w:sz w:val="18"/>
          <w:szCs w:val="18"/>
          <w:color w:val="auto"/>
        </w:rPr>
        <w:t>. The Parent shall cause the Company to duly perform, satisfy and discharge each of the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and liabilities applicable to the Company under this Agreement. The Parent and the Company shall be jointly and severally liable for the performance and satisfaction of each of their respective covenants, obligations and liabilities hereunder. As material inducement to the Company to enter into the Merger Agreement and to consummate the transactions contemplated thereby, the Company hereby irrevocably and unconditionally guarantees the due and punctual performance of all obligations of the Parent hereunder, including the Parent’s obligations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in each case when, as and if due (collectively, the “</w:t>
      </w:r>
      <w:r>
        <w:rPr>
          <w:rFonts w:ascii="Times New Roman" w:cs="Times New Roman" w:eastAsia="Times New Roman" w:hAnsi="Times New Roman"/>
          <w:sz w:val="18"/>
          <w:szCs w:val="18"/>
          <w:u w:val="single" w:color="auto"/>
          <w:color w:val="auto"/>
        </w:rPr>
        <w:t>Company Guaranteed Obligations</w:t>
      </w:r>
      <w:r>
        <w:rPr>
          <w:rFonts w:ascii="Times New Roman" w:cs="Times New Roman" w:eastAsia="Times New Roman" w:hAnsi="Times New Roman"/>
          <w:sz w:val="18"/>
          <w:szCs w:val="18"/>
          <w:color w:val="auto"/>
        </w:rPr>
        <w:t xml:space="preserve">”). To the fullest extent permitted by applicable law, the Company hereby expressly waives any and all rights and defenses arising by reason of any applicable laws other than any defenses available to the Parent. Without limiting the generality of the foregoing, the Company expressly waives: (i) notice of the acceptance by the Holders of this guarantee; (ii) notice of the non-performance of all or any of the Company Guaranteed Obligations; (iii) presentment, demand, notice of dishonor, protest, notice of protest and all other notices whatsoever, in respect of any or all of the Company Guaranteed Obligations (except notices required to be given hereunder); and (iv) any defense arising by reason of any claim or defense based upon an election of remedies, including the failure or delay in exercising remedies against the Parent by the Holders which in any manner affects any of its rights to proceed against the Company, other than any claims or defenses available to the Parent. The Company agrees that this guaranty is one of payment, not merely of collection and not merely that of a surety, and that the Acting Holders shall not be required to pursue any right or remedy they may have against the Parent under this Agreement or otherwise or to first commence any proceeding or obtain any judgment against the Parent in order to enforce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For the avoidance of doubt,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survive for so long as the obligations of the Parent hereunder are outstanding. Notwithstanding anything to the contrary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be enforceable only by the Acting Holders. Nothing set forth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expand the obligations of the Parent hereunder or the rights of the Acting Holders hereunder.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32" w:name="page33"/>
    <w:bookmarkEnd w:id="3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parties has caused this Agreement to be executed on its behalf by its duly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Robin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Robin Kramer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Cedric Francois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Michael Legregin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Legregin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SVP</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CVR Agreement</w:t>
      </w:r>
      <w:r>
        <w:rPr>
          <w:rFonts w:ascii="Times New Roman" w:cs="Times New Roman" w:eastAsia="Times New Roman" w:hAnsi="Times New Roman"/>
          <w:sz w:val="18"/>
          <w:szCs w:val="18"/>
          <w:color w:val="auto"/>
        </w:rPr>
        <w:t>]</w:t>
      </w:r>
    </w:p>
    <w:p>
      <w:pPr>
        <w:sectPr>
          <w:pgSz w:w="11900" w:h="16838" w:orient="portrait"/>
          <w:cols w:equalWidth="0" w:num="1">
            <w:col w:w="10900"/>
          </w:cols>
          <w:pgMar w:left="440" w:top="270" w:right="55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Rights Agent Fees</w:t>
      </w:r>
    </w:p>
    <w:p>
      <w:pPr>
        <w:sectPr>
          <w:pgSz w:w="11900" w:h="16838" w:orient="portrait"/>
          <w:cols w:equalWidth="0" w:num="1">
            <w:col w:w="9019"/>
          </w:cols>
          <w:pgMar w:left="1440" w:top="266"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TERM LOAN CREDIT AGREEMENT</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May 12,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BIOGEN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the Administrative Agent,</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BANCO BILBAO VIZCAYA ARGENTARIA, S.A. NEW YORK BRANCH</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BANK OF CHINA, NEW YORK BRANCH</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SCOTIA FINANCING (USA) LLC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TORONTO-DOMINION BANK, NEW YORK BRANCH</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Other Lenders Party Hereto</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BANCO BILBAO VIZCAYA ARGENTARIA, S.A. NEW YORK BRANCH</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BOFA SECURITIES,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WELLS FARGO SECURITIES,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BANK OF CHINA, NEW YORK BRANCH</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SCOTIA FINANCING (USA) LLC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TD SECURITIES (USA)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714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TABLE OF CONTENTS</w:t>
            </w:r>
          </w:p>
        </w:tc>
        <w:tc>
          <w:tcPr>
            <w:tcW w:w="2360" w:type="dxa"/>
            <w:vAlign w:val="bottom"/>
          </w:tcPr>
          <w:p>
            <w:pPr>
              <w:spacing w:after="0"/>
              <w:rPr>
                <w:sz w:val="20"/>
                <w:szCs w:val="20"/>
                <w:color w:val="auto"/>
              </w:rPr>
            </w:pPr>
          </w:p>
        </w:tc>
      </w:tr>
      <w:tr>
        <w:trPr>
          <w:trHeight w:val="459"/>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Defined Terms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1.02</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Other Interpretive Provisions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1.03</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Accounting Terms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1.04</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Rounding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8"/>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1.05</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Times of Day; Rates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COMMITMENTS AND LOANS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2"/>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2.01</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2.02</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Borrowings; Conversions and Continuations of Loans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2.03</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2.04</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2.05</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Prepayments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2.06</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Termination or Reduction of Aggregate Commitments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2.07</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Repayment of Loans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2.08</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2.09</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Fees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2.10</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Computation of Interest and Fees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2.11</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Evidence of Debt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2.12</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Payments Generally; Administrative Agent’s Clawback</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2.13</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Sharing of Payments by Lenders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2.14</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8"/>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2.15</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Defaulting Lenders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TAXES, YIELD PROTECTION AND ILLEGALITY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2"/>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3.01</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3.02</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Illegality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3.03</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Inability to Determine Rates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3.04</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Increased Costs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3.05</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Compensation for Losses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3.06</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Mitigation Obligations; Replacement of Lenders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8"/>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3.07</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Survival</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 PRECEDENT TO LENDING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2"/>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4.01</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Conditions Precedent to Effectiveness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8"/>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4.02</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Conditions to the Borrowings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2"/>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5.01</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Existence, Qualification and Power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5.02</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Authorization; No Contravention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5.03</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Governmental Authorization; Other Consents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5.04</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Binding Effect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5.05</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No Material Adverse Effect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5.06</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Litigation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5.07</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No Default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5.08</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Environmental Compliance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5.09</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8"/>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5.10</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6" w:name="page37"/>
    <w:bookmarkEnd w:id="36"/>
    <w:tbl>
      <w:tblPr>
        <w:tblLayout w:type="fixed"/>
        <w:tblInd w:w="0" w:type="dxa"/>
        <w:tblCellMar>
          <w:top w:w="0" w:type="dxa"/>
          <w:left w:w="0" w:type="dxa"/>
          <w:bottom w:w="0" w:type="dxa"/>
          <w:right w:w="0" w:type="dxa"/>
        </w:tblCellMar>
      </w:tblP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5.11</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ERISA Compliance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5.12</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Margin Regulations; Investment Company Act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5.13</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Disclosure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5.14</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Compliance with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5.15</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Solvency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5.16</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Sanctions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5.17</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Anti-Corruption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5.18</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Affected Financial Institutions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8"/>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5.19</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Covered Entities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AFFIRMATIVE COVENANTS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2"/>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6.01</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6.02</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Certificates; Other Information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6.03</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6.04</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Payment of Obligations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6.05</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Preservation of Existence, Etc.</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6.06</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Maintenance of Properties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6.07</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Maintenance of Insurance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6.08</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Compliance with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6.09</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Books and Records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6.10</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6.11</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Anti-Corruption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8"/>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6.12</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Sanctions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NEGATIVE COVENANTS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2"/>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7.01</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Liens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7.02</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Subsidiary Indebtedness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7.03</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Fundamental Changes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7.04</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Change in Nature of Business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7.05</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7.06</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Sanctions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8"/>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7.07</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Anti-Corruption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EVENTS OF DEFAULT AND REMEDIES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02"/>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8.01</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Events of Default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8.02</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Remedies Upon Event of Default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8"/>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8.03</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Application of Funds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ADMINISTRATIVE AGENT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2"/>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9.01</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Appointment and Authority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9.02</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Rights as a Lender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9.03</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Exculpatory Provisions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9.04</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Reliance by Administrative Agent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9.05</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Delegation of Duties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9.06</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Resignation of Administrative Agent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9.07</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Non-Reliance on Administrative Agent, Arrangers and Other Lenders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9.08</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No Other Duties, Etc.</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9.09</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Administrative Agent May File Proofs of Claim</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9.10</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Certain ERISA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8"/>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9.11</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Recovery of Erroneous Payments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37" w:name="page38"/>
    <w:bookmarkEnd w:id="37"/>
    <w:tbl>
      <w:tblPr>
        <w:tblLayout w:type="fixed"/>
        <w:tblInd w:w="4" w:type="dxa"/>
        <w:tblCellMar>
          <w:top w:w="0" w:type="dxa"/>
          <w:left w:w="0" w:type="dxa"/>
          <w:bottom w:w="0" w:type="dxa"/>
          <w:right w:w="0" w:type="dxa"/>
        </w:tblCellMar>
      </w:tblPr>
      <w:tr>
        <w:trPr>
          <w:trHeight w:val="234"/>
        </w:trPr>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02"/>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Amendments, Etc.</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Notices; Effectiveness; Electronic Communication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10.03</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No Waiver; Cumulative Remedies; Enforcement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10.04</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Expenses; Indemnity; Damage Waiver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10.05</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Payments Set Aside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10.06</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Successors and Assigns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10.07</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Treatment of Certain Information; Confidentiality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10.08</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Right of Setoff</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10.09</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Limitation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10.10</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Integration; Effectiveness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Survival of Representations and Warranties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10.13</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Replacement of Lenders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10.14</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Governing Law; Jurisdiction; Etc.</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10.15</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10.16</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No Advisory or Fiduciary Responsibility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10.17</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USA PATRIOT Act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10.18</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Judgment Currency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10.19</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Electronic Execution; Electronic Records; Counterparts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10.20</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Acknowledgement and Consent to Bail-In of Affected Financial Institutions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8"/>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10.21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Acknowledgement Regarding any Supported QFCs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32"/>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SCHEDULES</w:t>
            </w:r>
          </w:p>
        </w:tc>
        <w:tc>
          <w:tcPr>
            <w:tcW w:w="76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2.01</w:t>
            </w:r>
          </w:p>
        </w:tc>
        <w:tc>
          <w:tcPr>
            <w:tcW w:w="8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Commitments</w:t>
            </w:r>
          </w:p>
        </w:tc>
        <w:tc>
          <w:tcPr>
            <w:tcW w:w="1860" w:type="dxa"/>
            <w:vAlign w:val="bottom"/>
          </w:tcPr>
          <w:p>
            <w:pPr>
              <w:spacing w:after="0"/>
              <w:rPr>
                <w:sz w:val="24"/>
                <w:szCs w:val="24"/>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7.01</w:t>
            </w:r>
          </w:p>
        </w:tc>
        <w:tc>
          <w:tcPr>
            <w:tcW w:w="8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Liens Existing on the Effective Date</w:t>
            </w:r>
          </w:p>
        </w:tc>
        <w:tc>
          <w:tcPr>
            <w:tcW w:w="186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7.02</w:t>
            </w:r>
          </w:p>
        </w:tc>
        <w:tc>
          <w:tcPr>
            <w:tcW w:w="8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Indebtedness Existing on the Effective Date</w:t>
            </w:r>
          </w:p>
        </w:tc>
        <w:tc>
          <w:tcPr>
            <w:tcW w:w="18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10.02</w:t>
            </w:r>
          </w:p>
        </w:tc>
        <w:tc>
          <w:tcPr>
            <w:tcW w:w="8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Administrative Agent’s Office; Certain Addresses for Notices</w:t>
            </w:r>
          </w:p>
        </w:tc>
        <w:tc>
          <w:tcPr>
            <w:tcW w:w="186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Form(s) of</w:t>
      </w:r>
    </w:p>
    <w:p>
      <w:pPr>
        <w:spacing w:after="0" w:line="252" w:lineRule="exact"/>
        <w:rPr>
          <w:sz w:val="20"/>
          <w:szCs w:val="20"/>
          <w:color w:val="auto"/>
        </w:rPr>
      </w:pPr>
    </w:p>
    <w:p>
      <w:pPr>
        <w:ind w:left="544" w:hanging="544"/>
        <w:spacing w:after="0"/>
        <w:tabs>
          <w:tab w:leader="none" w:pos="5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Notice</w:t>
      </w:r>
    </w:p>
    <w:p>
      <w:pPr>
        <w:spacing w:after="0" w:line="27" w:lineRule="exact"/>
        <w:rPr>
          <w:sz w:val="20"/>
          <w:szCs w:val="20"/>
          <w:color w:val="auto"/>
        </w:rPr>
      </w:pPr>
    </w:p>
    <w:p>
      <w:pPr>
        <w:ind w:left="544" w:hanging="544"/>
        <w:spacing w:after="0"/>
        <w:tabs>
          <w:tab w:leader="none" w:pos="5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w:t>
      </w:r>
    </w:p>
    <w:p>
      <w:pPr>
        <w:spacing w:after="0" w:line="9" w:lineRule="exact"/>
        <w:rPr>
          <w:sz w:val="20"/>
          <w:szCs w:val="20"/>
          <w:color w:val="auto"/>
        </w:rPr>
      </w:pPr>
    </w:p>
    <w:p>
      <w:pPr>
        <w:ind w:left="544" w:hanging="544"/>
        <w:spacing w:after="0"/>
        <w:tabs>
          <w:tab w:leader="none" w:pos="5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p>
      <w:pPr>
        <w:spacing w:after="0" w:line="9" w:lineRule="exact"/>
        <w:rPr>
          <w:sz w:val="20"/>
          <w:szCs w:val="20"/>
          <w:color w:val="auto"/>
        </w:rPr>
      </w:pPr>
    </w:p>
    <w:p>
      <w:pPr>
        <w:ind w:left="544" w:hanging="544"/>
        <w:spacing w:after="0"/>
        <w:tabs>
          <w:tab w:leader="none" w:pos="5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and Assumption</w:t>
      </w:r>
    </w:p>
    <w:p>
      <w:pPr>
        <w:spacing w:after="0" w:line="9" w:lineRule="exact"/>
        <w:rPr>
          <w:sz w:val="20"/>
          <w:szCs w:val="20"/>
          <w:color w:val="auto"/>
        </w:rPr>
      </w:pPr>
    </w:p>
    <w:p>
      <w:pPr>
        <w:ind w:left="544" w:hanging="544"/>
        <w:spacing w:after="0"/>
        <w:tabs>
          <w:tab w:leader="none" w:pos="5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Tax Compliance Certificates</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4"/>
          </w:cols>
          <w:pgMar w:left="436" w:top="270" w:right="49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LOAN CREDIT AGREEMENT</w:t>
      </w:r>
    </w:p>
    <w:p>
      <w:pPr>
        <w:spacing w:after="0" w:line="229"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This TERM LOAN CREDIT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as of May 12, 2026, among BIOGEN INC., a Delaware corporation (the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each Lender from time to time party hereto, and U.S. BANK NATIONAL ASSOCIATION, as the Administrative Agent.</w:t>
      </w:r>
    </w:p>
    <w:p>
      <w:pPr>
        <w:spacing w:after="0" w:line="14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Borrower has requested that the Lenders extend Commitments in the amount of $2,000,000,000, consisting of $1,000,000,000 of Tranche A Commitments and $1,000,000,000 of Tranche B Commitments, under which the Borrower may obtain Loans in Dollars. The Lenders are willing to do so on the terms and conditions set forth 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ACCOUNTING TERMS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1.01 Defined Terms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the acquisition by the Borrower, through its wholly owned Subsidiary, Aspen Purchaser Sub, Inc., a Delaware corporation, of the Target.</w:t>
      </w:r>
    </w:p>
    <w:p>
      <w:pPr>
        <w:spacing w:after="0" w:line="162" w:lineRule="exact"/>
        <w:rPr>
          <w:sz w:val="20"/>
          <w:szCs w:val="20"/>
          <w:color w:val="auto"/>
        </w:rPr>
      </w:pPr>
    </w:p>
    <w:p>
      <w:pPr>
        <w:ind w:right="1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Acquisition Agreement</w:t>
      </w:r>
      <w:r>
        <w:rPr>
          <w:rFonts w:ascii="Times New Roman" w:cs="Times New Roman" w:eastAsia="Times New Roman" w:hAnsi="Times New Roman"/>
          <w:sz w:val="17"/>
          <w:szCs w:val="17"/>
          <w:color w:val="auto"/>
        </w:rPr>
        <w:t>” means that certain Agreement and Plan of Merger, dated as of March 31, 2026, among the Borrower, Aspen Purchaser Sub, Inc., a Delaware corporation, and the Target, as amended, amended and restated, supplemented or otherwise modified from time to time.</w:t>
      </w:r>
    </w:p>
    <w:p>
      <w:pPr>
        <w:spacing w:after="0" w:line="14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U.S. Bank (through itself or one of its designated affiliates or branch offices) in its capacity as administrative agent under any of the Loan Documents, or any successor administrative agent.</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or such other address or account as the Administrative Agent may from time to time notify to the Borrower and the Lenders.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Class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Fee Letter</w:t>
      </w:r>
      <w:r>
        <w:rPr>
          <w:rFonts w:ascii="Times New Roman" w:cs="Times New Roman" w:eastAsia="Times New Roman" w:hAnsi="Times New Roman"/>
          <w:sz w:val="18"/>
          <w:szCs w:val="18"/>
          <w:color w:val="auto"/>
        </w:rPr>
        <w:t>” means the fee letter agreement, dated April 8, 2026, among the Borrower and U.S. Bank.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39" w:name="page40"/>
    <w:bookmarkEnd w:id="39"/>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aggregate Tranche A Commitments and Tranche B Commitments of all the Lenders. The aggregate principal amount of the Aggregate Commitments in effect on the Effective Date is TWO BILLION DOLLARS ($2,000,000,000).</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Term Loan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(a) with respect to Tranche A Loans and Tranche A Commitments, the following percentages per annum: (i) with respect to the Commitment Fee, 0.060%, (ii) with respect to Term SOFR Loans, 0.750% and (iii) with respect to Base Rate Loans, 0.000%; and (b) with respect to Tranche B Loans and Tranche B Commitments, from time to time, the following percentages per annum, based upon the Debt Rating as set forth below:</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160" w:type="dxa"/>
            <w:vAlign w:val="bottom"/>
            <w:vMerge w:val="restart"/>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1340" w:type="dxa"/>
            <w:vAlign w:val="bottom"/>
          </w:tcPr>
          <w:p>
            <w:pPr>
              <w:spacing w:after="0"/>
              <w:rPr>
                <w:sz w:val="13"/>
                <w:szCs w:val="13"/>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Debt Ratings</w:t>
            </w: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1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0" w:type="dxa"/>
            <w:vAlign w:val="bottom"/>
          </w:tcPr>
          <w:p>
            <w:pPr>
              <w:spacing w:after="0"/>
              <w:rPr>
                <w:sz w:val="1"/>
                <w:szCs w:val="1"/>
                <w:color w:val="auto"/>
              </w:rPr>
            </w:pPr>
          </w:p>
        </w:tc>
      </w:tr>
      <w:tr>
        <w:trPr>
          <w:trHeight w:val="193"/>
        </w:trPr>
        <w:tc>
          <w:tcPr>
            <w:tcW w:w="1160" w:type="dxa"/>
            <w:vAlign w:val="bottom"/>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S&amp;P/Moody’s</w:t>
            </w:r>
          </w:p>
        </w:tc>
        <w:tc>
          <w:tcPr>
            <w:tcW w:w="150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Borders>
              <w:top w:val="single" w:sz="8" w:color="CCEEFF"/>
            </w:tcBorders>
            <w:gridSpan w:val="2"/>
            <w:shd w:val="clear" w:color="auto" w:fill="CCEEFF"/>
          </w:tcPr>
          <w:p>
            <w:pPr>
              <w:jc w:val="center"/>
              <w:ind w:left="105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3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≥A-/A3</w:t>
            </w:r>
          </w:p>
        </w:tc>
        <w:tc>
          <w:tcPr>
            <w:tcW w:w="1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0.070%</w:t>
            </w:r>
          </w:p>
        </w:tc>
        <w:tc>
          <w:tcPr>
            <w:tcW w:w="2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0.750%</w:t>
            </w:r>
          </w:p>
        </w:tc>
        <w:tc>
          <w:tcPr>
            <w:tcW w:w="1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200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BBB+/Baa1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0.080%</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0.875%</w:t>
            </w:r>
          </w:p>
        </w:tc>
        <w:tc>
          <w:tcPr>
            <w:tcW w:w="1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&lt; BBB/Baa2</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0.090%</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means, as of any date of determination, the rating as determined by either S&amp;P or Moody’s (collectively, the “</w:t>
      </w:r>
      <w:r>
        <w:rPr>
          <w:rFonts w:ascii="Times New Roman" w:cs="Times New Roman" w:eastAsia="Times New Roman" w:hAnsi="Times New Roman"/>
          <w:sz w:val="18"/>
          <w:szCs w:val="18"/>
          <w:u w:val="single" w:color="auto"/>
          <w:color w:val="auto"/>
        </w:rPr>
        <w:t>Debt Ratings</w:t>
      </w:r>
      <w:r>
        <w:rPr>
          <w:rFonts w:ascii="Times New Roman" w:cs="Times New Roman" w:eastAsia="Times New Roman" w:hAnsi="Times New Roman"/>
          <w:sz w:val="18"/>
          <w:szCs w:val="18"/>
          <w:color w:val="auto"/>
        </w:rPr>
        <w:t xml:space="preserve">”) of the Borrower’s non-credit-enhanced, senior unsecured long-term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 if the respective Debt Ratings issued by the foregoing rating agencies differ by one level, then the Pricing Level for the higher of such Debt Ratings shall apply (with the Debt Rating for Pricing Level 1 being the highest and the Debt Rating for Pricing Level 3 being the lowest); (b) if there is a split in Debt Ratings of more than one level, then the Pricing Level that is one level higher than the Pricing Level of the lower Debt Rating shall apply; (c) if the Borrower has only one Debt Rating, such Debt Rating shall apply; and (d) if the Borrower does not have any Debt Rating, Pricing Level 3 shall apply.</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Initially, the Applicable Rate for the Commitment Fee, Term SOFR Loans and Base Rate Loans with respect to Tranche B Loans and Tranche B Commitments shall be determined based upon the Debt Ratings specified in the certificate delivered pursuant to </w:t>
      </w:r>
      <w:r>
        <w:rPr>
          <w:rFonts w:ascii="Times New Roman" w:cs="Times New Roman" w:eastAsia="Times New Roman" w:hAnsi="Times New Roman"/>
          <w:sz w:val="18"/>
          <w:szCs w:val="18"/>
          <w:u w:val="single" w:color="auto"/>
          <w:color w:val="auto"/>
        </w:rPr>
        <w:t>Section 4.01(a)(vi)</w:t>
      </w:r>
      <w:r>
        <w:rPr>
          <w:rFonts w:ascii="Times New Roman" w:cs="Times New Roman" w:eastAsia="Times New Roman" w:hAnsi="Times New Roman"/>
          <w:sz w:val="18"/>
          <w:szCs w:val="18"/>
          <w:color w:val="auto"/>
        </w:rPr>
        <w:t>. Thereafter, each change in the Applicable Rate resulting from a publicly announced change in the Debt Ratings shall be effective during the period commencing on the date of the public announcement thereof and ending on the date immediately preceding the effective date of the next such change. If the rating system of Moody’s or S&amp;P shall change, or if either such rating agency shall cease to be in the business of rating corporate debt obligations, the Borrower and the Lenders shall negotiate in good faith to amend this provision to reflect such changed rating system or the unavailability of ratings from such rating agency and, pending the effectiveness of any such amendment, the Applicable Rates shall be determined by reference to the Debt Ratings most recently in effect prior to such change or cessation.</w:t>
      </w:r>
    </w:p>
    <w:p>
      <w:pPr>
        <w:spacing w:after="0" w:line="19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means each of U.S. Bank National Association, Banco Bilbao Vizcaya Argentaria, S.A. New York Branch, BofA Securities, Inc., JPMorgan Chase Bank, N.A., Wells Fargo Securities, LLC, Bank of China, New York Branch, Scotia Financing (USA) LLC and TD Securities (USA) LLC, in each case in its capacities as a joint lead arranger and a joint bookrunner.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40" w:name="page41"/>
    <w:bookmarkEnd w:id="40"/>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any other form (including an electronic documentation form generated by use of an electronic platform) approved by the Administrative Agent.</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0"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the Borrower and its Subsidiaries for the fiscal year ended December 31, 2025, and the related consolidated statements of income or operations, shareholders’ equity and cash flows for such fiscal year of the Borrower and its Subsidiaries, including the notes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Back-Up Indemnity 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rate of interest per annum equal to the highest of (a) the Federal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1/2 of 1%, (b) the rate of interest in effect for such day as publicly announced from time to time by U.S. Bank as its “prime rate,” and (c)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the Base Rate shall be less than zero, such rate shall be deemed zero for purposes of this Agreement. The “prime rate” is a rate set by U.S. Bank based upon various factors including U.S. Bank’s costs and desired return, general economic conditions and other factors, and is used as a reference point for pricing some loans, which may be priced at, above, or below such announced rate. Any change in the “prime rate” announced by U.S. Bank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then the Base Rate shall be the greater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shall be determined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that bears interest based on the Base Rate. All Base Rate Loans shall be denominated in Dollars.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1" w:name="page42"/>
    <w:bookmarkEnd w:id="4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means a borrowing consisting of simultaneous Loans of the same Type, Class, and, in the case of Term SOFR Loans, having the same Interest Period made by each of the Lenders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is located.</w:t>
      </w:r>
    </w:p>
    <w:p>
      <w:pPr>
        <w:spacing w:after="0" w:line="162"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 event or series of events by which:</w:t>
      </w:r>
    </w:p>
    <w:p>
      <w:pPr>
        <w:spacing w:after="0" w:line="117" w:lineRule="exact"/>
        <w:rPr>
          <w:sz w:val="20"/>
          <w:szCs w:val="20"/>
          <w:color w:val="auto"/>
        </w:rPr>
      </w:pPr>
    </w:p>
    <w:p>
      <w:pPr>
        <w:ind w:left="4" w:firstLine="436"/>
        <w:spacing w:after="0" w:line="255" w:lineRule="auto"/>
        <w:tabs>
          <w:tab w:leader="none" w:pos="68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thirty-five percent (35%)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spacing w:after="0" w:line="80" w:lineRule="exact"/>
        <w:rPr>
          <w:rFonts w:ascii="Times New Roman" w:cs="Times New Roman" w:eastAsia="Times New Roman" w:hAnsi="Times New Roman"/>
          <w:sz w:val="18"/>
          <w:szCs w:val="18"/>
          <w:color w:val="auto"/>
        </w:rPr>
      </w:pPr>
    </w:p>
    <w:p>
      <w:pPr>
        <w:ind w:left="4" w:right="320" w:firstLine="436"/>
        <w:spacing w:after="0" w:line="276" w:lineRule="auto"/>
        <w:tabs>
          <w:tab w:leader="none" w:pos="699"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period of 12 consecutive months, a majority of the members of the board of directors or other equivalent governing body of the Borrower ceases to be composed of individuals (i) who were members of that board or equivalent governing body on the first day of such period,</w:t>
      </w:r>
    </w:p>
    <w:p>
      <w:pPr>
        <w:ind w:left="4" w:right="80" w:hanging="4"/>
        <w:spacing w:after="0" w:line="253" w:lineRule="auto"/>
        <w:tabs>
          <w:tab w:leader="none" w:pos="2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whose election or nomination to that board or equivalent governing body was approved by individuals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42" w:name="page43"/>
    <w:bookmarkEnd w:id="42"/>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 any Loan or Borrowing, refers to whether such Loan, or the Loans comprising such Borrowing, are Tranche A Loans or Tranche B Loans, (b) any Commitment, refers to whether such Commitment is a Tranche A Commitment or a Tranche B Commitment and (c) any Lender, refers to whether such Lender has a Loan or Commitment of a particular Class.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as to each Lender, such Lender’s Tranche A Commitment and/or Tranche B Commitment, as applicable.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Termination Date</w:t>
      </w:r>
      <w:r>
        <w:rPr>
          <w:rFonts w:ascii="Times New Roman" w:cs="Times New Roman" w:eastAsia="Times New Roman" w:hAnsi="Times New Roman"/>
          <w:sz w:val="18"/>
          <w:szCs w:val="18"/>
          <w:color w:val="auto"/>
        </w:rPr>
        <w:t xml:space="preserve">” means the earliest of (a) the date of termination of the applicable Class of Commitments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(b) the date of termination of the commitment of each Lender to make Loans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(c) with respect to Tranche A Loans, the consummation of the Acquisition without a Borrowing of Tranche A Loans, (d) with respect to Tranche B Loans, the consummation of the Acquisition without a Borrowing of Tranche B Loans, (e) the date on which the Acquisition Agreement is terminated in accordance with its terms prior to the consummation of the Acquisition, and (f) September 30, 2026.</w:t>
      </w:r>
    </w:p>
    <w:p>
      <w:pPr>
        <w:spacing w:after="0" w:line="183" w:lineRule="exact"/>
        <w:rPr>
          <w:sz w:val="20"/>
          <w:szCs w:val="20"/>
          <w:color w:val="auto"/>
        </w:rPr>
      </w:pPr>
    </w:p>
    <w:p>
      <w:pPr>
        <w:ind w:left="4" w:right="9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this Agreement, any other Loan Document, and any other written document, amendment, approval, consent, information, notice, certificate, request, statement, disclosure, or authorization related to any Loan Document.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EBITDA</w:t>
      </w:r>
      <w:r>
        <w:rPr>
          <w:rFonts w:ascii="Times New Roman" w:cs="Times New Roman" w:eastAsia="Times New Roman" w:hAnsi="Times New Roman"/>
          <w:sz w:val="17"/>
          <w:szCs w:val="17"/>
          <w:color w:val="auto"/>
        </w:rPr>
        <w:t xml:space="preserve">” means, for any period, for the Borrower and its Subsidiaries on a consolidated basis, an amount equal to Consolidated Net Income for such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(a) the following to the extent deducted in calculating such Consolidated Net Income, without duplication:</w:t>
      </w:r>
    </w:p>
    <w:p>
      <w:pPr>
        <w:spacing w:after="0" w:line="1" w:lineRule="exact"/>
        <w:rPr>
          <w:sz w:val="20"/>
          <w:szCs w:val="20"/>
          <w:color w:val="auto"/>
        </w:rPr>
      </w:pPr>
    </w:p>
    <w:p>
      <w:pPr>
        <w:ind w:left="4" w:hanging="4"/>
        <w:spacing w:after="0" w:line="251"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Interest Charges for such period, (ii) the provision for Federal, state, local and foreign income taxes payable by the Borrower and its Subsidiaries for such period, (iii) depreciation and amortization expense, (iv) other non-recurring charges or losses of the Borrower and its Subsidiaries reducing such Consolidated Net Income (including, to the extent non-recurring, (A) charges, fees and expenses incurred in connection with any issuance of Indebtedness or equity, acquisition, investment, collaboration, license, asset sale or divestiture, whether or not consummated, (B) upfront, earnout or milestone payments or other similar contingent amounts, and noncompetition and consulting payments, in connection with any collaboration, license, acquisition or disposition, and (C) any restructuring, integration, transition, severance, facility closing and similar charges associated with any acquisition or disposition), (v) non-cash expenses and charges that do not represent a reserve for cash expenditures in a future period or amortization of a prepaid cash expense, and (vi) purchase of in-process research and development,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following to the extent included in calculating such Consolidated Net Income, without duplication: (i) Federal, state, local and foreign income tax credits of the Borrower and its Subsidiaries for such period, (ii) all non-cash items increasing Consolidated Net Income for such period and (iii) non-recurring income or gains of the Borrower</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43" w:name="page44"/>
    <w:bookmarkEnd w:id="4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its Subsidiaries increasing such Consolidated Net Income. For the purposes of calculating Consolidated EBITDA for any period of four</w:t>
      </w:r>
    </w:p>
    <w:p>
      <w:pPr>
        <w:spacing w:after="0" w:line="27" w:lineRule="exact"/>
        <w:rPr>
          <w:sz w:val="20"/>
          <w:szCs w:val="20"/>
          <w:color w:val="auto"/>
        </w:rPr>
      </w:pPr>
    </w:p>
    <w:p>
      <w:pPr>
        <w:ind w:left="4" w:right="20" w:hanging="4"/>
        <w:spacing w:after="0" w:line="251"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fiscal quarters of the Borrower (each, a “</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(i) if at any time during such Reference Period the Borrower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Borrower or any Subsidiary shall have made a Material Acquisition, Consolidated EBITDA for such Reference Period shall be calculated after giving pro forma effect thereto as if such Material Acquisition occurred on the first day of such Reference Period. As used in this definition,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acquisition of property or series of related acquisitions of property that involves the payment of noncontingent consideration by the Borrower and its Subsidiaries in excess of $500,000,000; and “</w:t>
      </w:r>
      <w:r>
        <w:rPr>
          <w:rFonts w:ascii="Times New Roman" w:cs="Times New Roman" w:eastAsia="Times New Roman" w:hAnsi="Times New Roman"/>
          <w:sz w:val="18"/>
          <w:szCs w:val="18"/>
          <w:u w:val="single" w:color="auto"/>
          <w:color w:val="auto"/>
        </w:rPr>
        <w:t>Material Disposition</w:t>
      </w:r>
      <w:r>
        <w:rPr>
          <w:rFonts w:ascii="Times New Roman" w:cs="Times New Roman" w:eastAsia="Times New Roman" w:hAnsi="Times New Roman"/>
          <w:sz w:val="18"/>
          <w:szCs w:val="18"/>
          <w:color w:val="auto"/>
        </w:rPr>
        <w:t>” means any sale, transfer or disposition of property or series of related sales, transfers, or dispositions of property that yields gross proceeds to the Borrower or any of its Subsidiaries in excess of $500,000,000.</w:t>
      </w:r>
    </w:p>
    <w:p>
      <w:pPr>
        <w:spacing w:after="0" w:line="1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Indebtedness</w:t>
      </w:r>
      <w:r>
        <w:rPr>
          <w:rFonts w:ascii="Times New Roman" w:cs="Times New Roman" w:eastAsia="Times New Roman" w:hAnsi="Times New Roman"/>
          <w:sz w:val="18"/>
          <w:szCs w:val="18"/>
          <w:color w:val="auto"/>
        </w:rPr>
        <w:t>” means, as of any date of determination, for the Borrower and its Subsidiaries on a consolidated basis, the sum of</w:t>
      </w:r>
    </w:p>
    <w:p>
      <w:pPr>
        <w:spacing w:after="0" w:line="27" w:lineRule="exact"/>
        <w:rPr>
          <w:sz w:val="20"/>
          <w:szCs w:val="20"/>
          <w:color w:val="auto"/>
        </w:rPr>
      </w:pPr>
    </w:p>
    <w:p>
      <w:pPr>
        <w:ind w:left="4" w:hanging="4"/>
        <w:spacing w:after="0" w:line="251" w:lineRule="auto"/>
        <w:tabs>
          <w:tab w:leader="none" w:pos="2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(to the extent such obligations are drawn and outstanding and excluding any contingent obligation) arising under letters of credit (including standby and commercial), bankers’ acceptances, bank guaranties (but excluding any of the foregoing to the extent secured by cash collateral), surety bonds and similar instruments, (d) all obligations in respect of the deferred purchase price of property or services (other than trade accounts payable in the ordinary course of business, and purchase price adjustments, earnouts and other contingent payments due with respect to acquisitions either permitted hereby or completed prior to the Effective Date), (e) Attributable Indebtedness in respect of capital leases, (f) without duplication, all Guarantees with respect to outstanding Indebtedness of the types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 of Persons other than the Borrower or any Subsidiary, and (g) all Indebtedness of the types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above of any partnership or joint venture (other than a joint venture that is itself a corporation, limited liability company or other limited liability entity) in which the Borrower or a Subsidiary is a general partner or joint venturer, unless such Indebtedness is expressly made non-recourse to the Borrower or such Subsidiary.</w:t>
      </w:r>
    </w:p>
    <w:p>
      <w:pPr>
        <w:spacing w:after="0" w:line="192" w:lineRule="exact"/>
        <w:rPr>
          <w:sz w:val="20"/>
          <w:szCs w:val="20"/>
          <w:color w:val="auto"/>
        </w:rPr>
      </w:pPr>
    </w:p>
    <w:p>
      <w:pPr>
        <w:jc w:val="both"/>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Charges</w:t>
      </w:r>
      <w:r>
        <w:rPr>
          <w:rFonts w:ascii="Times New Roman" w:cs="Times New Roman" w:eastAsia="Times New Roman" w:hAnsi="Times New Roman"/>
          <w:sz w:val="18"/>
          <w:szCs w:val="18"/>
          <w:color w:val="auto"/>
        </w:rPr>
        <w:t>” means, for any period, for the Borrower and its Subsidiaries on a consolidated basis, the sum of (a) all interest, premium payments, debt discount, fees, charges and related expenses of the Borrower and its Subsidiaries in connection with Indebtedness (including capitalized interest), in each case to the extent treated as interest in accordance with GAAP, and (b) the portion of rent expense of the Borrower and its Subsidiaries with respect to such period under capital leases that is treated as interest in accordance with GAAP.</w:t>
      </w:r>
    </w:p>
    <w:p>
      <w:pPr>
        <w:spacing w:after="0" w:line="180" w:lineRule="exact"/>
        <w:rPr>
          <w:sz w:val="20"/>
          <w:szCs w:val="20"/>
          <w:color w:val="auto"/>
        </w:rPr>
      </w:pPr>
    </w:p>
    <w:p>
      <w:pPr>
        <w:ind w:left="4" w:right="10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xml:space="preserve">” means, as of any date of determination, the ratio of (a) Consolidated Indebtedness as of such date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xml:space="preserve"> (b) Consolidated EBITDA for the period of the four (4) fiscal quarters of the Borrower most recently ended on or prior to such date.</w:t>
      </w:r>
    </w:p>
    <w:p>
      <w:pPr>
        <w:spacing w:after="0" w:line="162"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for the Borrower and its Subsidiaries on a consolidated basis, the net income of the Borrower and its Subsidiaries (excluding unusual and infrequent gains and unusual and infrequent losses) for such period.</w:t>
      </w:r>
    </w:p>
    <w:p>
      <w:pPr>
        <w:spacing w:after="0" w:line="162"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Worth</w:t>
      </w:r>
      <w:r>
        <w:rPr>
          <w:rFonts w:ascii="Times New Roman" w:cs="Times New Roman" w:eastAsia="Times New Roman" w:hAnsi="Times New Roman"/>
          <w:sz w:val="18"/>
          <w:szCs w:val="18"/>
          <w:color w:val="auto"/>
        </w:rPr>
        <w:t>” means, as of any date of determination, for the Borrower and its Subsidiaries on a consolidated basis, Shareholders’ Equity.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44" w:name="page45"/>
    <w:bookmarkEnd w:id="44"/>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left="4" w:right="2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have meanings correlative thereto.</w:t>
      </w:r>
    </w:p>
    <w:p>
      <w:pPr>
        <w:spacing w:after="0" w:line="140"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with respect to any applicable determination date means SOFR as published on such date on the Federal Reserve Bank of New York’s website (or any successor source).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Debt Ratings</w:t>
      </w:r>
      <w:r>
        <w:rPr>
          <w:rFonts w:ascii="Times New Roman" w:cs="Times New Roman" w:eastAsia="Times New Roman" w:hAnsi="Times New Roman"/>
          <w:sz w:val="18"/>
          <w:szCs w:val="18"/>
          <w:color w:val="auto"/>
        </w:rPr>
        <w:t>” each have the meaning specified in the definition of “Applicable Rate.”</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two percent (2%), in each case, to the fullest extent permitted by applicable Law.</w:t>
      </w:r>
    </w:p>
    <w:p>
      <w:pPr>
        <w:spacing w:after="0" w:line="176"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any Lender that (a) has failed to (i) fund all or any portion of its Loans within two</w:t>
      </w:r>
    </w:p>
    <w:p>
      <w:pPr>
        <w:spacing w:after="0" w:line="27" w:lineRule="exact"/>
        <w:rPr>
          <w:sz w:val="20"/>
          <w:szCs w:val="20"/>
          <w:color w:val="auto"/>
        </w:rPr>
      </w:pPr>
    </w:p>
    <w:p>
      <w:pPr>
        <w:ind w:left="4" w:right="60" w:hanging="4"/>
        <w:spacing w:after="0" w:line="265" w:lineRule="auto"/>
        <w:tabs>
          <w:tab w:leader="none" w:pos="25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of the date such Loans were required to be funded hereunder unless such Lender in good faith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w:t>
      </w:r>
    </w:p>
    <w:p>
      <w:pPr>
        <w:ind w:left="4"/>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w:t>
      </w:r>
    </w:p>
    <w:p>
      <w:pPr>
        <w:spacing w:after="0" w:line="11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4"/>
          </w:cols>
          <w:pgMar w:left="436" w:top="270" w:right="539" w:bottom="1440" w:gutter="0" w:footer="0" w:header="0"/>
        </w:sectPr>
      </w:pPr>
    </w:p>
    <w:bookmarkStart w:id="45" w:name="page46"/>
    <w:bookmarkEnd w:id="45"/>
    <w:p>
      <w:pPr>
        <w:ind w:left="4" w:right="1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or the Borrower, to confirm in writing to the Administrative Agent or the Borrower, as applicable, that it will comply with its prospective funding obligations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such Lender shall cease to be a Defaulting Lender pursuant to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upon receipt of such written confirmation by the Administrative Agent or the Borrower, as applicable), or (d) has, or has a direct or indirect parent company that has,</w:t>
      </w:r>
    </w:p>
    <w:p>
      <w:pPr>
        <w:spacing w:after="0" w:line="2" w:lineRule="exact"/>
        <w:rPr>
          <w:sz w:val="20"/>
          <w:szCs w:val="20"/>
          <w:color w:val="auto"/>
        </w:rPr>
      </w:pPr>
    </w:p>
    <w:p>
      <w:pPr>
        <w:ind w:left="4" w:hanging="4"/>
        <w:spacing w:after="0" w:line="251" w:lineRule="auto"/>
        <w:tabs>
          <w:tab w:leader="none" w:pos="2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 Lender shall not be a Defaulting Lender solely by virtue of the ownership or acquisition of any Equity Interests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as of the date established therefor by the Administrative Agent in a written notice of such determination, which shall be delivered by the Administrative Agent to the Borrower and each other Lender promptly following such determination.</w:t>
      </w:r>
    </w:p>
    <w:p>
      <w:pPr>
        <w:spacing w:after="0" w:line="192"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any country or territory to the extent that such country or territory itself is, or whose government is, the subject of any Sanction.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May 12, 2026.</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46" w:name="page47"/>
    <w:bookmarkEnd w:id="4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has the meaning assigned to it by 15 USC §7006.</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has the meaning assigned to it by 15 USC §7006.</w:t>
      </w:r>
    </w:p>
    <w:p>
      <w:pPr>
        <w:spacing w:after="0" w:line="225"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5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0"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Borrower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6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(d) the filing of a notice of intent to terminate or the treatment of a Pension Plan amendment as a termination under Sections 4041 or 4041A of ERISA; (e) the institution by the PBGC of proceedings to terminate a Pension Plan;</w:t>
      </w:r>
    </w:p>
    <w:p>
      <w:pPr>
        <w:spacing w:after="0" w:line="3" w:lineRule="exact"/>
        <w:rPr>
          <w:sz w:val="20"/>
          <w:szCs w:val="20"/>
          <w:color w:val="auto"/>
        </w:rPr>
      </w:pPr>
    </w:p>
    <w:p>
      <w:pPr>
        <w:jc w:val="both"/>
        <w:ind w:left="4" w:right="220" w:hanging="4"/>
        <w:spacing w:after="0" w:line="255" w:lineRule="auto"/>
        <w:tabs>
          <w:tab w:leader="none" w:pos="22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that any Pension Plan is considered an at-risk plan or a plan in endangered or critical status within the meaning of Sections 430, 431 and 432 of the Code or Sections 303, 304 and 305 of ERISA; or (g) the imposition of any liability under Title IV of ERISA, other than for PBGC premiums due but not delinquent under Section 4007 of ERISA, upon the Borrower or any ERISA Affiliate.</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47" w:name="page48"/>
    <w:bookmarkEnd w:id="47"/>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by the United States, (ii) imposed as a result of such Recipient being organized under the laws of, or having its principal office or, in the case of any Lender, its Lending Office located in, the jurisdiction imposing such Tax (or any political subdivision thereof) or (iii)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3.01(a)(ii)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and (d) any U.S. federal withholding taxes imposed under FATCA.</w:t>
      </w:r>
    </w:p>
    <w:p>
      <w:pPr>
        <w:spacing w:after="0" w:line="194" w:lineRule="exact"/>
        <w:rPr>
          <w:sz w:val="20"/>
          <w:szCs w:val="20"/>
          <w:color w:val="auto"/>
        </w:rPr>
      </w:pPr>
    </w:p>
    <w:p>
      <w:pPr>
        <w:ind w:right="4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Revolving Credit Agreement</w:t>
      </w:r>
      <w:r>
        <w:rPr>
          <w:rFonts w:ascii="Times New Roman" w:cs="Times New Roman" w:eastAsia="Times New Roman" w:hAnsi="Times New Roman"/>
          <w:sz w:val="17"/>
          <w:szCs w:val="17"/>
          <w:color w:val="auto"/>
        </w:rPr>
        <w:t>” means that certain Credit Agreement, dated as of August 12, 2024, by and among the Borrower, the lenders from time to time party thereto, and Bank of America, N.A., as the administrative agent, the swing line lender and the letter of credit issuer.</w:t>
      </w:r>
    </w:p>
    <w:p>
      <w:pPr>
        <w:spacing w:after="0" w:line="14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Target Capped Call Documentation</w:t>
      </w:r>
      <w:r>
        <w:rPr>
          <w:rFonts w:ascii="Times New Roman" w:cs="Times New Roman" w:eastAsia="Times New Roman" w:hAnsi="Times New Roman"/>
          <w:sz w:val="18"/>
          <w:szCs w:val="18"/>
          <w:color w:val="auto"/>
        </w:rPr>
        <w:t>” means, collectively, (a) the letter agreement re: Base Call Option Transaction, dated as of September 11, 2019, by and between the Target and JPMorgan Chase Bank, National Association, (b) the letter agreement re: Base Call Option Transaction, dated as of September 11, 2019, by and between the Target and Jefferies International Limited, (c) the letter agreement re: Call Option Transaction, dated as of May 6, 2020, by and between the Target and JPMorgan Chase Bank, National Association and (d) the letter agreement re: Call Option Transaction, dated as of May 6, 2020, by and between the Target and Jefferies International Limited.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Target Convertible Senior Notes</w:t>
      </w:r>
      <w:r>
        <w:rPr>
          <w:rFonts w:ascii="Times New Roman" w:cs="Times New Roman" w:eastAsia="Times New Roman" w:hAnsi="Times New Roman"/>
          <w:sz w:val="18"/>
          <w:szCs w:val="18"/>
          <w:color w:val="auto"/>
        </w:rPr>
        <w:t>” means the Target’s 3.500% Convertible Senior Notes due 2026.</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Target Credit Agreements Repayment</w:t>
      </w:r>
      <w:r>
        <w:rPr>
          <w:rFonts w:ascii="Times New Roman" w:cs="Times New Roman" w:eastAsia="Times New Roman" w:hAnsi="Times New Roman"/>
          <w:sz w:val="18"/>
          <w:szCs w:val="18"/>
          <w:color w:val="auto"/>
        </w:rPr>
        <w:t>” means, collectively, (a) the exercise, settlement, termination or cancellation of all capped call transactions evidenced by the Existing Target Capped Call Documentation, (b) the repayment in full of the principal, accrued and unpaid interest, fees, premium, if any, and other obligations outstanding under the Existing Target Financing Agreement and the termination of all commitments outstanding thereunder, release of all liens securing such obligations and release of all guarantees in connection therewith and (c) the termination of the Existing Target Factoring Agreement.</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Target Factoring Agreement</w:t>
      </w:r>
      <w:r>
        <w:rPr>
          <w:rFonts w:ascii="Times New Roman" w:cs="Times New Roman" w:eastAsia="Times New Roman" w:hAnsi="Times New Roman"/>
          <w:sz w:val="18"/>
          <w:szCs w:val="18"/>
          <w:color w:val="auto"/>
        </w:rPr>
        <w:t>” means that certain Purchase Agreement, dated as of August 5, 2024, among the Target, APL Sales I LLC, a Delaware limited liability company, and Citibank, N.A., a national banking association.</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Target Financing Agreement</w:t>
      </w:r>
      <w:r>
        <w:rPr>
          <w:rFonts w:ascii="Times New Roman" w:cs="Times New Roman" w:eastAsia="Times New Roman" w:hAnsi="Times New Roman"/>
          <w:sz w:val="18"/>
          <w:szCs w:val="18"/>
          <w:color w:val="auto"/>
        </w:rPr>
        <w:t>” means that certain Financing Agreement, dated as of May 13, 2024, among the Target, certain subsidiaries of the Target as guarantors, the various lenders from time to time party thereto, and Sixth Street Lending Partners, as administrative agent.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ind w:right="36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means Sections 1471 through 1474 of the Code, as of the Effective Date (or any amended or successor version that is substantively comparable and not materially more onerous to comply with), any current or future regulations or official interpretations thereof, any agreements entered into pursuant to Section 1471(b)(1) of the Code, as of the Effective Date (or any amended or successor version described above), and any intergovernmental agreement (and related fiscal or regulatory legislation, or related official rules or practices) implementing the foregoing.</w:t>
      </w:r>
    </w:p>
    <w:p>
      <w:pPr>
        <w:spacing w:after="0" w:line="164"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Federal Funds Rate as so determined would be less than zero, such rate shall be deemed to be zero for the purposes of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 Threshold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set forth in the FASB ASC, consistently applied, and as in effect from time to time, subject to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as to any Person, (a) any obligation, contingent or otherwise, of such Person guaranteeing or having the economic effect of guaranteeing any Indebtedness payable or performable by another Person (the “primary obligor”)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of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49" w:name="page50"/>
    <w:bookmarkEnd w:id="4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thereof (in whole or in part), or (b) any Lien on any assets of such Person securing any Indebtedness of any other Person, whether or not such Indebtedness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as a verb has a corresponding meaning.</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has the meaning specified in the definition of “Sanctions.”</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62" w:lineRule="exact"/>
        <w:rPr>
          <w:sz w:val="20"/>
          <w:szCs w:val="20"/>
          <w:color w:val="auto"/>
        </w:rPr>
      </w:pPr>
    </w:p>
    <w:p>
      <w:pPr>
        <w:ind w:right="100" w:firstLine="436"/>
        <w:spacing w:after="0" w:line="282"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 and all obligations of such Person evidenced by bonds, debentures, notes, loan agreements or other similar instruments;</w:t>
      </w:r>
    </w:p>
    <w:p>
      <w:pPr>
        <w:spacing w:after="0" w:line="161"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 or contingent obligations of such Person arising under letters of credit (including standby and commercial), bankers’ acceptances, bank guaranties, surety bonds and similar instruments;</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obligations of such Person under any Swap Contract;</w:t>
      </w:r>
    </w:p>
    <w:p>
      <w:pPr>
        <w:spacing w:after="0" w:line="225"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purchase price of property or services (other than trade accounts payable in the ordinary course of business, and purchase price adjustments, earnouts and other contingent payments due with respect to acquisitions either permitted hereby or completed prior to the Effective Date);</w:t>
      </w:r>
    </w:p>
    <w:p>
      <w:pPr>
        <w:spacing w:after="0" w:line="175" w:lineRule="exact"/>
        <w:rPr>
          <w:rFonts w:ascii="Times New Roman" w:cs="Times New Roman" w:eastAsia="Times New Roman" w:hAnsi="Times New Roman"/>
          <w:sz w:val="18"/>
          <w:szCs w:val="18"/>
          <w:color w:val="auto"/>
        </w:rPr>
      </w:pPr>
    </w:p>
    <w:p>
      <w:pPr>
        <w:ind w:right="360" w:firstLine="436"/>
        <w:spacing w:after="0" w:line="266"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leases and Synthetic Lease Obligations; and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of such Person in respect of any of the foregoing.</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limited liability company or similar limited liability entity)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 Notwithstanding the foregoing, as of any date of determination, for purposes of calculating Indebtedness, Consolidated Indebtedness, or the Consolidated Leverage Ratio, the foregoing shall not include the outstanding principal amount of any debt securities issued by the Borrower or any Subsidiary to the extent that (i) as of such date, the Borrower or such Subsidiary shall have delivered (or the indenture trustee under the applicable indenture shall have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50" w:name="page51"/>
    <w:bookmarkEnd w:id="5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delivered on the Borrower’s or such Subsidiary’s behalf) to the holders of such debt securities an irrevocable notice of redemption with respect to all of such debt securities and shall have deposited funds with the indenture trustee or into an escrow account in an amount required to effect such redemption, unless any portion of such debt securities shall not in fact be redeemed within 180 days of such notice of redemption and deposit of funds or (ii) the proceeds of such debt securities are held by the trustee of the related indenture and have not been released to the Borrower or such Subsidiary or are deposited into an escrow account, in each case, pending the closing of an acquisition or the redemption of other debt securities solely until such proceeds are released.</w:t>
      </w:r>
    </w:p>
    <w:p>
      <w:pPr>
        <w:spacing w:after="0" w:line="18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(a) Taxes, other than Excluded Taxes, imposed on or with respect to any payment made by or on account of any obligation of the Borrower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Other Taxes.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Term SOFR Loan, the last day of each Interest Period applicable to such Loan and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any Interest Period for such Loan exceeds three (3) months, the respective dates that fall every three (3) months after the beginning of such Interest Period shall also be Interest Payment Dates; and (b) as to any Base Rate Loan, the last Business Day of each March, June, September and December and the Maturity Date.</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each Term SOFR Loan, the period commencing on the date such Loan is disbursed or converted to or continued as a Term SOFR Loan and ending on the date one, three or six months thereafter (in each case subject to availability), as selected by the Borrower in its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 any Interest Period that would otherwise end on a day that is not a Business Day shall be extended to the next succeeding Business Day unless such Business Day falls in another calendar month, in which case such Interest Period shall end on the next preceding Business Day; (b)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 (c) no Interest Period shall extend beyond the Maturity Date.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that should be reported in accordance with GAAP.</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51" w:name="page52"/>
    <w:bookmarkEnd w:id="51"/>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0" w:lineRule="exact"/>
        <w:rPr>
          <w:sz w:val="20"/>
          <w:szCs w:val="20"/>
          <w:color w:val="auto"/>
        </w:rPr>
      </w:pPr>
    </w:p>
    <w:p>
      <w:pPr>
        <w:jc w:val="both"/>
        <w:ind w:right="6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means each of the Persons identified as a “Lender” on the signature pages hereto, each other Person that becomes a “Lender” in accordance with this Agreement and, their successors and assigns. The term “Lender” shall include any Designated Lender who has funded any Borrowing.</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Increase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means a Tranche A Loan and/or a Tranche B Loan, as the context requires.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each Note and the Agent Fee Letter.</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Notice</w:t>
      </w:r>
      <w:r>
        <w:rPr>
          <w:rFonts w:ascii="Times New Roman" w:cs="Times New Roman" w:eastAsia="Times New Roman" w:hAnsi="Times New Roman"/>
          <w:sz w:val="18"/>
          <w:szCs w:val="18"/>
          <w:color w:val="auto"/>
        </w:rPr>
        <w:t xml:space="preserve">” means a notice of (a) a Borrowing, (b) a conversion of Term SOFR Loans to Base Rate Loans, (c) a conversion of Base Rate Loans to Term SOFR Loans, or (d) a continuation of Term SOFR Loans, in each case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may be approved by the Administrative Agent in its reasonable discretion (including any form on an electronic platform or electronic transmission system as shall be approved by the Administrative Agent, email and/or .pdf) appropriately completed and signed by a Responsible Officer of the Borrower.</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change in, or a material adverse effect upon, the business, assets, operations, properties or financial condition of the Borrower and its Subsidiaries taken as a whole; (b) a material impairment of the ability of the Borrower to perform its payment obligations under the Loan Documents; or (c) a material adverse effect upon the legality, validity, binding effect or enforceability against the Borrower of the Loan Documents to which it is a party.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Tranche A Maturity Date or the Tranche B Maturity Date, as the context requires.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52" w:name="page53"/>
    <w:bookmarkEnd w:id="52"/>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the Borrower or any ERISA Affiliate makes or is obligated to make contributions, or during the preceding five (5) plan years, has made or been obligated to make contributions.</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Plan which has two or more contributing sponsors (including the Borrower or any ERISA Affiliate) at least two of whom are not under common control, as such a plan is described in Section 4064 of ERISA.</w:t>
      </w:r>
    </w:p>
    <w:p>
      <w:pPr>
        <w:spacing w:after="0" w:line="162"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(b) has been approved by the Required Lenders.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promissory note made by the Borrower in favor of a Lender evidencing Loans made by such Lender,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advances to, and debts, liabilities, obligations, covenants and duties of, the Borrower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claims in such proceeding.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or filing Taxes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53" w:name="page54"/>
    <w:bookmarkEnd w:id="5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the greater of (a) the Federal Funds Rate, and (b) an overnight rate determined by the Administrative Agent in accordance with banking industry rules on interbank compensation.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 thereto.</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required contributions (including any installment payment thereof) to Pension Plans and set forth in Sections 412, 430, 431, 432 and 436 of the Code and Sections 302, 303, 304 and 305 of ERISA.</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or a Multiemployer Plan) that is maintained or is contributed to by the Borrower or any ERISA Affiliate and is either covered by Title IV of ERISA or is subject to minimum funding standards under Section 412 of the Code.</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within the meaning of Section 3(2) of ERISA (including a Pension Plan), maintained for employees of the Borrower or, with respect to Pension Plans, any ERISA Affiliate.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or any other recipient of any payment to be made by or on account of any obligation of the Borrower 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Indemnified Parties</w:t>
      </w:r>
      <w:r>
        <w:rPr>
          <w:rFonts w:ascii="Times New Roman" w:cs="Times New Roman" w:eastAsia="Times New Roman" w:hAnsi="Times New Roman"/>
          <w:sz w:val="18"/>
          <w:szCs w:val="18"/>
          <w:color w:val="auto"/>
        </w:rPr>
        <w:t xml:space="preserve">” means, with respect to an Indemnitee, (a) any Affiliate of such Indemnitee, (b) the respective directors, officers or employees of such Indemnitee or any of its Affiliates, (c) the respective agents and advisors or other representatives of such Indemnitee or any of its Affiliates, in the case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acting on behalf of or at the instructions of such Indemnitee or any of its Affiliates.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40" w:top="270" w:right="539" w:bottom="1440" w:gutter="0" w:footer="0" w:header="0"/>
        </w:sectPr>
      </w:pPr>
    </w:p>
    <w:bookmarkStart w:id="54" w:name="page55"/>
    <w:bookmarkEnd w:id="54"/>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thirty (30) day notice period has been waived.</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as of any date of determination, Lenders having Commitments and Loans representing more than fifty percent (50%) of the sum of the aggregate amount of all of the Commitments and the aggregate principal amount of all of the Loans outstanding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this definition is subject to </w:t>
      </w:r>
      <w:r>
        <w:rPr>
          <w:rFonts w:ascii="Times New Roman" w:cs="Times New Roman" w:eastAsia="Times New Roman" w:hAnsi="Times New Roman"/>
          <w:sz w:val="18"/>
          <w:szCs w:val="18"/>
          <w:u w:val="single" w:color="auto"/>
          <w:color w:val="auto"/>
        </w:rPr>
        <w:t>Sections 3.03(b)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Commitments and Loans of any Defaulting Lender shall be excluded for purposes of making a determination of Required Lenders.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2.12(b)(ii)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(a) the chief executive officer, president, chief financial officer, treasurer, assistant treasurer or controller of the Borrower, (b) solely for purposes of the delivery of secretary’s certificates pursuant to any Loan Document, the secretary or any assistant secretary of the Borrower, and (c) solely for purposes of delivering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other officer or employee of the Borrower designated in or pursuant to an agreement between the Borrower and the Administrative Agent.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 To the extent requested by the Administrative Agent, each Responsible Officer will provide an incumbency certificate and appropriate authorization documentation, in form and substance reasonably satisfactory to the Administrative Agent.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S&amp;P Global Inc., and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means immediately available funds.</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international economic sanction or trade embargo administered or enforced by the United States government, including OFAC, the United Nations Security Council,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18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Shareholders’ Equity</w:t>
      </w:r>
      <w:r>
        <w:rPr>
          <w:rFonts w:ascii="Times New Roman" w:cs="Times New Roman" w:eastAsia="Times New Roman" w:hAnsi="Times New Roman"/>
          <w:sz w:val="17"/>
          <w:szCs w:val="17"/>
          <w:color w:val="auto"/>
        </w:rPr>
        <w:t xml:space="preserve">” means, as of any date of determination, consolidated shareholders’ equity of the Borrower and its Subsidiaries as of that date determined in accordance with GAAP (such determination to be made by reference to the financial statements of the Borrower most recently delivered by the Borrower to the Administrative Agent on or prior to such date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as applicable (or, with respect to any such determination to be made prior to the first delivery of such financial statements, determined by reference to the Interim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55" w:name="page56"/>
    <w:bookmarkEnd w:id="55"/>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on any date of determination, any Subsidiary that is a “significant subsidiary” (as such term is defined in Regulation S-X promulgated by the SEC (as Regulation S-X is in effect on the Effective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any Person,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56" w:name="page57"/>
    <w:bookmarkEnd w:id="5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Synthetic Lease Obligation</w:t>
      </w:r>
      <w:r>
        <w:rPr>
          <w:rFonts w:ascii="Times New Roman" w:cs="Times New Roman" w:eastAsia="Times New Roman" w:hAnsi="Times New Roman"/>
          <w:sz w:val="18"/>
          <w:szCs w:val="18"/>
          <w:color w:val="auto"/>
        </w:rPr>
        <w:t>” means the monetary obligation of a Person under (a) a so called synthetic, off-balance sheet or tax retention lease or</w:t>
      </w:r>
    </w:p>
    <w:p>
      <w:pPr>
        <w:spacing w:after="0" w:line="27" w:lineRule="exact"/>
        <w:rPr>
          <w:sz w:val="20"/>
          <w:szCs w:val="20"/>
          <w:color w:val="auto"/>
        </w:rPr>
      </w:pPr>
    </w:p>
    <w:p>
      <w:pPr>
        <w:ind w:left="4" w:right="240" w:hanging="4"/>
        <w:spacing w:after="0" w:line="260" w:lineRule="auto"/>
        <w:tabs>
          <w:tab w:leader="none" w:pos="2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for the use or possession of property creating obligations that do not appear on the balance sheet of such Person but which, upon the insolvency or bankruptcy of such Person, would be characterized as indebtedness of such Person (without regard to accounting treatment).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means Apellis Pharmaceuticals, Inc., a Delaware corporation.</w:t>
      </w:r>
    </w:p>
    <w:p>
      <w:pPr>
        <w:spacing w:after="0" w:line="225"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 (a) for any Interest Period with respect to a Term SOFR Loan, the rate per annum equal to the Term SOFR Screen Rate two</w:t>
      </w:r>
    </w:p>
    <w:p>
      <w:pPr>
        <w:spacing w:after="0" w:line="27" w:lineRule="exact"/>
        <w:rPr>
          <w:sz w:val="20"/>
          <w:szCs w:val="20"/>
          <w:color w:val="auto"/>
        </w:rPr>
      </w:pPr>
    </w:p>
    <w:p>
      <w:pPr>
        <w:ind w:left="264" w:hanging="264"/>
        <w:spacing w:after="0"/>
        <w:tabs>
          <w:tab w:leader="none" w:pos="2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Securities Business Days prior to the commencement of such Interest Period with a term equivalent to such Interest Period;</w:t>
      </w:r>
    </w:p>
    <w:p>
      <w:pPr>
        <w:spacing w:after="0" w:line="9" w:lineRule="exact"/>
        <w:rPr>
          <w:rFonts w:ascii="Times New Roman" w:cs="Times New Roman" w:eastAsia="Times New Roman" w:hAnsi="Times New Roman"/>
          <w:sz w:val="18"/>
          <w:szCs w:val="18"/>
          <w:color w:val="auto"/>
        </w:rPr>
      </w:pPr>
    </w:p>
    <w:p>
      <w:pPr>
        <w:ind w:left="4"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the rate is not published prior to 11:00 a.m. on such determination date then Term SOFR means the Term SOFR Screen Rate on the first U.S. Government Securities Business Day immediately prior thereto; and (b) for any interest calculation with respect to a Base Rate Loan on any date, the rate per annum equal to the Term SOFR Screen Rate two (2) U.S. Government Securities Business Days prior to such date with a term of one month commencing that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the rate is not published prior to 11:00 a.m. on such determination date then Term SOFR means the Term SOFR Screen Rate on the first U.S. Government Securities Business Day immediately prior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Term SOFR determined in accordance with either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would otherwise be less than zero, Term SOFR shall be deemed zero for purposes of this Agreement.</w:t>
      </w:r>
    </w:p>
    <w:p>
      <w:pPr>
        <w:spacing w:after="0" w:line="188"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Conforming Changes</w:t>
      </w:r>
      <w:r>
        <w:rPr>
          <w:rFonts w:ascii="Times New Roman" w:cs="Times New Roman" w:eastAsia="Times New Roman" w:hAnsi="Times New Roman"/>
          <w:sz w:val="18"/>
          <w:szCs w:val="18"/>
          <w:color w:val="auto"/>
        </w:rPr>
        <w:t>” means, with respect to the use, administration of or any conventions associated with SOFR, Term SOFR or any proposed Term SOFR Successor Rate,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Administrative Agent, in consultation with the Borrower,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reasonably determines, in consultation with the Borrower, is necessary in connection with the administration of this Agreement and any other Loan Document).</w:t>
      </w:r>
    </w:p>
    <w:p>
      <w:pPr>
        <w:spacing w:after="0" w:line="194"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xml:space="preserve">” means a Loan that bears interest at a rate based on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“Term SOFR”. All Term SOFR Loans shall be denominated in Dollars.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 in its reasonable discretion).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57" w:name="page58"/>
    <w:bookmarkEnd w:id="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SOFR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$300,000,000.</w:t>
      </w:r>
    </w:p>
    <w:p>
      <w:pPr>
        <w:spacing w:after="0" w:line="225" w:lineRule="exact"/>
        <w:rPr>
          <w:sz w:val="20"/>
          <w:szCs w:val="20"/>
          <w:color w:val="auto"/>
        </w:rPr>
      </w:pPr>
    </w:p>
    <w:p>
      <w:pPr>
        <w:jc w:val="both"/>
        <w:ind w:right="4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Commitment</w:t>
      </w:r>
      <w:r>
        <w:rPr>
          <w:rFonts w:ascii="Times New Roman" w:cs="Times New Roman" w:eastAsia="Times New Roman" w:hAnsi="Times New Roman"/>
          <w:sz w:val="18"/>
          <w:szCs w:val="18"/>
          <w:color w:val="auto"/>
        </w:rPr>
        <w:t xml:space="preserve">” means, as to each Lender, its obligation to make Tranche A Loans to the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in an aggregate principal amount at any one time outstanding not to exceed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or other documentation pursuant to which such Lender becomes a party hereto, as applicable, as such amount may be adjusted from time to time in accordance with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Maturity Date</w:t>
      </w:r>
      <w:r>
        <w:rPr>
          <w:rFonts w:ascii="Times New Roman" w:cs="Times New Roman" w:eastAsia="Times New Roman" w:hAnsi="Times New Roman"/>
          <w:sz w:val="18"/>
          <w:szCs w:val="18"/>
          <w:color w:val="auto"/>
        </w:rPr>
        <w:t xml:space="preserve">” means the date that is 364 days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such date is not a Business Day, the Tranche A Maturity Date shall be the immediately preceding Business Day.</w:t>
      </w:r>
    </w:p>
    <w:p>
      <w:pPr>
        <w:spacing w:after="0" w:line="162" w:lineRule="exact"/>
        <w:rPr>
          <w:sz w:val="20"/>
          <w:szCs w:val="20"/>
          <w:color w:val="auto"/>
        </w:rPr>
      </w:pPr>
    </w:p>
    <w:p>
      <w:pPr>
        <w:jc w:val="both"/>
        <w:ind w:right="4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Commitment</w:t>
      </w:r>
      <w:r>
        <w:rPr>
          <w:rFonts w:ascii="Times New Roman" w:cs="Times New Roman" w:eastAsia="Times New Roman" w:hAnsi="Times New Roman"/>
          <w:sz w:val="18"/>
          <w:szCs w:val="18"/>
          <w:color w:val="auto"/>
        </w:rPr>
        <w:t xml:space="preserve">” means, as to each Lender, its obligation to make Tranche B Loans to the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in an aggregate principal amount at any one time outstanding not to exceed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or other documentation pursuant to which such Lender becomes a party hereto, as applicable, as such amount may be adjusted from time to time in accordance with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Maturity Date</w:t>
      </w:r>
      <w:r>
        <w:rPr>
          <w:rFonts w:ascii="Times New Roman" w:cs="Times New Roman" w:eastAsia="Times New Roman" w:hAnsi="Times New Roman"/>
          <w:sz w:val="18"/>
          <w:szCs w:val="18"/>
          <w:color w:val="auto"/>
        </w:rPr>
        <w:t xml:space="preserve">” means the date that is two (2) years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such date is not a Business Day, the Tranche B Maturity Date shall be the immediately preceding Business Day.</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(a) the execution, delivery and performance by the Borrower of this Agreement and the other Loan Documents, the borrowing of the Loans and the use of proceeds thereof, (b) the consummation of the Acquisition, (c) the consummation of the Existing Target Credit Agreements Repayment, (d) the making of any required payments in connection with the Existing Target Convertible Senior Notes and (e) the payment of fees and expenses incurred in connection with the foregoing, including any payment of fees and expenses described in the Acquisition Agreement in connection with the Target’s cooperation with the Borrower in connection with the foregoing.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Loan, its character as a Base Rate Loan or a Term SOFR Loan.</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jc w:val="right"/>
        <w:ind w:right="5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Bank</w:t>
      </w:r>
      <w:r>
        <w:rPr>
          <w:rFonts w:ascii="Times New Roman" w:cs="Times New Roman" w:eastAsia="Times New Roman" w:hAnsi="Times New Roman"/>
          <w:sz w:val="18"/>
          <w:szCs w:val="18"/>
          <w:color w:val="auto"/>
        </w:rPr>
        <w:t>” means U.S. Bank National Association and its successors.</w:t>
      </w:r>
    </w:p>
    <w:p>
      <w:pPr>
        <w:spacing w:after="0" w:line="158" w:lineRule="exact"/>
        <w:rPr>
          <w:sz w:val="20"/>
          <w:szCs w:val="20"/>
          <w:color w:val="auto"/>
        </w:rPr>
      </w:pPr>
    </w:p>
    <w:p>
      <w:pPr>
        <w:jc w:val="right"/>
        <w:ind w:right="53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58" w:name="page59"/>
    <w:bookmarkEnd w:id="58"/>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3.01(e)(ii)(B)(III)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1.02 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such other Loan Document:</w:t>
      </w:r>
    </w:p>
    <w:p>
      <w:pPr>
        <w:spacing w:after="0" w:line="159" w:lineRule="exact"/>
        <w:rPr>
          <w:sz w:val="20"/>
          <w:szCs w:val="20"/>
          <w:color w:val="auto"/>
        </w:rPr>
      </w:pPr>
    </w:p>
    <w:p>
      <w:pPr>
        <w:ind w:firstLine="436"/>
        <w:spacing w:after="0" w:line="252"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restated, amended and restated, extended, replaced, supplemented or otherwise modified (subject to any restrictions on such amendments, restatements, amendments and restatements, extensions, replacements,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95"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59" w:name="page60"/>
    <w:bookmarkEnd w:id="59"/>
    <w:p>
      <w:pPr>
        <w:ind w:right="60" w:firstLine="436"/>
        <w:spacing w:after="0" w:line="282"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headings herein and in the other Loan Documents are included for convenience of reference only and shall not affect the interpretation of this Agreement or any other Loan Document.</w:t>
      </w:r>
    </w:p>
    <w:p>
      <w:pPr>
        <w:spacing w:after="0" w:line="161"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 merger, transfer, consolidation, amalgamation, assignment, sale, or disposition,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or disposition,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1.03 Accounting Terms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36"/>
        <w:spacing w:after="0" w:line="253"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this Agreement, (i) leases shall continue to be classified and accounted for on a basis consistent with GAAP as in effect as of December 31, 2015, notwithstanding any change in GAAP related thereto (including pursuant to FASB ASC Topic 842), and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(A) pertains to an operating lease under which the covenantor or a member of its consolidated group is the lessee and (B) would not have been accounted for as a liability, asset, amortization or interest, as applicable, under GAAP as in effect on December 31, 2015.</w:t>
      </w:r>
    </w:p>
    <w:p>
      <w:pPr>
        <w:spacing w:after="0" w:line="191" w:lineRule="exact"/>
        <w:rPr>
          <w:rFonts w:ascii="Times New Roman" w:cs="Times New Roman" w:eastAsia="Times New Roman" w:hAnsi="Times New Roman"/>
          <w:sz w:val="18"/>
          <w:szCs w:val="18"/>
          <w:color w:val="auto"/>
        </w:rPr>
      </w:pPr>
    </w:p>
    <w:p>
      <w:pPr>
        <w:ind w:right="120" w:firstLine="436"/>
        <w:spacing w:after="0" w:line="255"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GAAP</w:t>
      </w:r>
      <w:r>
        <w:rPr>
          <w:rFonts w:ascii="Times New Roman" w:cs="Times New Roman" w:eastAsia="Times New Roman" w:hAnsi="Times New Roman"/>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reasonable approval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8" w:lineRule="exact"/>
        <w:rPr>
          <w:rFonts w:ascii="Times New Roman" w:cs="Times New Roman" w:eastAsia="Times New Roman" w:hAnsi="Times New Roman"/>
          <w:sz w:val="18"/>
          <w:szCs w:val="18"/>
          <w:color w:val="auto"/>
        </w:rPr>
      </w:pPr>
    </w:p>
    <w:p>
      <w:pPr>
        <w:jc w:val="both"/>
        <w:ind w:firstLine="436"/>
        <w:spacing w:after="0" w:line="261"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FASB ASC 825 and FASB ASC 470-20</w:t>
      </w:r>
      <w:r>
        <w:rPr>
          <w:rFonts w:ascii="Times New Roman" w:cs="Times New Roman" w:eastAsia="Times New Roman" w:hAnsi="Times New Roman"/>
          <w:sz w:val="18"/>
          <w:szCs w:val="18"/>
          <w:color w:val="auto"/>
        </w:rPr>
        <w:t>. Notwithstanding the above, for purposes of determining compliance with any covenant (including the computation of any financial covenant) contained herein, Indebtedness of the Borrower and its Subsidiaries shall be deemed to be carried at one hundred percent (100%) of the outstanding principal amount thereof, and the effects of FASB ASC 825 and FASB ASC 470-20 on financial liabilities shall be disregarded.</w:t>
      </w:r>
    </w:p>
    <w:p>
      <w:pPr>
        <w:spacing w:after="0" w:line="176" w:lineRule="exact"/>
        <w:rPr>
          <w:sz w:val="20"/>
          <w:szCs w:val="20"/>
          <w:color w:val="auto"/>
        </w:rPr>
      </w:pPr>
    </w:p>
    <w:p>
      <w:pPr>
        <w:ind w:right="4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1.04 Rounding</w:t>
      </w:r>
      <w:r>
        <w:rPr>
          <w:rFonts w:ascii="Times New Roman" w:cs="Times New Roman" w:eastAsia="Times New Roman" w:hAnsi="Times New Roman"/>
          <w:sz w:val="18"/>
          <w:szCs w:val="18"/>
          <w:color w:val="auto"/>
        </w:rPr>
        <w:t>. Any financial ratios required to be maintained by the Borrower pursuant to this Agreement shall be calculated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60" w:name="page61"/>
    <w:bookmarkEnd w:id="6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1.05 Times of Day; Rates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specified, all references herein to times of day shall be references to Eastern time (daylight or standard, as applicable).</w:t>
      </w:r>
    </w:p>
    <w:p>
      <w:pPr>
        <w:spacing w:after="0" w:line="225"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adjustments) that is an alternative or replacement for or successor to any such rate (including any Term SOFR Successor Rate) (or any component of any of the foregoing) or the effect of any of the foregoing, or of any Term SOFR Conforming Changes. The Administrative Agent and its affiliates or other related entities may engage in transactions or other activities that affect any reference rate referred to herein, or any alternative, successor or replacement rate (including any Term SOFR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any Term SOFR Successor Rate) (or any component of any of the foregoing),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 For the avoidance of doubt, this paragraph of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does not alter or impair the rights and obligations of the Administrative Agent otherwise expressly set forth in this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COMMITMENTS AND LOANS</w:t>
      </w:r>
    </w:p>
    <w:p>
      <w:pPr>
        <w:spacing w:after="0" w:line="20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2.01 Loans</w:t>
      </w:r>
      <w:r>
        <w:rPr>
          <w:rFonts w:ascii="Times New Roman" w:cs="Times New Roman" w:eastAsia="Times New Roman" w:hAnsi="Times New Roman"/>
          <w:sz w:val="18"/>
          <w:szCs w:val="18"/>
          <w:color w:val="auto"/>
        </w:rPr>
        <w:t>. Subject to the terms and conditions set forth herein, each Lender severally agrees to make Loans denominated in Dollars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Borrower in a single drawing on the Closing Date in an aggregate amount (a) for Tranche A Loans, not to exceed such Lender’s Tranche A Commitment as in effect immediately prior to the time such Tranche A Loans are made and (b) for Tranche B Loans, not to exceed such Lender’s Tranche B Commitment as in effect immediately prior to the time such Tranche B Loans are made. On the Closing Date (after giving effect to the incurrence of Loans), the Commitments of each Lender shall terminate and automatically be reduced to zero, irrespective of whether the aggregate amount of Loans made on the Closing Date is equal to or less than the aggregate amount of Commitments immediately prior to the making of the Loans. Amounts borrowed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repaid or prepaid may not be reborrowed. Loans may be Base Rate Loans or Term SOFR Loans, as further provided herein.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2.02 Borrowings; Conversions and Continuations of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0" w:firstLine="436"/>
        <w:spacing w:after="0" w:line="261"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each conversion of Term SOFR Loans to Base Rate Loans, each conversion of Base Rate Loans to Term SOFR Loans, and each continuation of Term SOFR Loans, as applicable, shall be made upon the Borrower’s irrevocable (subject to the second proviso in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notice to the Administrative Agent, which may be given by telephone or a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any telephonic notice must be confirmed promptly by delivery to the Administrative Agent of a Loan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61" w:name="page62"/>
    <w:bookmarkEnd w:id="61"/>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any Loan Notice with respect to a Borrowing provided pursuant to this </w:t>
      </w:r>
      <w:r>
        <w:rPr>
          <w:rFonts w:ascii="Times New Roman" w:cs="Times New Roman" w:eastAsia="Times New Roman" w:hAnsi="Times New Roman"/>
          <w:sz w:val="17"/>
          <w:szCs w:val="17"/>
          <w:u w:val="single" w:color="auto"/>
          <w:color w:val="auto"/>
        </w:rPr>
        <w:t>Section 2.02(a)</w:t>
      </w:r>
      <w:r>
        <w:rPr>
          <w:rFonts w:ascii="Times New Roman" w:cs="Times New Roman" w:eastAsia="Times New Roman" w:hAnsi="Times New Roman"/>
          <w:sz w:val="17"/>
          <w:szCs w:val="17"/>
          <w:color w:val="auto"/>
        </w:rPr>
        <w:t xml:space="preserve"> may state that it is conditioned upon the occurrence or non-occurrence of any event specified therein, in which case such notice may be revoked by the Borrower (by written notice to the Administrative Agent on or prior to the specified effective date) if such condition is not satisfied. Each such notice must be received by the Administrative Agent not later than 11:00 a.m. (i) two (2) Business Days prior to the requested date of any Borrowing of, conversion to or continuation of Term SOFR Loans, or of any conversion of Term SOFR Loans to Base Rate Loans and (ii) on the requested date of any Borrowing of Base Rate Loans. Each Borrowing of, conversion to, or continuation of Term SOFR Loans shall be in a principal amount of $5,000,000 or a whole multiple of $1,000,000 in excess thereof. Each Borrowing of or conversion to Base Rate Loans shall be in a principal amount of $500,000 or a whole multiple of $100,000 in excess thereof. Each Loan Notice shall specify (A) whether the Borrower is requesting a Borrowing, a conversion of Loans from Term SOFR Loans to Base Rate Loans, a conversion of Base Rate Loans to Term SOFR Loans, or a continuation of Term SOFR Loans, (B) the requested date of the Borrowing, conversion or continuation, as the case may be (which shall be a Business Day), (C) the principal amount of Loans to be borrowed, converted or continued, (D) the Type of Loans to be borrowed or to which existing Loans are to be converted, (E) the Class of Loans to be borrowed and</w:t>
      </w:r>
    </w:p>
    <w:p>
      <w:pPr>
        <w:spacing w:after="0" w:line="2" w:lineRule="exact"/>
        <w:rPr>
          <w:sz w:val="20"/>
          <w:szCs w:val="20"/>
          <w:color w:val="auto"/>
        </w:rPr>
      </w:pPr>
    </w:p>
    <w:p>
      <w:pPr>
        <w:ind w:left="4" w:right="180" w:hanging="4"/>
        <w:spacing w:after="0" w:line="253" w:lineRule="auto"/>
        <w:tabs>
          <w:tab w:leader="none" w:pos="26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Loan Notice, but fails to specify an Interest Period, it will be deemed to have specified an Interest Period of one month.</w:t>
      </w:r>
    </w:p>
    <w:p>
      <w:pPr>
        <w:spacing w:after="0" w:line="186"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Loan Notice, the Administrative Agent shall promptly notify each Lender of the amount of its share of the applicable Loans, and if no timely notice of a conversion or continuation is provided by the Borrower, the Administrative Agent shall notify each Lender of the details of any automatic conversion to Base Rate Loans, as described in the preceding subsection. In the case of a Borrowing, each Lender shall make the amount of its Loan available to the Administrative Agent in Same Day Funds at the Administrative Agent’s Office not later than 1:00 p.m. on the Business Day specified in the applicable Loan Notice.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the Administrative Agent shall make all funds so received available to the Borrower in like funds as received by the Administrative Agent either by (i) crediting the account of the Borrower on the books of U.S. Bank with the amount of such funds or (ii) wire transfer of such funds, in each case in accordance with instructions provided to (and reasonably acceptable to) the Administrative Agent by the Borrower.</w:t>
      </w:r>
    </w:p>
    <w:p>
      <w:pPr>
        <w:spacing w:after="0" w:line="191"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8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Term SOFR Loan may be continued or converted only on the last day of an Interest Period for such Loan. During the existence of an Event of Default, no Loans may be requested as, converted to or continued as Term SOFR Loans without the consent of the Required Lenders.</w:t>
      </w:r>
    </w:p>
    <w:p>
      <w:pPr>
        <w:spacing w:after="0" w:line="175" w:lineRule="exact"/>
        <w:rPr>
          <w:rFonts w:ascii="Times New Roman" w:cs="Times New Roman" w:eastAsia="Times New Roman" w:hAnsi="Times New Roman"/>
          <w:sz w:val="18"/>
          <w:szCs w:val="18"/>
          <w:color w:val="auto"/>
        </w:rPr>
      </w:pPr>
    </w:p>
    <w:p>
      <w:pPr>
        <w:ind w:left="4" w:right="560" w:firstLine="436"/>
        <w:spacing w:after="0" w:line="282" w:lineRule="auto"/>
        <w:tabs>
          <w:tab w:leader="none" w:pos="69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determination of an interest rate by the Administrative Agent pursuant to any provision of this Agreement shall be conclusive and binding on the Borrower and the Lenders in the absence of manifest error.</w:t>
      </w:r>
    </w:p>
    <w:p>
      <w:pPr>
        <w:spacing w:after="0" w:line="161"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8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Borrowings, all conversions of Loans from Term SOFR Loans to Base Rate Loans, all conversions of Loans from Base Rate Loans to Term SOFR Loans, and all continuations of Loans as the same Type, there shall not be more than ten (10) Interest Periods in effect with respect to Loans.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62" w:name="page63"/>
    <w:bookmarkEnd w:id="62"/>
    <w:p>
      <w:pPr>
        <w:ind w:left="4" w:right="200" w:firstLine="436"/>
        <w:spacing w:after="0" w:line="266" w:lineRule="auto"/>
        <w:tabs>
          <w:tab w:leader="none" w:pos="6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2.03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2.04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2.05 Prepayments</w:t>
      </w:r>
      <w:r>
        <w:rPr>
          <w:rFonts w:ascii="Times New Roman" w:cs="Times New Roman" w:eastAsia="Times New Roman" w:hAnsi="Times New Roman"/>
          <w:sz w:val="18"/>
          <w:szCs w:val="18"/>
          <w:color w:val="auto"/>
        </w:rPr>
        <w:t>. The Borrower may, upon notice to the Administrative Agent, at any time or from time to time voluntarily prepay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Class of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unless otherwise agreed by the Administrative Agent in its reasonable discretion, (i) such notice must be received by the Administrative Agent not later than 11:00 a.m. (A) two (2) Business Days prior to any date of prepayment of Term SOFR Loans and (B) on the date of prepayment of Base Rate Loans; (ii) any prepayment of Term SOFR Loans shall be in a principal amount of $5,000,000 or a whole multiple of $1,000,000 in excess thereof (or, if less, the entire principal amount thereof then outstanding); and (iii) any prepayment of Base Rate Loans shall be in a principal amount of $500,000 or a whole multiple of $100,000 in excess thereof (or, if less, the entire principal amount thereof then outstanding). Each such notice shall be irrevocable and shall specify the date and amount of such prepayment and the Type(s) and Class(es) of Loans to be prepaid and, if Term SOFR Loans are to be prepaid, the Interest Period(s) of such Loans. The Administrative Agent will promptly notify each Lender of its receipt of each such notice, and of the amount of such Lender’s share of such prepayment. If such notice is given by the Borrower, the Borrower shall make such prepayment and the payment amount specified in such notice shall be due and payable on the date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any notice provided pursuant to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may state that it is conditioned upon the occurrence or non-occurrence of any event specified therein (including the effectiveness of other credit facilities), in which case such notice may be revoked by the Borrower (by written notice to the Administrative Agent on or prior to the specified effective date) if such condition is not satisfied. Any prepayment of a Term SOFR Loan shall be accompanied by all accrued interest on the amount prepaid,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such prepayment shall be applied ratably to the Loans of the applicable Class(es) included in the prepaid Borrowing.</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2.06 Termination or Reduction of Aggregate Commitments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160" w:firstLine="436"/>
        <w:spacing w:after="0" w:line="272" w:lineRule="auto"/>
        <w:tabs>
          <w:tab w:leader="none" w:pos="689"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 Reductions</w:t>
      </w:r>
      <w:r>
        <w:rPr>
          <w:rFonts w:ascii="Times New Roman" w:cs="Times New Roman" w:eastAsia="Times New Roman" w:hAnsi="Times New Roman"/>
          <w:sz w:val="17"/>
          <w:szCs w:val="17"/>
          <w:color w:val="auto"/>
        </w:rPr>
        <w:t xml:space="preserve">. The Borrower may, upon notice to the Administrative Agent, terminate or permanently reduce the Commitments of all Lenders of any Class on a pro rata basis;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unless otherwise agreed by the Administrative Agent in its reasonable discretion, (i) any such notice shall be received by the Administrative Agent not later than 12:00 noon five (5) Business Days prior to the date of termination or reduction, and</w:t>
      </w:r>
    </w:p>
    <w:p>
      <w:pPr>
        <w:spacing w:after="0" w:line="1" w:lineRule="exact"/>
        <w:rPr>
          <w:rFonts w:ascii="Times New Roman" w:cs="Times New Roman" w:eastAsia="Times New Roman" w:hAnsi="Times New Roman"/>
          <w:sz w:val="17"/>
          <w:szCs w:val="17"/>
          <w:color w:val="auto"/>
        </w:rPr>
      </w:pPr>
    </w:p>
    <w:p>
      <w:pPr>
        <w:ind w:left="4" w:right="140" w:hanging="4"/>
        <w:spacing w:after="0" w:line="260" w:lineRule="auto"/>
        <w:tabs>
          <w:tab w:leader="none" w:pos="2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partial reduction with respect to a particular Class shall be in an aggregate amount of $10,000,000 or any whole multiple of $1,000,000 in excess thereof.</w:t>
      </w:r>
    </w:p>
    <w:p>
      <w:pPr>
        <w:spacing w:after="0" w:line="18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Reductions</w:t>
      </w:r>
      <w:r>
        <w:rPr>
          <w:rFonts w:ascii="Times New Roman" w:cs="Times New Roman" w:eastAsia="Times New Roman" w:hAnsi="Times New Roman"/>
          <w:sz w:val="18"/>
          <w:szCs w:val="18"/>
          <w:color w:val="auto"/>
        </w:rPr>
        <w:t>. The Commitments shall terminate on the Commitment Termination Date.</w:t>
      </w:r>
    </w:p>
    <w:p>
      <w:pPr>
        <w:spacing w:after="0" w:line="225"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8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The Administrative Agent will promptly notify the Lenders of any termination or reduction of the Aggregate Commitments under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Upon any reduction of the Commitments of any Class, the Commitment of each Lender of such Class shall be reduced by such Lender’s ratable share of such reduction amount. All fees in respect of the Aggregate Commitments accrued until the effective date of any termination of the Aggregate Commitments shall be paid on the effective date of such termination.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63" w:name="page64"/>
    <w:bookmarkEnd w:id="63"/>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2.07 Repayment of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 w:right="160" w:firstLine="436"/>
        <w:spacing w:after="0" w:line="282" w:lineRule="auto"/>
        <w:tabs>
          <w:tab w:leader="none" w:pos="6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to the Lenders on the Tranche A Maturity Date the aggregate principal amount of Tranche A Loans outstanding on such date.</w:t>
      </w:r>
    </w:p>
    <w:p>
      <w:pPr>
        <w:spacing w:after="0" w:line="161" w:lineRule="exact"/>
        <w:rPr>
          <w:rFonts w:ascii="Times New Roman" w:cs="Times New Roman" w:eastAsia="Times New Roman" w:hAnsi="Times New Roman"/>
          <w:sz w:val="18"/>
          <w:szCs w:val="18"/>
          <w:color w:val="auto"/>
        </w:rPr>
      </w:pPr>
    </w:p>
    <w:p>
      <w:pPr>
        <w:ind w:left="-20" w:right="160" w:firstLine="436"/>
        <w:spacing w:after="0" w:line="282" w:lineRule="auto"/>
        <w:tabs>
          <w:tab w:leader="none" w:pos="6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to the Lenders on the Tranche B Maturity Date the aggregate principal amount of Tranche B Loans outstanding on such date.</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Section 2.08 Interest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 w:right="40" w:firstLine="436"/>
        <w:spacing w:after="0" w:line="261" w:lineRule="auto"/>
        <w:tabs>
          <w:tab w:leader="none" w:pos="6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(i) each Term SOFR Loan shall bear interest on the outstanding principal amount thereof for each Interest Period at a rate per annum equal to Term SOFR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and (ii) 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71" w:lineRule="exact"/>
        <w:rPr>
          <w:rFonts w:ascii="Times New Roman" w:cs="Times New Roman" w:eastAsia="Times New Roman" w:hAnsi="Times New Roman"/>
          <w:sz w:val="18"/>
          <w:szCs w:val="18"/>
          <w:color w:val="auto"/>
        </w:rPr>
      </w:pPr>
    </w:p>
    <w:p>
      <w:pPr>
        <w:jc w:val="both"/>
        <w:ind w:left="420" w:hanging="4"/>
        <w:spacing w:after="0" w:line="266" w:lineRule="auto"/>
        <w:tabs>
          <w:tab w:leader="none" w:pos="6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67" w:lineRule="exact"/>
        <w:rPr>
          <w:rFonts w:ascii="Times New Roman" w:cs="Times New Roman" w:eastAsia="Times New Roman" w:hAnsi="Times New Roman"/>
          <w:sz w:val="18"/>
          <w:szCs w:val="18"/>
          <w:color w:val="auto"/>
        </w:rPr>
      </w:pPr>
    </w:p>
    <w:p>
      <w:pPr>
        <w:ind w:left="420" w:right="80" w:firstLine="419"/>
        <w:spacing w:after="0" w:line="261" w:lineRule="auto"/>
        <w:tabs>
          <w:tab w:leader="none" w:pos="110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(other than principal of any Loan) payable by the Borrower under any Loan Document is not paid when due (after giving effect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71" w:lineRule="exact"/>
        <w:rPr>
          <w:rFonts w:ascii="Times New Roman" w:cs="Times New Roman" w:eastAsia="Times New Roman" w:hAnsi="Times New Roman"/>
          <w:sz w:val="18"/>
          <w:szCs w:val="18"/>
          <w:color w:val="auto"/>
        </w:rPr>
      </w:pPr>
    </w:p>
    <w:p>
      <w:pPr>
        <w:ind w:left="1160" w:hanging="321"/>
        <w:spacing w:after="0"/>
        <w:tabs>
          <w:tab w:leader="none" w:pos="11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past due amounts (including interest on past due interest) shall be due and payable upon demand.</w:t>
      </w:r>
    </w:p>
    <w:p>
      <w:pPr>
        <w:spacing w:after="0" w:line="225" w:lineRule="exact"/>
        <w:rPr>
          <w:rFonts w:ascii="Times New Roman" w:cs="Times New Roman" w:eastAsia="Times New Roman" w:hAnsi="Times New Roman"/>
          <w:sz w:val="18"/>
          <w:szCs w:val="18"/>
          <w:color w:val="auto"/>
        </w:rPr>
      </w:pPr>
    </w:p>
    <w:p>
      <w:pPr>
        <w:ind w:left="-20" w:right="180" w:firstLine="436"/>
        <w:spacing w:after="0" w:line="266" w:lineRule="auto"/>
        <w:tabs>
          <w:tab w:leader="none" w:pos="6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Section 2.09 Fees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20" w:right="180" w:firstLine="419"/>
        <w:spacing w:after="0" w:line="255" w:lineRule="auto"/>
        <w:tabs>
          <w:tab w:leader="none" w:pos="108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The Borrower shall pay to the Administrative Agent for the account of each Lender of the applicable Class(es) in accordance with its ratable share of such Class of Commitments, a commitment fee (the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in Dollars equal to the Applicable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actual daily amount of the Commitments of such Class of such Lender during the period from and including the date that is one hundred twenty (120) days after the Effective Date to but excluding the Commitment Termination Date. The Commitment Fee shall be due and payable on the Commitment Termination Date.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80"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60" w:top="266" w:right="479" w:bottom="1440" w:gutter="0" w:footer="0" w:header="0"/>
        </w:sectPr>
      </w:pPr>
    </w:p>
    <w:bookmarkStart w:id="64" w:name="page65"/>
    <w:bookmarkEnd w:id="64"/>
    <w:p>
      <w:pPr>
        <w:ind w:left="980" w:right="140" w:firstLine="408"/>
        <w:spacing w:after="0" w:line="282" w:lineRule="auto"/>
        <w:tabs>
          <w:tab w:leader="none" w:pos="15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pay to U.S. Bank, for its own account, in Dollars, fees in the amounts and at the times specified in the Agent Fee Letter. Such fees shall be fully earned when paid and shall not be refundable for any reason whatsoever.</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5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2.10 Computation of Interest and Fees</w:t>
      </w:r>
      <w:r>
        <w:rPr>
          <w:rFonts w:ascii="Times New Roman" w:cs="Times New Roman" w:eastAsia="Times New Roman" w:hAnsi="Times New Roman"/>
          <w:sz w:val="18"/>
          <w:szCs w:val="18"/>
          <w:color w:val="auto"/>
        </w:rPr>
        <w:t>. All computations of interest for Base Rate Loans (including Base Rate Loans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reference to Term SOFR) shall be made on the basis of a year of 365 or 366 days, as the case may be, and actual days elapsed. All computations of interest for Term SOFR Loans shall be made on the basis of a 360-day year and actual days elapsed (which results in more fees or interest, as applicable, being paid than if computed on the basis of a 365-day year).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18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2.11 Evidence of Debt</w:t>
      </w:r>
      <w:r>
        <w:rPr>
          <w:rFonts w:ascii="Times New Roman" w:cs="Times New Roman" w:eastAsia="Times New Roman" w:hAnsi="Times New Roman"/>
          <w:sz w:val="18"/>
          <w:szCs w:val="18"/>
          <w:color w:val="auto"/>
        </w:rPr>
        <w:t>. The Loans made by each Lender shall be evidenced by one or more accounts or records maintained by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 in the ordinary course of business. The Administrative Agent shall maintain the Register in accordance with </w:t>
      </w:r>
      <w:r>
        <w:rPr>
          <w:rFonts w:ascii="Times New Roman" w:cs="Times New Roman" w:eastAsia="Times New Roman" w:hAnsi="Times New Roman"/>
          <w:sz w:val="18"/>
          <w:szCs w:val="18"/>
          <w:u w:val="single" w:color="auto"/>
          <w:color w:val="auto"/>
        </w:rPr>
        <w:t>Section 10.06(c)</w:t>
      </w:r>
      <w:r>
        <w:rPr>
          <w:rFonts w:ascii="Times New Roman" w:cs="Times New Roman" w:eastAsia="Times New Roman" w:hAnsi="Times New Roman"/>
          <w:sz w:val="18"/>
          <w:szCs w:val="18"/>
          <w:color w:val="auto"/>
        </w:rPr>
        <w:t>. The accounts or records maintained by each Lender shall be conclusive absent manifest error of the amount of the Loans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Class, amount, currency and maturity of its Loans and payments with respect thereto.</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2.12 Payments Generally; Administrative Agent’s Clawback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436"/>
        <w:spacing w:after="0" w:line="272" w:lineRule="auto"/>
        <w:tabs>
          <w:tab w:leader="none" w:pos="68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Same Day Funds not later than 2:00 p.m. on the date specified herein. The Administrative Agent will promptly distribute to each Lender its applicable share of such payment in like funds as received by wire transfer to such Lender’s Lending Office. All payments received by the Administrative Agent after 2:00 p.m. shall be deemed received on the next succeeding Business Day and any applicable interest or fee shall continue to accrue. Subject to the definition of “Interest Period”,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65" w:name="page66"/>
    <w:bookmarkEnd w:id="65"/>
    <w:p>
      <w:pPr>
        <w:ind w:left="440" w:hanging="4"/>
        <w:spacing w:after="0" w:line="252"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w:t>
      </w:r>
      <w:r>
        <w:rPr>
          <w:rFonts w:ascii="Times New Roman" w:cs="Times New Roman" w:eastAsia="Times New Roman" w:hAnsi="Times New Roman"/>
          <w:sz w:val="18"/>
          <w:szCs w:val="18"/>
          <w:u w:val="single" w:color="auto"/>
          <w:color w:val="auto"/>
        </w:rPr>
        <w:t>Funding by Lenders; Presumptions by Administrative Agent</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of Term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any Borrowing of Base Rate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Overnight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86" w:lineRule="exact"/>
        <w:rPr>
          <w:rFonts w:ascii="Times New Roman" w:cs="Times New Roman" w:eastAsia="Times New Roman" w:hAnsi="Times New Roman"/>
          <w:sz w:val="18"/>
          <w:szCs w:val="18"/>
          <w:color w:val="auto"/>
        </w:rPr>
      </w:pPr>
    </w:p>
    <w:p>
      <w:pPr>
        <w:ind w:left="440" w:right="100" w:firstLine="419"/>
        <w:spacing w:after="0" w:line="253" w:lineRule="auto"/>
        <w:tabs>
          <w:tab w:leader="none" w:pos="112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Borrower; Presumptions by Administrative Agent</w:t>
      </w:r>
      <w:r>
        <w:rPr>
          <w:rFonts w:ascii="Times New Roman" w:cs="Times New Roman" w:eastAsia="Times New Roman" w:hAnsi="Times New Roman"/>
          <w:sz w:val="18"/>
          <w:szCs w:val="18"/>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(A) the Borrower has not in fact made such payment; (B) the Administrative Agent has made a payment in excess of the amount so paid by the Borrower (whether or not then owed); or (C) the Administrative Agent has for any reason otherwise erroneously made such payment; then each of the Lenders severally agrees to repay to the Administrative Agent forthwith on demand the Rescindable Amount so distributed to such Lender, in Same Day Funds with interest thereon, for each day from and including the date such amount is distributed to it to but excluding the date of payment to the Administrative Agent, at the Overnight Rate.</w:t>
      </w:r>
    </w:p>
    <w:p>
      <w:pPr>
        <w:spacing w:after="0" w:line="192"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notice of the Administrative Agent to any Lender or the Borrower with respect to any amount owing under this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shall be conclusive, absent manifest error.</w:t>
      </w:r>
    </w:p>
    <w:p>
      <w:pPr>
        <w:spacing w:after="0" w:line="162" w:lineRule="exact"/>
        <w:rPr>
          <w:sz w:val="20"/>
          <w:szCs w:val="20"/>
          <w:color w:val="auto"/>
        </w:rPr>
      </w:pPr>
    </w:p>
    <w:p>
      <w:pPr>
        <w:jc w:val="both"/>
        <w:ind w:right="300" w:firstLine="436"/>
        <w:spacing w:after="0" w:line="261"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Satisfy Conditions Precedent</w:t>
      </w:r>
      <w:r>
        <w:rPr>
          <w:rFonts w:ascii="Times New Roman" w:cs="Times New Roman" w:eastAsia="Times New Roman" w:hAnsi="Times New Roman"/>
          <w:sz w:val="18"/>
          <w:szCs w:val="18"/>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the Borrower by the Administrative Agent because the conditions to the applicable Borrowing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not satisfied or waived in accordance with the terms hereof, the Administrative Agent promptly shall return such funds (in like funds as received from such Lender) to such Lender, without interest.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66" w:name="page67"/>
    <w:bookmarkEnd w:id="66"/>
    <w:p>
      <w:pPr>
        <w:ind w:right="160" w:firstLine="436"/>
        <w:spacing w:after="0" w:line="261"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of Lenders Several</w:t>
      </w:r>
      <w:r>
        <w:rPr>
          <w:rFonts w:ascii="Times New Roman" w:cs="Times New Roman" w:eastAsia="Times New Roman" w:hAnsi="Times New Roman"/>
          <w:sz w:val="18"/>
          <w:szCs w:val="18"/>
          <w:color w:val="auto"/>
        </w:rPr>
        <w:t xml:space="preserve">. The obligations of the Lenders hereunder to make Loans and to make payments pursuant to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are several and not joint. The failure of any Lender to make any Loan or to make any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Source</w:t>
      </w:r>
      <w:r>
        <w:rPr>
          <w:rFonts w:ascii="Times New Roman" w:cs="Times New Roman" w:eastAsia="Times New Roman" w:hAnsi="Times New Roman"/>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 Each Lender at its option may make any Loan or otherwise perform its obligations hereunder through any Lending Office (each, a “</w:t>
      </w:r>
      <w:r>
        <w:rPr>
          <w:rFonts w:ascii="Times New Roman" w:cs="Times New Roman" w:eastAsia="Times New Roman" w:hAnsi="Times New Roman"/>
          <w:sz w:val="18"/>
          <w:szCs w:val="18"/>
          <w:u w:val="single" w:color="auto"/>
          <w:color w:val="auto"/>
        </w:rPr>
        <w:t>Designated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any exercise of such option shall not affect the obligation of the Borrower to repay any Loan in accordance with the terms of this Agreement. Any Designated Lender shall be considered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designation of a Designated Lender is for administrative convenience only and does not expand the scope of liabilities or obligations of any Lender or Designated Lender beyond those of the Lender designating such Person as a Designated Lender as provided in this Agreement.</w:t>
      </w:r>
    </w:p>
    <w:p>
      <w:pPr>
        <w:spacing w:after="0" w:line="18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2.13 Sharing of Payments by Lenders</w:t>
      </w:r>
      <w:r>
        <w:rPr>
          <w:rFonts w:ascii="Times New Roman" w:cs="Times New Roman" w:eastAsia="Times New Roman" w:hAnsi="Times New Roman"/>
          <w:sz w:val="18"/>
          <w:szCs w:val="18"/>
          <w:color w:val="auto"/>
        </w:rPr>
        <w:t>. If any Lender shall, by exercising any right of setoff or counterclaim or otherwise, obtain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in respect of any principal of or interest on any of the Loans of a particular Class made by it resulting in such Lender receiving payment of a proportion of the aggregate amount of such Loans and accrued interest thereon greater than its pro rata share thereof as provided herein,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of the applicable Class(es) ratably in accordance with the aggregate amount of principal of and accrued interest on their respective Loans of such Class(es) and other amounts owing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440" w:right="40" w:firstLine="419"/>
        <w:spacing w:after="0" w:line="282" w:lineRule="auto"/>
        <w:tabs>
          <w:tab w:leader="none" w:pos="10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2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assignee or participant, other than to the Borrower or any Subsidiary (as to which the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apply).</w:t>
      </w:r>
    </w:p>
    <w:p>
      <w:pPr>
        <w:spacing w:after="0" w:line="180"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2.14 [Reserved].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2.15 Defaulting Lenders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67" w:name="page68"/>
    <w:bookmarkEnd w:id="67"/>
    <w:p>
      <w:pPr>
        <w:ind w:left="-40" w:right="220" w:firstLine="436"/>
        <w:spacing w:after="0" w:line="282" w:lineRule="auto"/>
        <w:tabs>
          <w:tab w:leader="none" w:pos="6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53" w:lineRule="exact"/>
        <w:rPr>
          <w:rFonts w:ascii="Times New Roman" w:cs="Times New Roman" w:eastAsia="Times New Roman" w:hAnsi="Times New Roman"/>
          <w:sz w:val="18"/>
          <w:szCs w:val="18"/>
          <w:color w:val="auto"/>
        </w:rPr>
      </w:pPr>
    </w:p>
    <w:p>
      <w:pPr>
        <w:ind w:left="400" w:right="180" w:firstLine="419"/>
        <w:spacing w:after="0" w:line="282" w:lineRule="auto"/>
        <w:tabs>
          <w:tab w:leader="none" w:pos="103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00" w:firstLine="419"/>
        <w:spacing w:after="0" w:line="252" w:lineRule="auto"/>
        <w:tabs>
          <w:tab w:leader="none" w:pos="108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(x) such payment is a payment of the principal amount of any Loans in respect of which such Defaulting Lender has not fully funded its appropriate share, and (y) such Loans were made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all Non-Defaulting Lenders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prior to being applied to the payment of any Loans of such Defaulting Lender until such time as all Loans are held by the Lenders of the same Class pro rata in accordance with the Commitments hereunder. Any payments, prepayments or other amounts paid or payable to a Defaulting Lender that are applied (or held) to pay amounts owed by a Defaulting Lender pursuant to this </w:t>
      </w:r>
      <w:r>
        <w:rPr>
          <w:rFonts w:ascii="Times New Roman" w:cs="Times New Roman" w:eastAsia="Times New Roman" w:hAnsi="Times New Roman"/>
          <w:sz w:val="18"/>
          <w:szCs w:val="18"/>
          <w:u w:val="single" w:color="auto"/>
          <w:color w:val="auto"/>
        </w:rPr>
        <w:t>Section 2.15(a)(ii)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82" w:lineRule="exact"/>
        <w:rPr>
          <w:rFonts w:ascii="Times New Roman" w:cs="Times New Roman" w:eastAsia="Times New Roman" w:hAnsi="Times New Roman"/>
          <w:sz w:val="18"/>
          <w:szCs w:val="18"/>
          <w:color w:val="auto"/>
        </w:rPr>
      </w:pPr>
    </w:p>
    <w:p>
      <w:pPr>
        <w:jc w:val="both"/>
        <w:ind w:left="400" w:right="140" w:firstLine="419"/>
        <w:spacing w:after="0" w:line="266" w:lineRule="auto"/>
        <w:tabs>
          <w:tab w:leader="none" w:pos="113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xml:space="preserve">. No Defaulting Lender shall be entitled to receive any fee payable under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75" w:lineRule="exact"/>
        <w:rPr>
          <w:rFonts w:ascii="Times New Roman" w:cs="Times New Roman" w:eastAsia="Times New Roman" w:hAnsi="Times New Roman"/>
          <w:sz w:val="18"/>
          <w:szCs w:val="18"/>
          <w:color w:val="auto"/>
        </w:rPr>
      </w:pPr>
    </w:p>
    <w:p>
      <w:pPr>
        <w:ind w:left="-40" w:right="40" w:firstLine="436"/>
        <w:spacing w:after="0" w:line="254"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applicable Class(es) of the other Lenders or take such other actions as the Administrative Agent may determine to be necessary to cause such Loans to be held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by the Lenders of such Class(es) in accordance with their respective Commitments,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40"/>
          </w:cols>
          <w:pgMar w:left="480" w:top="270" w:right="47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TAXES, YIELD PROTECTION AND ILLEGALITY</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Section 3.01 Taxes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hanging="244"/>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right="80" w:firstLine="419"/>
        <w:spacing w:after="0" w:line="258" w:lineRule="auto"/>
        <w:tabs>
          <w:tab w:leader="none" w:pos="105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payments by or on account of any obligation of the Borrower under any Loan Document shall be made without deduction or withholding for any Taxes, except as required by applicable Laws. If any applicable Laws (as determined in the good faith discretion of the Administrative Agent or the Borrower) require the deduction or withholding of any Tax from any such payment by the Administrative Agent or the Borrower, then the Administrative Agent or the Borrower shall be entitled to make such deduction or withholding, upon the basis of the information and documentation received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w:t>
      </w:r>
    </w:p>
    <w:p>
      <w:pPr>
        <w:spacing w:after="0" w:line="75" w:lineRule="exact"/>
        <w:rPr>
          <w:rFonts w:ascii="Times New Roman" w:cs="Times New Roman" w:eastAsia="Times New Roman" w:hAnsi="Times New Roman"/>
          <w:sz w:val="18"/>
          <w:szCs w:val="18"/>
          <w:color w:val="auto"/>
        </w:rPr>
      </w:pPr>
    </w:p>
    <w:p>
      <w:pPr>
        <w:ind w:left="420" w:firstLine="419"/>
        <w:spacing w:after="0" w:line="254" w:lineRule="auto"/>
        <w:tabs>
          <w:tab w:leader="none" w:pos="110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 (B) the Administrative Agent shall timely pay the full amount withheld or deducted to the relevant Governmental Authority in accordance with the Code, and (C) to the extent that the withholding or deduction is made on account of Indemnified Taxes, the sum payable by the Borrower shall be increased as necessary so that after any required withholding or the making of all required deductions (including deductions and withholdings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83" w:lineRule="exact"/>
        <w:rPr>
          <w:rFonts w:ascii="Times New Roman" w:cs="Times New Roman" w:eastAsia="Times New Roman" w:hAnsi="Times New Roman"/>
          <w:sz w:val="18"/>
          <w:szCs w:val="18"/>
          <w:color w:val="auto"/>
        </w:rPr>
      </w:pPr>
    </w:p>
    <w:p>
      <w:pPr>
        <w:ind w:left="420" w:right="20" w:firstLine="419"/>
        <w:spacing w:after="0" w:line="254" w:lineRule="auto"/>
        <w:tabs>
          <w:tab w:leader="none" w:pos="115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or the Administrative Agent shall be required by any applicable Laws other than the Code to withhold or deduct any Taxes from any payment, then (A) the Borrower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 (B) the Borrower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Borrower shall be increased as necessary so that after any required withholding or the making of all required deductions (including deductions and withholdings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83" w:lineRule="exact"/>
        <w:rPr>
          <w:rFonts w:ascii="Times New Roman" w:cs="Times New Roman" w:eastAsia="Times New Roman" w:hAnsi="Times New Roman"/>
          <w:sz w:val="18"/>
          <w:szCs w:val="18"/>
          <w:color w:val="auto"/>
        </w:rPr>
      </w:pPr>
    </w:p>
    <w:p>
      <w:pPr>
        <w:ind w:left="-20" w:right="740" w:firstLine="436"/>
        <w:spacing w:after="0" w:line="282" w:lineRule="auto"/>
        <w:tabs>
          <w:tab w:leader="none" w:pos="67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The Borrower shall timely pay to the relevant Governmental Authority in accordance with applicable law, or at the option of the Administrative Agent timely reimburse it for the payment of, any Other Taxes.</w:t>
      </w:r>
    </w:p>
    <w:p>
      <w:pPr>
        <w:spacing w:after="0" w:line="53"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60" w:top="266" w:right="459" w:bottom="1440" w:gutter="0" w:footer="0" w:header="0"/>
        </w:sectPr>
      </w:pPr>
    </w:p>
    <w:bookmarkStart w:id="69" w:name="page70"/>
    <w:bookmarkEnd w:id="69"/>
    <w:p>
      <w:pPr>
        <w:ind w:left="420" w:right="20" w:firstLine="419"/>
        <w:spacing w:after="0" w:line="252" w:lineRule="auto"/>
        <w:tabs>
          <w:tab w:leader="none" w:pos="105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Borrower shall, and does hereby,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The Borrower shall, and does hereby, indemnify the Administrative Agent, and shall make payment in respect thereof within 10 days after demand therefor, for any amount which a Lender for any reason fails to pay indefeasibly to the Administrative Agent as required pursuant to </w:t>
      </w:r>
      <w:r>
        <w:rPr>
          <w:rFonts w:ascii="Times New Roman" w:cs="Times New Roman" w:eastAsia="Times New Roman" w:hAnsi="Times New Roman"/>
          <w:sz w:val="18"/>
          <w:szCs w:val="18"/>
          <w:u w:val="single" w:color="auto"/>
          <w:color w:val="auto"/>
        </w:rPr>
        <w:t>Section 3.01(c)(ii)</w:t>
      </w:r>
      <w:r>
        <w:rPr>
          <w:rFonts w:ascii="Times New Roman" w:cs="Times New Roman" w:eastAsia="Times New Roman" w:hAnsi="Times New Roman"/>
          <w:sz w:val="18"/>
          <w:szCs w:val="18"/>
          <w:color w:val="auto"/>
        </w:rPr>
        <w:t>, except to the extent that such amount is determined by a court of competent jurisdiction to have resulted from the gross negligence or willful misconduct of the Administrative Agent. To the extent that the Borrower pays an amount to the Administrative Agent pursuant to the preceding sentence (a “</w:t>
      </w:r>
      <w:r>
        <w:rPr>
          <w:rFonts w:ascii="Times New Roman" w:cs="Times New Roman" w:eastAsia="Times New Roman" w:hAnsi="Times New Roman"/>
          <w:sz w:val="18"/>
          <w:szCs w:val="18"/>
          <w:u w:val="single" w:color="auto"/>
          <w:color w:val="auto"/>
        </w:rPr>
        <w:t>Back-Up Indemnity Payment</w:t>
      </w:r>
      <w:r>
        <w:rPr>
          <w:rFonts w:ascii="Times New Roman" w:cs="Times New Roman" w:eastAsia="Times New Roman" w:hAnsi="Times New Roman"/>
          <w:sz w:val="18"/>
          <w:szCs w:val="18"/>
          <w:color w:val="auto"/>
        </w:rPr>
        <w:t xml:space="preserve">”), the Administrative Agent shall use commercially reasonable efforts to exercise its set-off rights described in the last sentence of </w:t>
      </w:r>
      <w:r>
        <w:rPr>
          <w:rFonts w:ascii="Times New Roman" w:cs="Times New Roman" w:eastAsia="Times New Roman" w:hAnsi="Times New Roman"/>
          <w:sz w:val="18"/>
          <w:szCs w:val="18"/>
          <w:u w:val="single" w:color="auto"/>
          <w:color w:val="auto"/>
        </w:rPr>
        <w:t>subsection (ii)</w:t>
      </w:r>
      <w:r>
        <w:rPr>
          <w:rFonts w:ascii="Times New Roman" w:cs="Times New Roman" w:eastAsia="Times New Roman" w:hAnsi="Times New Roman"/>
          <w:sz w:val="18"/>
          <w:szCs w:val="18"/>
          <w:color w:val="auto"/>
        </w:rPr>
        <w:t xml:space="preserve"> below to collect the applicable Back-Up Indemnity Payment amount from the applicable Lender and shall pay the amount so collected to the Borrower net of any reasonable expenses incurred by the Administrative Agent in its efforts to collect (through set-off or otherwise) from such Lender with respect to </w:t>
      </w:r>
      <w:r>
        <w:rPr>
          <w:rFonts w:ascii="Times New Roman" w:cs="Times New Roman" w:eastAsia="Times New Roman" w:hAnsi="Times New Roman"/>
          <w:sz w:val="18"/>
          <w:szCs w:val="18"/>
          <w:u w:val="single" w:color="auto"/>
          <w:color w:val="auto"/>
        </w:rPr>
        <w:t>subsection (ii)</w:t>
      </w:r>
      <w:r>
        <w:rPr>
          <w:rFonts w:ascii="Times New Roman" w:cs="Times New Roman" w:eastAsia="Times New Roman" w:hAnsi="Times New Roman"/>
          <w:sz w:val="18"/>
          <w:szCs w:val="18"/>
          <w:color w:val="auto"/>
        </w:rPr>
        <w:t xml:space="preserve"> below.</w:t>
      </w:r>
    </w:p>
    <w:p>
      <w:pPr>
        <w:spacing w:after="0" w:line="89" w:lineRule="exact"/>
        <w:rPr>
          <w:rFonts w:ascii="Times New Roman" w:cs="Times New Roman" w:eastAsia="Times New Roman" w:hAnsi="Times New Roman"/>
          <w:sz w:val="18"/>
          <w:szCs w:val="18"/>
          <w:color w:val="auto"/>
        </w:rPr>
      </w:pPr>
    </w:p>
    <w:p>
      <w:pPr>
        <w:ind w:left="420" w:firstLine="419"/>
        <w:spacing w:after="0" w:line="253" w:lineRule="auto"/>
        <w:tabs>
          <w:tab w:leader="none" w:pos="110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and does hereby, severally indemnify, and shall make payment in respect thereof within 10 days after demand therefor, (x) the Administrative Agent against any Indemnified Taxes attributable to such Lender (but only to the extent that the Borrower has not already indemnified the Administrative Agent for such Indemnified Taxes and without limiting the obligation of the Borrower to do so), (y) the Administrative Agent and the Borrower, as applicable, against any Taxes attributable to such Lender’s failure to comply with the provisions of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 xml:space="preserve"> relating to the maintenance of a Participant Register and (z) the Administrative Agent and the Borrower, as applicable, against any Excluded Taxes attributable to such Lender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Times New Roman" w:cs="Times New Roman" w:eastAsia="Times New Roman" w:hAnsi="Times New Roman"/>
          <w:sz w:val="18"/>
          <w:szCs w:val="18"/>
          <w:u w:val="single" w:color="auto"/>
          <w:color w:val="auto"/>
        </w:rPr>
        <w:t>subsection (ii)</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20" w:right="40" w:firstLine="436"/>
        <w:spacing w:after="0" w:line="258" w:lineRule="auto"/>
        <w:tabs>
          <w:tab w:leader="none" w:pos="6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Upon request by the Borrower or the Administrative Agent, as the case may be, after any payment of Taxes by the Borrower or by the Administrative Agent to a Governmental Authority as provided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83"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Tax Documentation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60" w:top="270" w:right="459" w:bottom="1440" w:gutter="0" w:footer="0" w:header="0"/>
        </w:sectPr>
      </w:pPr>
    </w:p>
    <w:bookmarkStart w:id="70" w:name="page71"/>
    <w:bookmarkEnd w:id="70"/>
    <w:p>
      <w:pPr>
        <w:ind w:right="20" w:firstLine="419"/>
        <w:spacing w:after="0" w:line="268" w:lineRule="auto"/>
        <w:tabs>
          <w:tab w:leader="none" w:pos="63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7"/>
          <w:szCs w:val="17"/>
          <w:u w:val="single" w:color="auto"/>
          <w:color w:val="auto"/>
        </w:rPr>
        <w:t>Section 3.01(e)(ii)(A)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shall not be required if in the Lender’s reasonable judgment such completion, execution or submission would subject such Lender to any material unreimbursed cost or expense or would materially prejudice the legal or commercial position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this sentence shall not apply to documentation described in </w:t>
      </w:r>
      <w:r>
        <w:rPr>
          <w:rFonts w:ascii="Times New Roman" w:cs="Times New Roman" w:eastAsia="Times New Roman" w:hAnsi="Times New Roman"/>
          <w:sz w:val="18"/>
          <w:szCs w:val="18"/>
          <w:u w:val="single" w:color="auto"/>
          <w:color w:val="auto"/>
        </w:rPr>
        <w:t>Section 3.01(e)(ii)(C)</w:t>
      </w:r>
      <w:r>
        <w:rPr>
          <w:rFonts w:ascii="Times New Roman" w:cs="Times New Roman" w:eastAsia="Times New Roman" w:hAnsi="Times New Roman"/>
          <w:sz w:val="18"/>
          <w:szCs w:val="18"/>
          <w:color w:val="auto"/>
        </w:rPr>
        <w:t xml:space="preserve"> if such documentation is in substance essentially equivalent to, and not materially more onerous to provide, than the documentation set forth in </w:t>
      </w:r>
      <w:r>
        <w:rPr>
          <w:rFonts w:ascii="Times New Roman" w:cs="Times New Roman" w:eastAsia="Times New Roman" w:hAnsi="Times New Roman"/>
          <w:sz w:val="18"/>
          <w:szCs w:val="18"/>
          <w:u w:val="single" w:color="auto"/>
          <w:color w:val="auto"/>
        </w:rPr>
        <w:t>Section 3.01(e)(ii)(A)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7"/>
          <w:szCs w:val="17"/>
          <w:color w:val="auto"/>
        </w:rPr>
      </w:pPr>
    </w:p>
    <w:p>
      <w:pPr>
        <w:ind w:left="680" w:hanging="26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U.S. Person,</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89" w:lineRule="auto"/>
        <w:tabs>
          <w:tab w:leader="none" w:pos="1236"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49" w:lineRule="exact"/>
        <w:rPr>
          <w:rFonts w:ascii="Times New Roman" w:cs="Times New Roman" w:eastAsia="Times New Roman" w:hAnsi="Times New Roman"/>
          <w:sz w:val="17"/>
          <w:szCs w:val="17"/>
          <w:color w:val="auto"/>
        </w:rPr>
      </w:pPr>
    </w:p>
    <w:p>
      <w:pPr>
        <w:ind w:left="540" w:right="320" w:firstLine="408"/>
        <w:spacing w:after="0" w:line="261" w:lineRule="auto"/>
        <w:tabs>
          <w:tab w:leader="none" w:pos="122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2" w:lineRule="exact"/>
        <w:rPr>
          <w:sz w:val="20"/>
          <w:szCs w:val="20"/>
          <w:color w:val="auto"/>
        </w:rPr>
      </w:pPr>
    </w:p>
    <w:p>
      <w:pPr>
        <w:ind w:left="980" w:right="20" w:firstLine="391"/>
        <w:spacing w:after="0" w:line="272" w:lineRule="auto"/>
        <w:tabs>
          <w:tab w:leader="none" w:pos="1588"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w:t>
      </w:r>
    </w:p>
    <w:p>
      <w:pPr>
        <w:spacing w:after="0" w:line="1" w:lineRule="exact"/>
        <w:rPr>
          <w:rFonts w:ascii="Times New Roman" w:cs="Times New Roman" w:eastAsia="Times New Roman" w:hAnsi="Times New Roman"/>
          <w:sz w:val="17"/>
          <w:szCs w:val="17"/>
          <w:color w:val="auto"/>
        </w:rPr>
      </w:pPr>
    </w:p>
    <w:p>
      <w:pPr>
        <w:ind w:left="980" w:right="180" w:firstLine="8"/>
        <w:spacing w:after="0" w:line="255" w:lineRule="auto"/>
        <w:tabs>
          <w:tab w:leader="none" w:pos="12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77" w:lineRule="exact"/>
        <w:rPr>
          <w:rFonts w:ascii="Times New Roman" w:cs="Times New Roman" w:eastAsia="Times New Roman" w:hAnsi="Times New Roman"/>
          <w:sz w:val="18"/>
          <w:szCs w:val="18"/>
          <w:color w:val="auto"/>
        </w:rPr>
      </w:pPr>
    </w:p>
    <w:p>
      <w:pPr>
        <w:ind w:left="980" w:right="520" w:firstLine="391"/>
        <w:spacing w:after="0" w:line="282" w:lineRule="auto"/>
        <w:tabs>
          <w:tab w:leader="none" w:pos="164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that its extension of credit will generate U.S. effectively connected income, executed copies of IRS Form W-8ECI;</w:t>
      </w:r>
    </w:p>
    <w:p>
      <w:pPr>
        <w:spacing w:after="0" w:line="54" w:lineRule="exact"/>
        <w:rPr>
          <w:sz w:val="20"/>
          <w:szCs w:val="20"/>
          <w:color w:val="auto"/>
        </w:rPr>
      </w:pPr>
    </w:p>
    <w:p>
      <w:pPr>
        <w:ind w:left="980" w:right="280" w:firstLine="391"/>
        <w:spacing w:after="0" w:line="282" w:lineRule="auto"/>
        <w:tabs>
          <w:tab w:leader="none" w:pos="170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 (x) a certificate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60"/>
          </w:cols>
          <w:pgMar w:left="880" w:top="270" w:right="459" w:bottom="1440" w:gutter="0" w:footer="0" w:header="0"/>
        </w:sectPr>
      </w:pPr>
    </w:p>
    <w:bookmarkStart w:id="71" w:name="page72"/>
    <w:bookmarkEnd w:id="71"/>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substantially in the form of </w:t>
      </w:r>
      <w:r>
        <w:rPr>
          <w:rFonts w:ascii="Times New Roman" w:cs="Times New Roman" w:eastAsia="Times New Roman" w:hAnsi="Times New Roman"/>
          <w:sz w:val="18"/>
          <w:szCs w:val="18"/>
          <w:u w:val="single" w:color="auto"/>
          <w:color w:val="auto"/>
        </w:rPr>
        <w:t>Exhibit E-1</w:t>
      </w:r>
      <w:r>
        <w:rPr>
          <w:rFonts w:ascii="Times New Roman" w:cs="Times New Roman" w:eastAsia="Times New Roman" w:hAnsi="Times New Roman"/>
          <w:sz w:val="18"/>
          <w:szCs w:val="18"/>
          <w:color w:val="auto"/>
        </w:rPr>
        <w:t xml:space="preserve"> to the effect that such Foreign Lender is not a “bank” within the meaning of Section 881(c)</w:t>
      </w:r>
    </w:p>
    <w:p>
      <w:pPr>
        <w:spacing w:after="0" w:line="27" w:lineRule="exact"/>
        <w:rPr>
          <w:sz w:val="20"/>
          <w:szCs w:val="20"/>
          <w:color w:val="auto"/>
        </w:rPr>
      </w:pPr>
    </w:p>
    <w:p>
      <w:pPr>
        <w:ind w:left="1380" w:right="580"/>
        <w:spacing w:after="0" w:line="255" w:lineRule="auto"/>
        <w:rPr>
          <w:sz w:val="20"/>
          <w:szCs w:val="20"/>
          <w:color w:val="auto"/>
        </w:rPr>
      </w:pPr>
      <w:r>
        <w:rPr>
          <w:rFonts w:ascii="Times New Roman" w:cs="Times New Roman" w:eastAsia="Times New Roman" w:hAnsi="Times New Roman"/>
          <w:sz w:val="18"/>
          <w:szCs w:val="18"/>
          <w:color w:val="auto"/>
        </w:rPr>
        <w:t>(3)(A)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copies of IRS Form W-8BEN-E (or W-8BEN, as applicable); or</w:t>
      </w:r>
    </w:p>
    <w:p>
      <w:pPr>
        <w:spacing w:after="0" w:line="78" w:lineRule="exact"/>
        <w:rPr>
          <w:sz w:val="20"/>
          <w:szCs w:val="20"/>
          <w:color w:val="auto"/>
        </w:rPr>
      </w:pPr>
    </w:p>
    <w:p>
      <w:pPr>
        <w:ind w:left="1380" w:right="20" w:firstLine="383"/>
        <w:spacing w:after="0" w:line="256" w:lineRule="auto"/>
        <w:rPr>
          <w:sz w:val="20"/>
          <w:szCs w:val="20"/>
          <w:color w:val="auto"/>
        </w:rPr>
      </w:pPr>
      <w:r>
        <w:rPr>
          <w:rFonts w:ascii="Times New Roman" w:cs="Times New Roman" w:eastAsia="Times New Roman" w:hAnsi="Times New Roman"/>
          <w:sz w:val="18"/>
          <w:szCs w:val="18"/>
          <w:color w:val="auto"/>
        </w:rPr>
        <w:t xml:space="preserve">(IV) to the extent a Foreign Lender is not the beneficial owner, executed copies of IRS Form W-8IMY, accompanied by IRS Form W-8ECI, IRS Form W-8BEN-E (or W-8BEN, as applicable), a U.S. Tax Compliance Certificate substantially in the form of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E-3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E-4</w:t>
      </w:r>
      <w:r>
        <w:rPr>
          <w:rFonts w:ascii="Times New Roman" w:cs="Times New Roman" w:eastAsia="Times New Roman" w:hAnsi="Times New Roman"/>
          <w:sz w:val="18"/>
          <w:szCs w:val="18"/>
          <w:color w:val="auto"/>
        </w:rPr>
        <w:t xml:space="preserve"> on behalf of each such direct and indirect partner;</w:t>
      </w:r>
    </w:p>
    <w:p>
      <w:pPr>
        <w:spacing w:after="0" w:line="79" w:lineRule="exact"/>
        <w:rPr>
          <w:sz w:val="20"/>
          <w:szCs w:val="20"/>
          <w:color w:val="auto"/>
        </w:rPr>
      </w:pPr>
    </w:p>
    <w:p>
      <w:pPr>
        <w:ind w:left="940" w:right="140" w:firstLine="408"/>
        <w:spacing w:after="0" w:line="256" w:lineRule="auto"/>
        <w:tabs>
          <w:tab w:leader="none" w:pos="162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79" w:lineRule="exact"/>
        <w:rPr>
          <w:rFonts w:ascii="Times New Roman" w:cs="Times New Roman" w:eastAsia="Times New Roman" w:hAnsi="Times New Roman"/>
          <w:sz w:val="18"/>
          <w:szCs w:val="18"/>
          <w:color w:val="auto"/>
        </w:rPr>
      </w:pPr>
    </w:p>
    <w:p>
      <w:pPr>
        <w:ind w:left="1380" w:firstLine="391"/>
        <w:spacing w:after="0" w:line="253" w:lineRule="auto"/>
        <w:tabs>
          <w:tab w:leader="none" w:pos="2058"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U.S. federal withholding Tax imposed pursuant to FATCA if such Lender were to fail to comply with the applicable reporting, registration or other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“FATCA” shall include any amendments made to FATCA after the Effective Date.</w:t>
      </w:r>
    </w:p>
    <w:p>
      <w:pPr>
        <w:spacing w:after="0" w:line="86" w:lineRule="exact"/>
        <w:rPr>
          <w:rFonts w:ascii="Times New Roman" w:cs="Times New Roman" w:eastAsia="Times New Roman" w:hAnsi="Times New Roman"/>
          <w:sz w:val="18"/>
          <w:szCs w:val="18"/>
          <w:color w:val="auto"/>
        </w:rPr>
      </w:pPr>
    </w:p>
    <w:p>
      <w:pPr>
        <w:jc w:val="both"/>
        <w:ind w:left="400" w:right="80" w:firstLine="419"/>
        <w:spacing w:after="0" w:line="266" w:lineRule="auto"/>
        <w:tabs>
          <w:tab w:leader="none" w:pos="113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67" w:lineRule="exact"/>
        <w:rPr>
          <w:rFonts w:ascii="Times New Roman" w:cs="Times New Roman" w:eastAsia="Times New Roman" w:hAnsi="Times New Roman"/>
          <w:sz w:val="18"/>
          <w:szCs w:val="18"/>
          <w:color w:val="auto"/>
        </w:rPr>
      </w:pPr>
    </w:p>
    <w:p>
      <w:pPr>
        <w:ind w:left="-40" w:right="60" w:firstLine="436"/>
        <w:spacing w:after="0" w:line="266" w:lineRule="auto"/>
        <w:tabs>
          <w:tab w:leader="none" w:pos="62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40"/>
          </w:cols>
          <w:pgMar w:left="480" w:top="270" w:right="479" w:bottom="1440" w:gutter="0" w:footer="0" w:header="0"/>
        </w:sectPr>
      </w:pPr>
    </w:p>
    <w:bookmarkStart w:id="72" w:name="page73"/>
    <w:bookmarkEnd w:id="72"/>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received a refund of any Taxes as to which it has been indemnified by the Borrower or with respect to which the Borrower has paid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shall pay to the Borrower an amount equal to such refund (but only to the extent of indemnity payments made, or additional amounts paid, by the Borrower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Taxes giving rise to such refund), net of all reasonable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Borrower, upon the request of the Recipient, agrees to repay the amount paid over to the Borrower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to the Recipient in the event the Recipient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subsection (f)</w:t>
      </w:r>
      <w:r>
        <w:rPr>
          <w:rFonts w:ascii="Times New Roman" w:cs="Times New Roman" w:eastAsia="Times New Roman" w:hAnsi="Times New Roman"/>
          <w:sz w:val="18"/>
          <w:szCs w:val="18"/>
          <w:color w:val="auto"/>
        </w:rPr>
        <w:t xml:space="preserve">, in no event will the applicable Recipient be required to pay any amount to the Borrower pursuant to this </w:t>
      </w:r>
      <w:r>
        <w:rPr>
          <w:rFonts w:ascii="Times New Roman" w:cs="Times New Roman" w:eastAsia="Times New Roman" w:hAnsi="Times New Roman"/>
          <w:sz w:val="18"/>
          <w:szCs w:val="18"/>
          <w:u w:val="single" w:color="auto"/>
          <w:color w:val="auto"/>
        </w:rPr>
        <w:t>subsection (f)</w:t>
      </w:r>
      <w:r>
        <w:rPr>
          <w:rFonts w:ascii="Times New Roman" w:cs="Times New Roman" w:eastAsia="Times New Roman" w:hAnsi="Times New Roman"/>
          <w:sz w:val="18"/>
          <w:szCs w:val="18"/>
          <w:color w:val="auto"/>
        </w:rPr>
        <w:t xml:space="preserve">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8"/>
          <w:szCs w:val="18"/>
          <w:u w:val="single" w:color="auto"/>
          <w:color w:val="auto"/>
        </w:rPr>
        <w:t>subsection (f)</w:t>
      </w:r>
      <w:r>
        <w:rPr>
          <w:rFonts w:ascii="Times New Roman" w:cs="Times New Roman" w:eastAsia="Times New Roman" w:hAnsi="Times New Roman"/>
          <w:sz w:val="18"/>
          <w:szCs w:val="18"/>
          <w:color w:val="auto"/>
        </w:rPr>
        <w:t xml:space="preserve"> shall not be construed to require any Recipient to make available its tax returns (or any other information relating to its taxes that it deems confidential) to the Borrower or any other Person.</w:t>
      </w:r>
    </w:p>
    <w:p>
      <w:pPr>
        <w:spacing w:after="0" w:line="190" w:lineRule="exact"/>
        <w:rPr>
          <w:sz w:val="20"/>
          <w:szCs w:val="20"/>
          <w:color w:val="auto"/>
        </w:rPr>
      </w:pPr>
    </w:p>
    <w:p>
      <w:pPr>
        <w:ind w:right="80" w:firstLine="436"/>
        <w:spacing w:after="0" w:line="266"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Aggregate Commitments and the repayment, satisfaction or discharge of all other Obligations.</w:t>
      </w:r>
    </w:p>
    <w:p>
      <w:pPr>
        <w:spacing w:after="0" w:line="17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Section 3.02 Illegality</w:t>
      </w:r>
      <w:r>
        <w:rPr>
          <w:rFonts w:ascii="Times New Roman" w:cs="Times New Roman" w:eastAsia="Times New Roman" w:hAnsi="Times New Roman"/>
          <w:sz w:val="18"/>
          <w:szCs w:val="18"/>
          <w:color w:val="auto"/>
        </w:rPr>
        <w:t>. If any Lender determines in good faith that any Law has made it unlawful, or that any Governmental Authority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asserted that it is unlawful, for any Lender or its applicable Lending Office to make, maintain or fund Loans whose interest is determined by reference to SOFR or Term SOFR, or to determine or charge interest rates based upon SOFR or Term SOFR, then, on notice thereof by such Lender to the Borrower through the Administrative Agent, (a) any obligation of such Lender to make or continue Term SOFR Loans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in good faith notifies the Administrative Agent and the Borrower that the circumstances giving rise to such determination no longer exist. Upon receipt of such notice, (i) the Borrower shall, upon demand from such Lender (with a copy to the Administrative Agent), prepay in full such Term SOFR Loans then outstanding (which prepayment shall be made on the last day of the relevant Interest Periods of such Loans, if such Lender may lawfully continue to maintain such Loans to such day, or immediately, if such Lender may not lawfully continue to maintain such Loans to such day) or, if applicable, convert such Term SOFR Loans of such Lender to Base Rate Loans (the interest rate on which Base Rate Loans of such Lender shall, if necessary to avoid such illegality, be determined by the Administrative Agent without reference to the Term SOFR component of the Base Rate) on the last day of the Interest Period therefor, if such Lender may lawfully continue to maintain such Term SOFR Loans to such day, or immediately, if such Lender may not lawfully continue to maintain such Term SOFR Loans, and (ii)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73" w:name="page74"/>
    <w:bookmarkEnd w:id="7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3.03 Inability to Determine Rates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36"/>
        <w:spacing w:after="0" w:line="252" w:lineRule="auto"/>
        <w:tabs>
          <w:tab w:leader="none" w:pos="6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any request for a Term SOFR Loan, or a request for a conversion of Base Rate Loans to Term SOFR Loans, or a request for a continuation of Term SOFR Loans, as applicable, (i) the Administrative Agent determines (which determination shall be conclusive absent manifest error) that (A) no Term SOFR Successor Rate has been determined in accordance with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the circumstances under </w:t>
      </w:r>
      <w:r>
        <w:rPr>
          <w:rFonts w:ascii="Times New Roman" w:cs="Times New Roman" w:eastAsia="Times New Roman" w:hAnsi="Times New Roman"/>
          <w:sz w:val="18"/>
          <w:szCs w:val="18"/>
          <w:u w:val="single" w:color="auto"/>
          <w:color w:val="auto"/>
        </w:rPr>
        <w:t>Section 3.03(b)(i)</w:t>
      </w:r>
      <w:r>
        <w:rPr>
          <w:rFonts w:ascii="Times New Roman" w:cs="Times New Roman" w:eastAsia="Times New Roman" w:hAnsi="Times New Roman"/>
          <w:sz w:val="18"/>
          <w:szCs w:val="18"/>
          <w:color w:val="auto"/>
        </w:rPr>
        <w:t xml:space="preserve"> or the Term SOFR Scheduled Unavailability Date has occurred or (B) adequate and reasonable means do not otherwise exist for determining Term SOFR for any determination date(s) or requested Interest Period, as applicable, with respect to a proposed Term SOFR Loan, or in connection with an existing or proposed Base Rate Loan, or (ii) the Administrative Agent or the Required Lenders determine that for any reason Term SOFR for any determination date(s) or requested Interest Period, as applicable, does not adequately and fairly reflect the cost to such Lenders of funding such Loan, the Administrative Agent will promptly so notify the Borrower and each Lender. Thereafter, (x) the obligation of the Lenders to make or maintain Term SOFR Loans shall be suspended (to the extent of the affected Term SOFR Loans, Interest Periods or determination date(s), as applicable), and (y) in the event of a determination described above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above, until the Administrative Agent upon instruction of the Required Lenders) revokes such notice. Upon receipt of such notice, (1) the Borrower may revoke any pending request for a Borrowing of, conversion to or continuation of the applicable Loans (to the extent of the affected Term SOFR Loans, Interest Periods or determination date(s), as applicable) or, failing that, with respect to any request for a Borrowing of, conversion to, or continuation of Term SOFR Loans, will be deemed to have converted such request into a request for a Borrowing of, or conversion to, Base Rate Loans in the amount specified therein and (2) any outstanding affected Term SOFR Loans shall be converted to Base Rate Loans at the end of their respective applicable Interest Periods.</w:t>
      </w:r>
    </w:p>
    <w:p>
      <w:pPr>
        <w:spacing w:after="0" w:line="85" w:lineRule="exact"/>
        <w:rPr>
          <w:rFonts w:ascii="Times New Roman" w:cs="Times New Roman" w:eastAsia="Times New Roman" w:hAnsi="Times New Roman"/>
          <w:sz w:val="18"/>
          <w:szCs w:val="18"/>
          <w:color w:val="auto"/>
        </w:rPr>
      </w:pPr>
    </w:p>
    <w:p>
      <w:pPr>
        <w:ind w:right="80" w:firstLine="436"/>
        <w:spacing w:after="0" w:line="252" w:lineRule="auto"/>
        <w:tabs>
          <w:tab w:leader="none" w:pos="6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or any other Loan Document,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 (i) adequate and reasonable means do not exist for ascertaining one month, three month, and six month interest periods of Term SOFR, including because the Term SOFR Screen Rate is not available or published on a current basis and such circumstances are unlikely to be temporary; or (ii)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no longer be made available, or permitted to be used for determining the interest rate of syndicated loans, or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at the time of such statement, there is no successor administrator that is reasonably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18"/>
          <w:szCs w:val="18"/>
          <w:u w:val="single" w:color="auto"/>
          <w:color w:val="auto"/>
        </w:rPr>
        <w:t>Term SOFR Scheduled Unavailability Date</w:t>
      </w:r>
      <w:r>
        <w:rPr>
          <w:rFonts w:ascii="Times New Roman" w:cs="Times New Roman" w:eastAsia="Times New Roman" w:hAnsi="Times New Roman"/>
          <w:sz w:val="18"/>
          <w:szCs w:val="18"/>
          <w:color w:val="auto"/>
        </w:rPr>
        <w:t>”); then, on a date and time determined by the Administrative Agent (any such date, the “</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which date shall be at the end of an Interest Period or on the relevant interest payment date, as applicable, for interest calculated and, solely with respect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no later than the Term SOFR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Term SOFR Successor Rate</w:t>
      </w:r>
      <w:r>
        <w:rPr>
          <w:rFonts w:ascii="Times New Roman" w:cs="Times New Roman" w:eastAsia="Times New Roman" w:hAnsi="Times New Roman"/>
          <w:sz w:val="18"/>
          <w:szCs w:val="18"/>
          <w:color w:val="auto"/>
        </w:rPr>
        <w:t>”). If the Term SOFR Successor Rate is Daily Simple SOFR, all interest payments will be payable on a monthly basis.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6" w:right="459" w:bottom="1440" w:gutter="0" w:footer="0" w:header="0"/>
        </w:sectPr>
      </w:pPr>
    </w:p>
    <w:bookmarkStart w:id="74" w:name="page75"/>
    <w:bookmarkEnd w:id="74"/>
    <w:p>
      <w:pPr>
        <w:ind w:firstLine="440"/>
        <w:spacing w:after="0" w:line="24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immediately preceding paragraph have occurred with respect to the Term SOFR Successor Rate then in effect, then in each case, the Administrative Agent and the Borrower may amend this Agreement solely for the purpose of replacing Term SOFR or any then-current Term SOFR Successor Rate in accordance with this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then-existing convention for similar credit facilities syndicated and agented in the United States for such alternative benchmark and, in each case, including any mathematical or other adjustments to such benchmark giving due consideration to any evolving or then-existing convention for similar credit facilities syndicated and agented in the United States for such benchmark. For the avoidance of doubt, any such proposed rate and adjustments shall constitute a “Term SOFR Successor Rate”. Any such amendment shall become effective at 5:00 p.m.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20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Administrative Agent will promptly (in one or more notices) notify the Borrower and each Lender of the implementation of any Term SOFR Successor Rate. Any Term SOFR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to the extent such market practice is not administratively feasible for the Administrative Agent, such Term SOFR Successor Rate shall be applied in a manner as otherwise reasonably determined by the Administrative Agent. Notwithstanding anything else herein, if at any time any Term SOFR Successor Rate as so determined would otherwise be less than zero, such Term SOFR Successor Rate will be deemed to be zero for the purposes of this Agreement and the other Loan Documents.</w:t>
      </w:r>
    </w:p>
    <w:p>
      <w:pPr>
        <w:spacing w:after="0" w:line="18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Term SOFR Successor Rate, the Administrative Agent will have the right to make Term SOFR Conforming Changes from time to time and, notwithstanding anything to the contrary herein or in any other Loan Document, any amendments implementing such Term SOFR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 respect to any such amendment effected, the Administrative Agent shall post each such amendment implementing such Term SOFR Conforming Changes to the Borrower and the Lenders reasonably promptly after such amendment becomes effective.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3.04 Increased Costs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80" w:hanging="244"/>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07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53" w:lineRule="exact"/>
        <w:rPr>
          <w:rFonts w:ascii="Times New Roman" w:cs="Times New Roman" w:eastAsia="Times New Roman" w:hAnsi="Times New Roman"/>
          <w:sz w:val="18"/>
          <w:szCs w:val="18"/>
          <w:color w:val="auto"/>
        </w:rPr>
      </w:pPr>
    </w:p>
    <w:p>
      <w:pPr>
        <w:ind w:left="440" w:right="1040" w:firstLine="419"/>
        <w:spacing w:after="0" w:line="282" w:lineRule="auto"/>
        <w:tabs>
          <w:tab w:leader="none" w:pos="112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and (B) Excluded Taxes) on its loans, loan principal, commitments, or other obligations, or its deposits, reserves, other liabilities or capital attributable thereto;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75" w:name="page76"/>
    <w:bookmarkEnd w:id="75"/>
    <w:p>
      <w:pPr>
        <w:ind w:left="444" w:right="220" w:firstLine="419"/>
        <w:spacing w:after="0" w:line="282" w:lineRule="auto"/>
        <w:tabs>
          <w:tab w:leader="none" w:pos="118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impose on any Lender or the applicable funding market any other condition, cost or expense affecting this Agreement or Term SOFR Loans made by such Lender;</w:t>
      </w:r>
    </w:p>
    <w:p>
      <w:pPr>
        <w:spacing w:after="0" w:line="162"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converting to, continuing or maintaining any Loan (or of maintaining its obligation to make any such Loan), or to reduce the amount of any sum received or receivable by such Lender hereunder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72" w:lineRule="exact"/>
        <w:rPr>
          <w:sz w:val="20"/>
          <w:szCs w:val="20"/>
          <w:color w:val="auto"/>
        </w:rPr>
      </w:pPr>
    </w:p>
    <w:p>
      <w:pPr>
        <w:ind w:left="4" w:right="60" w:firstLine="436"/>
        <w:spacing w:after="0" w:line="255" w:lineRule="auto"/>
        <w:tabs>
          <w:tab w:leader="none" w:pos="69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reasonably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w:t>
      </w:r>
    </w:p>
    <w:p>
      <w:pPr>
        <w:spacing w:after="0" w:line="80" w:lineRule="exact"/>
        <w:rPr>
          <w:rFonts w:ascii="Times New Roman" w:cs="Times New Roman" w:eastAsia="Times New Roman" w:hAnsi="Times New Roman"/>
          <w:sz w:val="18"/>
          <w:szCs w:val="18"/>
          <w:color w:val="auto"/>
        </w:rPr>
      </w:pPr>
    </w:p>
    <w:p>
      <w:pPr>
        <w:ind w:left="4" w:right="160" w:firstLine="436"/>
        <w:spacing w:after="0" w:line="257" w:lineRule="auto"/>
        <w:tabs>
          <w:tab w:leader="none" w:pos="68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xml:space="preserve">. A certificate of a Lender setting forth in reasonable detail calculation of the amount or amounts necessary to compensate such Lender or its holding company, as the case may be, as specified in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and delivered to the Borrower shall be conclusive absent manifest error. The Borrower shall pay such Lender the amount shown as due on any such certificate within ten</w:t>
      </w:r>
    </w:p>
    <w:p>
      <w:pPr>
        <w:spacing w:after="0" w:line="1"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thereof.</w:t>
      </w:r>
    </w:p>
    <w:p>
      <w:pPr>
        <w:spacing w:after="0" w:line="206"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Failure or delay on the part of any Lender to demand compensation pursuant to the foregoing provisions of this</w:t>
      </w:r>
    </w:p>
    <w:p>
      <w:pPr>
        <w:spacing w:after="0" w:line="27" w:lineRule="exact"/>
        <w:rPr>
          <w:sz w:val="20"/>
          <w:szCs w:val="20"/>
          <w:color w:val="auto"/>
        </w:rPr>
      </w:pPr>
    </w:p>
    <w:p>
      <w:pPr>
        <w:ind w:left="4" w:right="320"/>
        <w:spacing w:after="0" w:line="265" w:lineRule="auto"/>
        <w:rPr>
          <w:sz w:val="20"/>
          <w:szCs w:val="20"/>
          <w:color w:val="auto"/>
        </w:rPr>
      </w:pP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xml:space="preserve"> shall not constitute a waiver of such Lender’s right to demand such compensation;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Borrower shall not be required to compensate a Lender pursuant to the foregoing provisions of this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xml:space="preserve"> for any increased costs incurred or reductions suffered more than six</w:t>
      </w:r>
    </w:p>
    <w:p>
      <w:pPr>
        <w:ind w:left="4" w:hanging="4"/>
        <w:spacing w:after="0" w:line="255"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82" w:lineRule="exact"/>
        <w:rPr>
          <w:sz w:val="20"/>
          <w:szCs w:val="20"/>
          <w:color w:val="auto"/>
        </w:rPr>
      </w:pPr>
    </w:p>
    <w:p>
      <w:pPr>
        <w:jc w:val="both"/>
        <w:ind w:left="4"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3.05 Compensation for Losses</w:t>
      </w:r>
      <w:r>
        <w:rPr>
          <w:rFonts w:ascii="Times New Roman" w:cs="Times New Roman" w:eastAsia="Times New Roman" w:hAnsi="Times New Roman"/>
          <w:sz w:val="18"/>
          <w:szCs w:val="18"/>
          <w:color w:val="auto"/>
        </w:rPr>
        <w:t>. Upon demand of any Lender (with a copy to the Administrative Agent) from time to time,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promptly compensate such Lender for and hold such Lender harmless from any loss (other than loss of Applicable Rate), cost or expense incurred by it as a result of:</w:t>
      </w:r>
    </w:p>
    <w:p>
      <w:pPr>
        <w:spacing w:after="0" w:line="67" w:lineRule="exact"/>
        <w:rPr>
          <w:sz w:val="20"/>
          <w:szCs w:val="20"/>
          <w:color w:val="auto"/>
        </w:rPr>
      </w:pPr>
    </w:p>
    <w:p>
      <w:pPr>
        <w:ind w:left="444" w:right="260" w:firstLine="419"/>
        <w:spacing w:after="0" w:line="266" w:lineRule="auto"/>
        <w:tabs>
          <w:tab w:leader="none" w:pos="111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conversion, payment or prepayment of any Loan other than a Base Rate Loan on a day other than the last day of the Interest Period, relevant Interest Payment Date or payment period, as applicable, for such Loan (whether voluntary, mandatory, automatic, by reason of acceleration, or otherwise);</w:t>
      </w:r>
    </w:p>
    <w:p>
      <w:pPr>
        <w:spacing w:after="0" w:line="67"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12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4"/>
          </w:cols>
          <w:pgMar w:left="436" w:top="270" w:right="479" w:bottom="1440" w:gutter="0" w:footer="0" w:header="0"/>
        </w:sectPr>
      </w:pPr>
    </w:p>
    <w:bookmarkStart w:id="76" w:name="page77"/>
    <w:bookmarkEnd w:id="76"/>
    <w:p>
      <w:pPr>
        <w:ind w:left="440" w:right="500" w:firstLine="419"/>
        <w:spacing w:after="0" w:line="282" w:lineRule="auto"/>
        <w:tabs>
          <w:tab w:leader="none" w:pos="110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assignment of a Term SOFR Loan on a day other than the last day of the Interest Period therefor as a result of a request by the Borrower pursuant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excluding any loss of anticipated profits and including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3.06 Mitigation Obligations; Replacement of Lenders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54" w:lineRule="auto"/>
        <w:tabs>
          <w:tab w:leader="none" w:pos="6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requires the Borrower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at the request of the Borrower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91"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in each case,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the Borrower may replace such Lender in accordance with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3.07 Survival</w:t>
      </w:r>
      <w:r>
        <w:rPr>
          <w:rFonts w:ascii="Times New Roman" w:cs="Times New Roman" w:eastAsia="Times New Roman" w:hAnsi="Times New Roman"/>
          <w:sz w:val="18"/>
          <w:szCs w:val="18"/>
          <w:color w:val="auto"/>
        </w:rPr>
        <w:t>. All of the Borrower’s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termination of the Aggregate Commitments,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repayment of all other Obligations hereunder, and resignation of the Administrative Agent.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PRECEDENT TO LENDING</w:t>
      </w:r>
    </w:p>
    <w:p>
      <w:pPr>
        <w:spacing w:after="0" w:line="203"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4.01 Conditions Precedent to Effectiveness</w:t>
      </w:r>
      <w:r>
        <w:rPr>
          <w:rFonts w:ascii="Times New Roman" w:cs="Times New Roman" w:eastAsia="Times New Roman" w:hAnsi="Times New Roman"/>
          <w:sz w:val="18"/>
          <w:szCs w:val="18"/>
          <w:color w:val="auto"/>
        </w:rPr>
        <w:t>. This Agreement shall become effective upon the satisfaction of the following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precedent:</w:t>
      </w:r>
    </w:p>
    <w:p>
      <w:pPr>
        <w:spacing w:after="0" w:line="51" w:lineRule="exact"/>
        <w:rPr>
          <w:sz w:val="20"/>
          <w:szCs w:val="20"/>
          <w:color w:val="auto"/>
        </w:rPr>
      </w:pPr>
    </w:p>
    <w:p>
      <w:pPr>
        <w:ind w:left="440" w:right="20" w:firstLine="419"/>
        <w:spacing w:after="0" w:line="261" w:lineRule="auto"/>
        <w:tabs>
          <w:tab w:leader="none" w:pos="110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receipt of the following, each of which shall be originals or telecopies (followed promptly by originals) unless otherwise specified, each properly executed by a Responsible Officer of the Borrower (and, in the case of this Agreement, each Lender), if applicable, each dated the Effective Date (or, in the case of certificates of governmental officials, a recent date before the Effective Date) and each in form and substance reasonably satisfactory to the Administrative Agent and each of the Lenders:</w:t>
      </w:r>
    </w:p>
    <w:p>
      <w:pPr>
        <w:spacing w:after="0" w:line="7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counterparts of this Agreement;</w:t>
      </w:r>
    </w:p>
    <w:p>
      <w:pPr>
        <w:spacing w:after="0" w:line="117" w:lineRule="exact"/>
        <w:rPr>
          <w:rFonts w:ascii="Times New Roman" w:cs="Times New Roman" w:eastAsia="Times New Roman" w:hAnsi="Times New Roman"/>
          <w:sz w:val="18"/>
          <w:szCs w:val="18"/>
          <w:color w:val="auto"/>
        </w:rPr>
      </w:pPr>
    </w:p>
    <w:p>
      <w:pPr>
        <w:ind w:left="980" w:right="280" w:firstLine="408"/>
        <w:spacing w:after="0" w:line="282" w:lineRule="auto"/>
        <w:tabs>
          <w:tab w:leader="none" w:pos="164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executed by the Borrower in favor of each Lender that has requested a Note at least five (5) Business Days prior to the Effective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77" w:name="page78"/>
    <w:bookmarkEnd w:id="77"/>
    <w:p>
      <w:pPr>
        <w:ind w:left="980" w:firstLine="408"/>
        <w:spacing w:after="0" w:line="261" w:lineRule="auto"/>
        <w:tabs>
          <w:tab w:leader="none" w:pos="169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certificates of resolutions or other action, incumbency certificates and/or other certificates of Responsible Officers of the Borrower as the Administrative Agent may reasonably require evidencing the identity, authority and capacity of each Responsible Officer thereof authorized to act as a Responsible Officer in connection with this Agreement and the other Loan Documents to which the Borrower is a party;</w:t>
      </w:r>
    </w:p>
    <w:p>
      <w:pPr>
        <w:spacing w:after="0" w:line="71" w:lineRule="exact"/>
        <w:rPr>
          <w:rFonts w:ascii="Times New Roman" w:cs="Times New Roman" w:eastAsia="Times New Roman" w:hAnsi="Times New Roman"/>
          <w:sz w:val="18"/>
          <w:szCs w:val="18"/>
          <w:color w:val="auto"/>
        </w:rPr>
      </w:pPr>
    </w:p>
    <w:p>
      <w:pPr>
        <w:ind w:left="980" w:right="220" w:firstLine="408"/>
        <w:spacing w:after="0" w:line="266" w:lineRule="auto"/>
        <w:tabs>
          <w:tab w:leader="none" w:pos="168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documents and certifications as the Administrative Agent may reasonably require to evidence that the Borrower is duly organized or formed, and that the Borrower is validly existing, in good standing and qualified to engage in business in the jurisdiction of its organization; and</w:t>
      </w:r>
    </w:p>
    <w:p>
      <w:pPr>
        <w:spacing w:after="0" w:line="67"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3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opinion of Cravath, Swaine &amp; Moore LLP, counsel to the Borrower, addressed to the Administrative Agent and each Lender, as to such customary matters concerning the Borrower and the Loan Documents as the Administrative Agent may reasonably request; and</w:t>
      </w:r>
    </w:p>
    <w:p>
      <w:pPr>
        <w:spacing w:after="0" w:line="67" w:lineRule="exact"/>
        <w:rPr>
          <w:rFonts w:ascii="Times New Roman" w:cs="Times New Roman" w:eastAsia="Times New Roman" w:hAnsi="Times New Roman"/>
          <w:sz w:val="18"/>
          <w:szCs w:val="18"/>
          <w:color w:val="auto"/>
        </w:rPr>
      </w:pPr>
    </w:p>
    <w:p>
      <w:pPr>
        <w:ind w:left="980" w:right="40" w:firstLine="408"/>
        <w:spacing w:after="0" w:line="254" w:lineRule="auto"/>
        <w:tabs>
          <w:tab w:leader="none" w:pos="168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signed by a Responsible Officer of the Borrower certifying: (A) that (i) no Default or Event of Default exists as of the Effective Date and (ii)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or which are contained in any document furnished at or prior to such time in connection herewith or therewith, are true and correct in all material respects on and as of the Effective Date except to the extent that such representations and warranties specifically refer to an earlier date, in which case they are true and correct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any representation and warranty that is qualified as to “materiality”, “Material Adverse Effect” or other similar language shall be true and correct (after giving effect to any qualification therein) in all respects); (B) that there has been no event or circumstance since the date of the Audited Financial Statements through the Effective Date that has had or could be reasonably expected to have, either individually or in the aggregate, a Material Adverse Effect; and (C) as to the current Debt Ratings.</w:t>
      </w:r>
    </w:p>
    <w:p>
      <w:pPr>
        <w:spacing w:after="0" w:line="80" w:lineRule="exact"/>
        <w:rPr>
          <w:rFonts w:ascii="Times New Roman" w:cs="Times New Roman" w:eastAsia="Times New Roman" w:hAnsi="Times New Roman"/>
          <w:sz w:val="18"/>
          <w:szCs w:val="18"/>
          <w:color w:val="auto"/>
        </w:rPr>
      </w:pPr>
    </w:p>
    <w:p>
      <w:pPr>
        <w:ind w:left="440" w:right="40" w:firstLine="419"/>
        <w:spacing w:after="0" w:line="277" w:lineRule="auto"/>
        <w:tabs>
          <w:tab w:leader="none" w:pos="1118"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and each Lender shall have received from the Borrower such documentation and other information reasonably requested in writing at least ten (10) Business Days prior to the Effective Date by the Administrative Agent or such Lender in order to comply with applicable law and “know your customer” and anti-money laundering rules and regulations, including the PATRIOT Act, in each case at least five (5) days prior to the Effective Date. If the Borrower qualifies as a “legal entity customer” under the Beneficial Ownership Regulation, each Lender shall have received, to the extent requested by such Lender, a Beneficial Ownership Certification in relation to the Borrower.</w:t>
      </w:r>
    </w:p>
    <w:p>
      <w:pPr>
        <w:spacing w:after="0" w:line="59" w:lineRule="exact"/>
        <w:rPr>
          <w:rFonts w:ascii="Times New Roman" w:cs="Times New Roman" w:eastAsia="Times New Roman" w:hAnsi="Times New Roman"/>
          <w:sz w:val="17"/>
          <w:szCs w:val="17"/>
          <w:color w:val="auto"/>
        </w:rPr>
      </w:pPr>
    </w:p>
    <w:p>
      <w:pPr>
        <w:ind w:left="1100" w:hanging="241"/>
        <w:spacing w:after="0"/>
        <w:tabs>
          <w:tab w:leader="none" w:pos="11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required to be paid on or before the Effective Date shall have been paid.</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312" w:lineRule="auto"/>
        <w:tabs>
          <w:tab w:leader="none" w:pos="1118"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waived by the Administrative Agent, the Borrower shall have paid all reasonable fees, charges and disbursements of counsel to the Administrative Agent (directly to such counsel if requested by the Administrative Agent) to the extent invoiced prior to the Effective Date.</w:t>
      </w:r>
    </w:p>
    <w:p>
      <w:pPr>
        <w:spacing w:after="0" w:line="14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70" w:right="439" w:bottom="1440" w:gutter="0" w:footer="0" w:header="0"/>
        </w:sectPr>
      </w:pPr>
    </w:p>
    <w:bookmarkStart w:id="78" w:name="page79"/>
    <w:bookmarkEnd w:id="78"/>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4.02 Conditions to the Borrowings</w:t>
      </w:r>
      <w:r>
        <w:rPr>
          <w:rFonts w:ascii="Times New Roman" w:cs="Times New Roman" w:eastAsia="Times New Roman" w:hAnsi="Times New Roman"/>
          <w:sz w:val="18"/>
          <w:szCs w:val="18"/>
          <w:color w:val="auto"/>
        </w:rPr>
        <w:t>. The obligation of each Lender to make Loans on the Closing Date is subject to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precedent:</w:t>
      </w:r>
    </w:p>
    <w:p>
      <w:pPr>
        <w:spacing w:after="0" w:line="51" w:lineRule="exact"/>
        <w:rPr>
          <w:sz w:val="20"/>
          <w:szCs w:val="20"/>
          <w:color w:val="auto"/>
        </w:rPr>
      </w:pPr>
    </w:p>
    <w:p>
      <w:pPr>
        <w:ind w:left="1100" w:hanging="241"/>
        <w:spacing w:after="0"/>
        <w:tabs>
          <w:tab w:leader="none" w:pos="11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shall have occurred;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Termination Date shall not have occurred prior to the Closing Date;</w:t>
      </w:r>
    </w:p>
    <w:p>
      <w:pPr>
        <w:spacing w:after="0" w:line="117" w:lineRule="exact"/>
        <w:rPr>
          <w:rFonts w:ascii="Times New Roman" w:cs="Times New Roman" w:eastAsia="Times New Roman" w:hAnsi="Times New Roman"/>
          <w:sz w:val="18"/>
          <w:szCs w:val="18"/>
          <w:color w:val="auto"/>
        </w:rPr>
      </w:pPr>
    </w:p>
    <w:p>
      <w:pPr>
        <w:ind w:left="440" w:firstLine="419"/>
        <w:spacing w:after="0" w:line="255" w:lineRule="auto"/>
        <w:tabs>
          <w:tab w:leader="none" w:pos="110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Borrower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or which are contained in any document furnished at any time under or in connection herewith or therewith, shall be true and correct in all material respects on and as of the date of such Borrowing(s), except to the extent that such representations and warranties specifically refer to an earlier date, in which case they shall be true and correct in all material respects as of such earlier date, and except that for purposes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Sections 5.05(a)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deemed to refer to the most recent statements furnished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any representation and warranty that is qualified as to “materiality”, “Material Adverse Effect” or similar language shall be true and correct (after giving effect to any qualification therein) in all respects;</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exist, or would result from such proposed Borrowing(s) or from the application of the proceeds thereof;</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0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shall have been consummated concurrently or substantially concurrently with the funding of the Loans in all material respects in accordance with the terms and conditions of the Acquisition Agreement;</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08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Loan Notice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which Loan Notice shall include a certification of a Responsible Officer of the Borrower as to the satisfaction of the conditions specified in </w:t>
      </w:r>
      <w:r>
        <w:rPr>
          <w:rFonts w:ascii="Times New Roman" w:cs="Times New Roman" w:eastAsia="Times New Roman" w:hAnsi="Times New Roman"/>
          <w:sz w:val="18"/>
          <w:szCs w:val="18"/>
          <w:u w:val="single" w:color="auto"/>
          <w:color w:val="auto"/>
        </w:rPr>
        <w:t>Sections 4.02(c)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on and as of the Closing Date;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required to be paid on or before the Closing Date shall have been paid.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Borrower represents and warrants to the Administrative Agent and the Lenders that:</w:t>
      </w:r>
    </w:p>
    <w:p>
      <w:pPr>
        <w:spacing w:after="0" w:line="2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5.01 Existence, Qualification and Power</w:t>
      </w:r>
      <w:r>
        <w:rPr>
          <w:rFonts w:ascii="Times New Roman" w:cs="Times New Roman" w:eastAsia="Times New Roman" w:hAnsi="Times New Roman"/>
          <w:sz w:val="18"/>
          <w:szCs w:val="18"/>
          <w:color w:val="auto"/>
        </w:rPr>
        <w:t>. The Borrower and each Subsidiary (a) is duly organized or formed, validly existing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18"/>
          <w:szCs w:val="18"/>
          <w:u w:val="single" w:color="auto"/>
          <w:color w:val="auto"/>
        </w:rPr>
        <w:t>subsection (b)(i)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to the extent that failure to do so could not reasonably be expected to have a Material Adverse Effect.</w:t>
      </w:r>
    </w:p>
    <w:p>
      <w:pPr>
        <w:spacing w:after="0" w:line="18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5.02 Authorization; No Contravention</w:t>
      </w:r>
      <w:r>
        <w:rPr>
          <w:rFonts w:ascii="Times New Roman" w:cs="Times New Roman" w:eastAsia="Times New Roman" w:hAnsi="Times New Roman"/>
          <w:sz w:val="18"/>
          <w:szCs w:val="18"/>
          <w:color w:val="auto"/>
        </w:rPr>
        <w:t>. The execution, delivery and performance by the Borrower of each Loan Document to which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have been duly authorized by all necessary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6" w:right="459" w:bottom="1440" w:gutter="0" w:footer="0" w:header="0"/>
        </w:sectPr>
      </w:pPr>
    </w:p>
    <w:bookmarkStart w:id="79" w:name="page80"/>
    <w:bookmarkEnd w:id="79"/>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corporate or other organizational action, and do not and will not (a) contravene the terms of any of the Borrower’s Organization Documents, (b) conflict with or result in any breach or contravention of, or the creation of any Lien under, or require any payment to be made under (i) any Contractual Obligation to which the Borrower is a party or affecting the Borrower or the properties of the Borrower or any of its Subsidiaries or (ii) any order, injunction, writ or decree of any Governmental Authority or any arbitral award to which the Borrower or its property is subject, or (c) violate any Law, except in each case referred to in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to the extent that failure to do so could not reasonably be expected to have a Material Adverse Effect.</w:t>
      </w:r>
    </w:p>
    <w:p>
      <w:pPr>
        <w:spacing w:after="0" w:line="183"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5.03 Governmental Authorization; Other Consents</w:t>
      </w:r>
      <w:r>
        <w:rPr>
          <w:rFonts w:ascii="Times New Roman" w:cs="Times New Roman" w:eastAsia="Times New Roman" w:hAnsi="Times New Roman"/>
          <w:sz w:val="18"/>
          <w:szCs w:val="18"/>
          <w:color w:val="auto"/>
        </w:rPr>
        <w:t>. No approval, consent, exemption, authorization, or other material action by,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notice to, or material filing with, any Governmental Authority or any other Person is necessary or required in connection with the execution, delivery or performance by, or enforcement against, the Borrower of this Agreement or any other Loan Document.</w:t>
      </w:r>
    </w:p>
    <w:p>
      <w:pPr>
        <w:spacing w:after="0" w:line="171"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5.04 Binding Effect</w:t>
      </w:r>
      <w:r>
        <w:rPr>
          <w:rFonts w:ascii="Times New Roman" w:cs="Times New Roman" w:eastAsia="Times New Roman" w:hAnsi="Times New Roman"/>
          <w:sz w:val="18"/>
          <w:szCs w:val="18"/>
          <w:color w:val="auto"/>
        </w:rPr>
        <w:t>. This Agreement has been, and each other Loan Document, when delivered hereunder, will have been, duly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delivered by the Borrower. This Agreement constitutes, and each other Loan Document when so delivered will constitute, a legal, valid and binding obligation of the Borrower, enforceable against the Borrower in accordance with its terms, subject to bankruptcy, insolvency, moratorium and other laws of general application affecting creditors and general principles of equity.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5.05 Financial Statements; No Material Adverse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436"/>
        <w:spacing w:after="0" w:line="255"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(i) were prepared in accordance with GAAP consistently applied throughout the period covered thereby, except as otherwise expressly noted therein, (ii) fairly present in all material respects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material liabilities, direct or contingent, of the Borrower and its Subsidiaries as of the date thereof, including material liabilities for taxes, material commitments and Indebtedness other than those that are (A) not material to the Borrower and its Subsidiaries as a whole or (B) are reflected in the Borrower’s most recent report on Form 10-K and any subsequent reports on Form 10-Q or Form 8-K filed with the SEC.</w:t>
      </w:r>
    </w:p>
    <w:p>
      <w:pPr>
        <w:spacing w:after="0" w:line="188"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balance sheet of the Borrower and its Subsidiaries dated March 31, 2026, and the related consolidated statements of income or operations and cash flows for the fiscal quarter ended on that date (the “</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xml:space="preserve">”) (i) were prepared in accordance with GAAP consistently applied throughout the period covered thereby, except as otherwise expressly noted therein, and (ii) fairly present in all material respects the financial condition of the Borrower and its Subsidiaries as of the date thereof and their results of operations for the period covered thereby, subject, in the case of </w:t>
      </w:r>
      <w:r>
        <w:rPr>
          <w:rFonts w:ascii="Times New Roman" w:cs="Times New Roman" w:eastAsia="Times New Roman" w:hAnsi="Times New Roman"/>
          <w:sz w:val="18"/>
          <w:szCs w:val="18"/>
          <w:u w:val="single" w:color="auto"/>
          <w:color w:val="auto"/>
        </w:rPr>
        <w:t>subsections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to the absence of footnotes and to normal year-end audit adjustments.</w:t>
      </w:r>
    </w:p>
    <w:p>
      <w:pPr>
        <w:spacing w:after="0" w:line="183" w:lineRule="exact"/>
        <w:rPr>
          <w:rFonts w:ascii="Times New Roman" w:cs="Times New Roman" w:eastAsia="Times New Roman" w:hAnsi="Times New Roman"/>
          <w:sz w:val="18"/>
          <w:szCs w:val="18"/>
          <w:color w:val="auto"/>
        </w:rPr>
      </w:pPr>
    </w:p>
    <w:p>
      <w:pPr>
        <w:ind w:right="260" w:firstLine="436"/>
        <w:spacing w:after="0" w:line="282"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58"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5.06 Litigation</w:t>
      </w:r>
      <w:r>
        <w:rPr>
          <w:rFonts w:ascii="Times New Roman" w:cs="Times New Roman" w:eastAsia="Times New Roman" w:hAnsi="Times New Roman"/>
          <w:sz w:val="18"/>
          <w:szCs w:val="18"/>
          <w:color w:val="auto"/>
        </w:rPr>
        <w:t>. There are no actions, suits, proceedings, claims or disputes pending or, to the knowledge of the Borrower after due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diligent investigation, threatened or contemplated (to the extent contemplated in writing), at law, in equity, in arbitration or before any Governmental Authority, by or against the Borrower or any of its Subsidiaries or against any of their properties or revenues that (a)</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80" w:name="page81"/>
    <w:bookmarkEnd w:id="80"/>
    <w:p>
      <w:pPr>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purport to affect or pertain to this Agreement or any other Loan Document, or any of the transactions contemplated hereby, or (b) except for litigation disclosed in the Borrower’s Annual Report on Form 10-K for the year ended December 31, 2025 or in any subsequent disclosures filed with the SEC for any period ending on or prior to March 31, 2026, either individually or in the aggregate could reasonably be expected to have a Material Adverse Effect.</w:t>
      </w:r>
    </w:p>
    <w:p>
      <w:pPr>
        <w:spacing w:after="0" w:line="154" w:lineRule="exact"/>
        <w:rPr>
          <w:sz w:val="20"/>
          <w:szCs w:val="20"/>
          <w:color w:val="auto"/>
        </w:rPr>
      </w:pPr>
    </w:p>
    <w:p>
      <w:pPr>
        <w:ind w:right="1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Section 5.07 No Default</w:t>
      </w:r>
      <w:r>
        <w:rPr>
          <w:rFonts w:ascii="Times New Roman" w:cs="Times New Roman" w:eastAsia="Times New Roman" w:hAnsi="Times New Roman"/>
          <w:sz w:val="17"/>
          <w:szCs w:val="17"/>
          <w:color w:val="auto"/>
        </w:rPr>
        <w:t>. Neither the Borrower nor any Subsidiary is in default under or with respect to any material Contractual Obligation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could, either individually or in the aggregate, reasonably be expected to have a Material Adverse Effect. No Default has occurred and is continuing.</w:t>
      </w:r>
    </w:p>
    <w:p>
      <w:pPr>
        <w:spacing w:after="0" w:line="132"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5.08 Environmental Compliance</w:t>
      </w:r>
      <w:r>
        <w:rPr>
          <w:rFonts w:ascii="Times New Roman" w:cs="Times New Roman" w:eastAsia="Times New Roman" w:hAnsi="Times New Roman"/>
          <w:sz w:val="18"/>
          <w:szCs w:val="18"/>
          <w:color w:val="auto"/>
        </w:rPr>
        <w:t>. The Borrower and its Subsidiaries conduct in the ordinary course of business a review of the effect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Environmental Laws and claims alleging potential liability or responsibility for violation of any Environmental Law or their respective businesses, operations and properties, and as a result thereof the Borrower has reasonably concluded that such Environmental Laws and claims could not, individually or in the aggregate, reasonably be expected to have a Material Adverse Effect.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5.09 Use of Proceeds</w:t>
      </w:r>
      <w:r>
        <w:rPr>
          <w:rFonts w:ascii="Times New Roman" w:cs="Times New Roman" w:eastAsia="Times New Roman" w:hAnsi="Times New Roman"/>
          <w:sz w:val="18"/>
          <w:szCs w:val="18"/>
          <w:color w:val="auto"/>
        </w:rPr>
        <w:t>. The Borrower and its Subsidiaries will have only used the proceeds of the Loans as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5.10 Taxes</w:t>
      </w:r>
      <w:r>
        <w:rPr>
          <w:rFonts w:ascii="Times New Roman" w:cs="Times New Roman" w:eastAsia="Times New Roman" w:hAnsi="Times New Roman"/>
          <w:sz w:val="18"/>
          <w:szCs w:val="18"/>
          <w:color w:val="auto"/>
        </w:rPr>
        <w:t>. The Borrower and its Subsidiaries have filed all Federal, state and other material tax returns and reports required to be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have paid all Federal, state and other material taxes, assessments, fees and other governmental charges levied or imposed upon them or their properties, income or assets otherwise due and payable, except those (a) filings and payments with respect to which the due date for filing or payment has not yet passed, (b) payments which are being contested in good faith by appropriate proceedings diligently conducted and for which adequate reserves have been provided in accordance with GAAP or (c) filings or payments with respect to which the failure to make such filings or payments could not reasonably be expected, individually or in the aggregate, to have a Material Adverse Effect. There is no proposed tax assessment against the Borrower or any Subsidiary that would reasonably be expected to have a Material Adverse Effect. As of the Effective Date, neither the Borrower nor any Subsidiary is party to any Federal income tax sharing agreement.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5.11 ERISA Compliance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436"/>
        <w:spacing w:after="0" w:line="256"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is in compliance in all material respects with the applicable provisions of ERISA, the Code and other Federal or state Laws, except to the extent failure to so comply would not reasonably be expected to result in a Material Adverse Effect. Each Pension Plan that is intended to be a qualified plan under Section 401(a) of the Code has 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best knowledge of the Borrower, nothing has occurred that would prevent, or cause the loss of, such tax-qualified status.</w:t>
      </w:r>
    </w:p>
    <w:p>
      <w:pPr>
        <w:spacing w:after="0" w:line="187"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best knowledge of the Borrower, threatened claims, actions or lawsuits, or action by any Governmental Authority, with respect to any Plan that could be reasonably be expected to have a Material Adverse Effect. There has been no non-exempt prohibited transaction or violation of the fiduciary responsibility rules of the ERISA or the Code with respect to any Plan that has resulted or could reasonably be expected to result in a Material Adverse Effect.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81" w:name="page82"/>
    <w:bookmarkEnd w:id="81"/>
    <w:p>
      <w:pPr>
        <w:ind w:left="4" w:firstLine="436"/>
        <w:spacing w:after="0" w:line="256" w:lineRule="auto"/>
        <w:tabs>
          <w:tab w:leader="none" w:pos="68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No ERISA Event has occurred or is reasonably expected to occur, which has resulted or could reasonably be expected to constitute or result in an ERISA Event with respect to any Pension Plan; (ii) the Borrower and each ERISA Affiliate have met all applicable requirements under the Pension Funding Rules in respect of each Pension Plan, and no waiver of the minimum funding standards under the Pension Funding Rules has been applied for or obtained; (iii) neither the Borrower nor any ERISA Affiliate has incurred any material liability to the PBGC other than for the payment of premiums, and there are no material premium payments which have become due that are unpaid; and (iv) neither the Borrower nor any ERISA Affiliate has engaged in a transaction that could be subject to Section 4069 or Section 4212(c) of ERISA.</w:t>
      </w:r>
    </w:p>
    <w:p>
      <w:pPr>
        <w:spacing w:after="0" w:line="187"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69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the Borrower is not and will not be using “plan assets” (within the meaning of Section 3(42) of ERISA or otherwise) of one or more Benefit Plans with respect to the Borrower’s entrance into, participation in, administration of and performance of the Loans, the Commitments or this Agreement.</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5.12 Margin Regulations; Investment Company Act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00" w:firstLine="436"/>
        <w:spacing w:after="0" w:line="266" w:lineRule="auto"/>
        <w:tabs>
          <w:tab w:leader="none" w:pos="68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in a manner that would result in a violation of Regulation U of the FRB.</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Borrower or any Subsidiary is or is required to be registered as an “investment company” under the Investment Company Act of</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1940.</w:t>
      </w:r>
    </w:p>
    <w:p>
      <w:pPr>
        <w:spacing w:after="0" w:line="203"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5.13 Disclosure</w:t>
      </w:r>
      <w:r>
        <w:rPr>
          <w:rFonts w:ascii="Times New Roman" w:cs="Times New Roman" w:eastAsia="Times New Roman" w:hAnsi="Times New Roman"/>
          <w:sz w:val="18"/>
          <w:szCs w:val="18"/>
          <w:color w:val="auto"/>
        </w:rPr>
        <w:t>. No written report, financial statement, certificate or other information furnished by or on behalf of the Borrower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Administrative Agent or any Lender in connection with the transactions contemplated hereby and the negotiation of this Agreement or delivered hereunder or under any other Loan Document (in each case, as modified or supplemented by other information so furnished) contains any untrue statement of material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 respect to projected financial information, the Borrower represents only that such information was prepared in good faith based upon assumptions believed to be reasonable at the time. As of the Effective Date, the information included in any Beneficial Ownership Certification delivered on or prior to the Effective Date, if applicable, is true and correct in all respects.</w:t>
      </w:r>
    </w:p>
    <w:p>
      <w:pPr>
        <w:spacing w:after="0" w:line="183" w:lineRule="exact"/>
        <w:rPr>
          <w:sz w:val="20"/>
          <w:szCs w:val="20"/>
          <w:color w:val="auto"/>
        </w:rPr>
      </w:pPr>
    </w:p>
    <w:p>
      <w:pPr>
        <w:ind w:left="4" w:right="2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Section 5.14 Compliance with Laws</w:t>
      </w:r>
      <w:r>
        <w:rPr>
          <w:rFonts w:ascii="Times New Roman" w:cs="Times New Roman" w:eastAsia="Times New Roman" w:hAnsi="Times New Roman"/>
          <w:sz w:val="17"/>
          <w:szCs w:val="17"/>
          <w:color w:val="auto"/>
        </w:rPr>
        <w:t>. The Borrower and each Subsidiary is in compliance in all material respects with the requirements of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Laws (including the PATRIOT Act) and all orders, writs, injunctions and decrees applicable to it or to its properties, except in such instances in which</w:t>
      </w:r>
    </w:p>
    <w:p>
      <w:pPr>
        <w:spacing w:after="0" w:line="1" w:lineRule="exact"/>
        <w:rPr>
          <w:sz w:val="20"/>
          <w:szCs w:val="20"/>
          <w:color w:val="auto"/>
        </w:rPr>
      </w:pPr>
    </w:p>
    <w:p>
      <w:pPr>
        <w:ind w:left="244" w:hanging="244"/>
        <w:spacing w:after="0"/>
        <w:tabs>
          <w:tab w:leader="none" w:pos="2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requirement of Law or order, writ, injunction or decree is being contested in good faith by appropriate proceedings diligently conducted or</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therewith, either individually or in the aggregate, could not reasonably be expected to have a Material Adverse Effect.</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5.15 Solvency</w:t>
      </w:r>
      <w:r>
        <w:rPr>
          <w:rFonts w:ascii="Times New Roman" w:cs="Times New Roman" w:eastAsia="Times New Roman" w:hAnsi="Times New Roman"/>
          <w:sz w:val="18"/>
          <w:szCs w:val="18"/>
          <w:color w:val="auto"/>
        </w:rPr>
        <w:t>. The Borrower and its Subsidiaries, taken as a whole, are Solvent.</w:t>
      </w:r>
    </w:p>
    <w:p>
      <w:pPr>
        <w:spacing w:after="0" w:line="225" w:lineRule="exact"/>
        <w:rPr>
          <w:sz w:val="20"/>
          <w:szCs w:val="20"/>
          <w:color w:val="auto"/>
        </w:rPr>
      </w:pPr>
    </w:p>
    <w:p>
      <w:pPr>
        <w:ind w:left="4" w:right="24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Section 5.16 Sanctions. </w:t>
      </w:r>
      <w:r>
        <w:rPr>
          <w:rFonts w:ascii="Times New Roman" w:cs="Times New Roman" w:eastAsia="Times New Roman" w:hAnsi="Times New Roman"/>
          <w:sz w:val="17"/>
          <w:szCs w:val="17"/>
          <w:color w:val="auto"/>
        </w:rPr>
        <w:t>Neither the Borrower, nor any of its Subsidiaries, nor, to the knowledge of the Borrower and its Subsidiaries,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 officer, employee, agent, affiliate or representative thereof, is an individual or entity that is, or is owned or controlled by one or more individuals or entities that are, (a) currently the subject of any Sanctions, (b) included on OFAC’s List of Specially Designated Nationals, HMT’s Consolidated List of Financial Sanctions Targets and the Investment Ban List, or any similar list enforced by any other relevant sanctions authority or</w:t>
      </w:r>
    </w:p>
    <w:p>
      <w:pPr>
        <w:ind w:left="4" w:right="140" w:hanging="4"/>
        <w:spacing w:after="0" w:line="260" w:lineRule="auto"/>
        <w:tabs>
          <w:tab w:leader="none" w:pos="24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(to the extent the same would violate Sanctions), organized or resident in a Designated Jurisdiction. The Borrower and its Subsidiaries have instituted and maintain policies and procedures designed to promote and achieve compliance with such laws.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4"/>
          </w:cols>
          <w:pgMar w:left="436" w:top="270" w:right="459" w:bottom="1440" w:gutter="0" w:footer="0" w:header="0"/>
        </w:sectPr>
      </w:pPr>
    </w:p>
    <w:bookmarkStart w:id="82" w:name="page83"/>
    <w:bookmarkEnd w:id="82"/>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5.17 Anti-Corruption Laws. </w:t>
      </w:r>
      <w:r>
        <w:rPr>
          <w:rFonts w:ascii="Times New Roman" w:cs="Times New Roman" w:eastAsia="Times New Roman" w:hAnsi="Times New Roman"/>
          <w:sz w:val="18"/>
          <w:szCs w:val="18"/>
          <w:color w:val="auto"/>
        </w:rPr>
        <w:t>The Borrower and its Subsidiaries have conducted their businesses in compliance in all material respects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United States Foreign Corrupt Practices Act of 1977, the UK Bribery Act 2010, and other applicable anti-corruption legislation in other jurisdictions in which the Borrower and its Subsidiaries conduct business, and have instituted and maintained policies and procedures designed to promote and achieve compliance with such laws.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5.18 Affected Financial Institutions. </w:t>
      </w:r>
      <w:r>
        <w:rPr>
          <w:rFonts w:ascii="Times New Roman" w:cs="Times New Roman" w:eastAsia="Times New Roman" w:hAnsi="Times New Roman"/>
          <w:sz w:val="18"/>
          <w:szCs w:val="18"/>
          <w:color w:val="auto"/>
        </w:rPr>
        <w:t>The Borrower is not an Affected Financial Institution.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5.19 Covered Entities. </w:t>
      </w:r>
      <w:r>
        <w:rPr>
          <w:rFonts w:ascii="Times New Roman" w:cs="Times New Roman" w:eastAsia="Times New Roman" w:hAnsi="Times New Roman"/>
          <w:sz w:val="18"/>
          <w:szCs w:val="18"/>
          <w:color w:val="auto"/>
        </w:rPr>
        <w:t>The Borrower is not a Covered Entity.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 long as any Lender shall have any Commitment hereunder or any Loan or other Obligation hereunder shall remain unpaid or unsatisfied,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Borrower shall, and shall (except in the case of the covenants set forth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cause each Subsidiary to:</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6.01 Financial Statements</w:t>
      </w:r>
      <w:r>
        <w:rPr>
          <w:rFonts w:ascii="Times New Roman" w:cs="Times New Roman" w:eastAsia="Times New Roman" w:hAnsi="Times New Roman"/>
          <w:sz w:val="18"/>
          <w:szCs w:val="18"/>
          <w:color w:val="auto"/>
        </w:rPr>
        <w:t>. Deliver to the Administrative Agent (for distribution to the Lenders):</w:t>
      </w:r>
    </w:p>
    <w:p>
      <w:pPr>
        <w:spacing w:after="0" w:line="229" w:lineRule="exact"/>
        <w:rPr>
          <w:sz w:val="20"/>
          <w:szCs w:val="20"/>
          <w:color w:val="auto"/>
        </w:rPr>
      </w:pPr>
    </w:p>
    <w:p>
      <w:pPr>
        <w:ind w:right="100" w:firstLine="436"/>
        <w:spacing w:after="0" w:line="255" w:lineRule="auto"/>
        <w:tabs>
          <w:tab w:leader="none" w:pos="6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ninety (90) days after the end of each fiscal year of the Borrower, a consolidated balance sheet of the Borrower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88"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forty-five (45) days after the end of each of the first three (3) fiscal quarters of each fiscal year of the Borrower, a consolidated balance sheet of the Borrower and its Subsidiaries as at the end of such fiscal quarter, and the related consolidated statements of income or operations and cash flows for the portion of the Borrower’s fiscal year then ended, setting forth in each case in comparative form, as applicable, the figures for the corresponding fiscal quarter of the previous fiscal year or the corresponding portion of the previous fiscal year, all in reasonable detail, certified by the chief executive officer, chief financial officer, treasurer or controller that is a Responsible Officer of the Borrower as fairly presenting in all material respects the financial condition, results of operations and cash flows of the Borrower and its Subsidiaries in accordance with GAAP, subject only to normal year-end audit adjustments and the absence of footnotes.</w:t>
      </w:r>
    </w:p>
    <w:p>
      <w:pPr>
        <w:spacing w:after="0" w:line="189"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As to any information contained in materials furnished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the Borrower shall not be separately required to furnish such information under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but the foregoing shall not be in derogation of the obligation of the Borrower to furnish the information and materials described in </w:t>
      </w:r>
      <w:r>
        <w:rPr>
          <w:rFonts w:ascii="Times New Roman" w:cs="Times New Roman" w:eastAsia="Times New Roman" w:hAnsi="Times New Roman"/>
          <w:sz w:val="18"/>
          <w:szCs w:val="18"/>
          <w:u w:val="single" w:color="auto"/>
          <w:color w:val="auto"/>
        </w:rPr>
        <w:t>subsections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at the times specified therein.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66" w:right="459" w:bottom="1440" w:gutter="0" w:footer="0" w:header="0"/>
        </w:sectPr>
      </w:pPr>
    </w:p>
    <w:bookmarkStart w:id="83" w:name="page84"/>
    <w:bookmarkEnd w:id="83"/>
    <w:p>
      <w:pPr>
        <w:ind w:left="4" w:right="8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6.02 Certificates; Other Information</w:t>
      </w:r>
      <w:r>
        <w:rPr>
          <w:rFonts w:ascii="Times New Roman" w:cs="Times New Roman" w:eastAsia="Times New Roman" w:hAnsi="Times New Roman"/>
          <w:sz w:val="18"/>
          <w:szCs w:val="18"/>
          <w:color w:val="auto"/>
        </w:rPr>
        <w:t>. Deliver to the Administrative Agent (for distribution to the Lenders), in form and detail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satisfactory to the Administrative Agent and the Required Lenders:</w:t>
      </w:r>
    </w:p>
    <w:p>
      <w:pPr>
        <w:spacing w:after="0" w:line="159" w:lineRule="exact"/>
        <w:rPr>
          <w:sz w:val="20"/>
          <w:szCs w:val="20"/>
          <w:color w:val="auto"/>
        </w:rPr>
      </w:pPr>
    </w:p>
    <w:p>
      <w:pPr>
        <w:ind w:left="4" w:right="100" w:firstLine="436"/>
        <w:spacing w:after="0" w:line="261" w:lineRule="auto"/>
        <w:tabs>
          <w:tab w:leader="none" w:pos="68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duly completed Compliance Certificate signed by the chief executive officer, chief financial officer, treasurer or controller that is a Responsible Officer of the Borrower (which delivery may, unless the Administrative Agent or a Lender requests executed originals, be by electronic communication including fax or email and shall be deemed to be an original authentic counterpart thereof for all purposes);</w:t>
      </w:r>
    </w:p>
    <w:p>
      <w:pPr>
        <w:spacing w:after="0" w:line="179" w:lineRule="exact"/>
        <w:rPr>
          <w:rFonts w:ascii="Times New Roman" w:cs="Times New Roman" w:eastAsia="Times New Roman" w:hAnsi="Times New Roman"/>
          <w:sz w:val="18"/>
          <w:szCs w:val="18"/>
          <w:color w:val="auto"/>
        </w:rPr>
      </w:pPr>
    </w:p>
    <w:p>
      <w:pPr>
        <w:jc w:val="both"/>
        <w:ind w:left="4" w:right="180" w:firstLine="436"/>
        <w:spacing w:after="0" w:line="261" w:lineRule="auto"/>
        <w:tabs>
          <w:tab w:leader="none" w:pos="69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and not otherwise required to be delivered to the Administrative Agent pursuant hereto;</w:t>
      </w:r>
    </w:p>
    <w:p>
      <w:pPr>
        <w:spacing w:after="0" w:line="179" w:lineRule="exact"/>
        <w:rPr>
          <w:rFonts w:ascii="Times New Roman" w:cs="Times New Roman" w:eastAsia="Times New Roman" w:hAnsi="Times New Roman"/>
          <w:sz w:val="18"/>
          <w:szCs w:val="18"/>
          <w:color w:val="auto"/>
        </w:rPr>
      </w:pPr>
    </w:p>
    <w:p>
      <w:pPr>
        <w:ind w:left="4" w:firstLine="436"/>
        <w:spacing w:after="0" w:line="266" w:lineRule="auto"/>
        <w:tabs>
          <w:tab w:leader="none" w:pos="68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any information and documentation reasonably requested by the Administrative Agent or any Lender for purposes of compliance with applicable “know your customer” and anti-money-laundering rules and regulations, including the PATRIOT Act and the Beneficial Ownership Regulation;</w:t>
      </w:r>
    </w:p>
    <w:p>
      <w:pPr>
        <w:spacing w:after="0" w:line="175"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9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change in the information provided in any Beneficial Ownership Certification previously delivered to any Lender that would result in a change to the list of beneficial owners identified in such Beneficial Ownership Certification, an updated Beneficial Ownership Certification; and</w:t>
      </w:r>
    </w:p>
    <w:p>
      <w:pPr>
        <w:spacing w:after="0" w:line="175" w:lineRule="exact"/>
        <w:rPr>
          <w:rFonts w:ascii="Times New Roman" w:cs="Times New Roman" w:eastAsia="Times New Roman" w:hAnsi="Times New Roman"/>
          <w:sz w:val="18"/>
          <w:szCs w:val="18"/>
          <w:color w:val="auto"/>
        </w:rPr>
      </w:pPr>
    </w:p>
    <w:p>
      <w:pPr>
        <w:ind w:left="4" w:right="200" w:firstLine="436"/>
        <w:spacing w:after="0" w:line="282" w:lineRule="auto"/>
        <w:tabs>
          <w:tab w:leader="none" w:pos="68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additional information regarding the business, financial or corporate affairs of the Borrower or any Subsidiary, or compliance with the terms of the Loan Documents, as the Administrative Agent or any Lender may from time to time reasonably request.</w:t>
      </w:r>
    </w:p>
    <w:p>
      <w:pPr>
        <w:spacing w:after="0" w:line="162" w:lineRule="exact"/>
        <w:rPr>
          <w:sz w:val="20"/>
          <w:szCs w:val="20"/>
          <w:color w:val="auto"/>
        </w:rPr>
      </w:pPr>
    </w:p>
    <w:p>
      <w:pPr>
        <w:ind w:left="4" w:right="40" w:firstLine="440"/>
        <w:spacing w:after="0" w:line="269" w:lineRule="auto"/>
        <w:rPr>
          <w:sz w:val="20"/>
          <w:szCs w:val="20"/>
          <w:color w:val="auto"/>
        </w:rPr>
      </w:pPr>
      <w:r>
        <w:rPr>
          <w:rFonts w:ascii="Times New Roman" w:cs="Times New Roman" w:eastAsia="Times New Roman" w:hAnsi="Times New Roman"/>
          <w:sz w:val="17"/>
          <w:szCs w:val="17"/>
          <w:color w:val="auto"/>
        </w:rPr>
        <w:t xml:space="preserve">Documents required to be delivered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6.02(b)</w:t>
      </w:r>
      <w:r>
        <w:rPr>
          <w:rFonts w:ascii="Times New Roman" w:cs="Times New Roman" w:eastAsia="Times New Roman" w:hAnsi="Times New Roman"/>
          <w:sz w:val="17"/>
          <w:szCs w:val="17"/>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10.02</w:t>
      </w:r>
      <w:r>
        <w:rPr>
          <w:rFonts w:ascii="Times New Roman" w:cs="Times New Roman" w:eastAsia="Times New Roman" w:hAnsi="Times New Roman"/>
          <w:sz w:val="17"/>
          <w:szCs w:val="17"/>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ind w:left="4" w:right="120" w:hanging="4"/>
        <w:spacing w:after="0" w:line="252" w:lineRule="auto"/>
        <w:tabs>
          <w:tab w:leader="none" w:pos="29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paper copies of such documents to the Administrative Agent or any Lender that requests the Borrower to deliver such paper copies until a written request to cease delivering paper copies is given by the Administrative Agent or such Lender and (B) the Borrower shall notify the Administrative Agent (by facsimile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for delivery by a Lender, and each Lender shall be solely responsible for requesting delivery to it or maintaining its copies of such documents.</w:t>
      </w:r>
    </w:p>
    <w:p>
      <w:pPr>
        <w:spacing w:after="0" w:line="188"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and/or any Arranger may, but shall not be obligated to, make available to the Lenders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DebtX, Debticate, IntraLinks, Syndtrak or another similar electronic transmission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4"/>
          </w:cols>
          <w:pgMar w:left="436" w:top="266" w:right="439" w:bottom="1440" w:gutter="0" w:footer="0" w:header="0"/>
        </w:sectPr>
      </w:pPr>
    </w:p>
    <w:bookmarkStart w:id="84" w:name="page85"/>
    <w:bookmarkEnd w:id="84"/>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with respect to the Borrower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6.03 Notices</w:t>
      </w:r>
      <w:r>
        <w:rPr>
          <w:rFonts w:ascii="Times New Roman" w:cs="Times New Roman" w:eastAsia="Times New Roman" w:hAnsi="Times New Roman"/>
          <w:sz w:val="18"/>
          <w:szCs w:val="18"/>
          <w:color w:val="auto"/>
        </w:rPr>
        <w:t>. Promptly notify the Administrative Agent (for further notification to each Lender):</w:t>
      </w:r>
    </w:p>
    <w:p>
      <w:pPr>
        <w:spacing w:after="0" w:line="229" w:lineRule="exact"/>
        <w:rPr>
          <w:sz w:val="20"/>
          <w:szCs w:val="20"/>
          <w:color w:val="auto"/>
        </w:rPr>
      </w:pPr>
    </w:p>
    <w:p>
      <w:pPr>
        <w:ind w:left="684" w:hanging="244"/>
        <w:spacing w:after="0"/>
        <w:tabs>
          <w:tab w:leader="none" w:pos="68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Default;</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matter that has resulted or could reasonably be expected to result in a Material Adverse Effect, including such matters arising from</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1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non-performance of, or any default under, a Contractual Obligation of the Borrower or any Subsidiary, (ii) any dispute, litigation, investigation, proceeding or suspension between the Borrower or any Subsidiary and any Governmental Authority, or (iii) the commencement of, or any material development in, any litigation or proceeding affecting the Borrower or any Subsidiary, including pursuant to any applicable Environmental Laws;</w:t>
      </w:r>
    </w:p>
    <w:p>
      <w:pPr>
        <w:spacing w:after="0" w:line="188"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ERISA Event; and</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announcement by Moody’s or S&amp;P of any change in a Debt Rating.</w:t>
      </w:r>
    </w:p>
    <w:p>
      <w:pPr>
        <w:spacing w:after="0" w:line="225"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6.03(d)</w:t>
      </w:r>
      <w:r>
        <w:rPr>
          <w:rFonts w:ascii="Times New Roman" w:cs="Times New Roman" w:eastAsia="Times New Roman" w:hAnsi="Times New Roman"/>
          <w:sz w:val="18"/>
          <w:szCs w:val="18"/>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shall describe with particularity any and all provisions of this Agreement and any other Loan Document that have been breached. Information required to be furnished pursuant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deemed to have been furnished if such information, or one or more annual, quarterly or current reports containing such information, shall have been (x) delivered to the Administrative Agent for posting on, or otherwise posted on the Borrower’s behalf on, the Platform or (y) filed for public availability on the website of the SEC at http://www.sec.gov.</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6.04 Payment of Obligations</w:t>
      </w:r>
      <w:r>
        <w:rPr>
          <w:rFonts w:ascii="Times New Roman" w:cs="Times New Roman" w:eastAsia="Times New Roman" w:hAnsi="Times New Roman"/>
          <w:sz w:val="18"/>
          <w:szCs w:val="18"/>
          <w:color w:val="auto"/>
        </w:rPr>
        <w:t>. Pay and discharge as the same shall become due and payable, all its obligations and liabilities, including</w:t>
      </w:r>
    </w:p>
    <w:p>
      <w:pPr>
        <w:spacing w:after="0" w:line="31" w:lineRule="exact"/>
        <w:rPr>
          <w:sz w:val="20"/>
          <w:szCs w:val="20"/>
          <w:color w:val="auto"/>
        </w:rPr>
      </w:pPr>
    </w:p>
    <w:p>
      <w:pPr>
        <w:jc w:val="both"/>
        <w:ind w:left="4" w:right="160" w:hanging="4"/>
        <w:spacing w:after="0" w:line="253" w:lineRule="auto"/>
        <w:tabs>
          <w:tab w:leader="none" w:pos="24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 and (b) all lawful claims which, if unpaid, would by law become a Lien upon its property (other than a Lien that is not prohibited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6.05 Preservation of Existence, Etc</w:t>
      </w:r>
      <w:r>
        <w:rPr>
          <w:rFonts w:ascii="Times New Roman" w:cs="Times New Roman" w:eastAsia="Times New Roman" w:hAnsi="Times New Roman"/>
          <w:sz w:val="18"/>
          <w:szCs w:val="18"/>
          <w:color w:val="auto"/>
        </w:rPr>
        <w:t>. (a) Preserve, renew and maintain in full force and effect its legal existence and good standing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the jurisdiction of its organization except (i) in the case of a Subsidiary, to the extent that failure to do so could not reasonably be expected to have a</w:t>
      </w:r>
    </w:p>
    <w:p>
      <w:pPr>
        <w:spacing w:after="0" w:line="1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64"/>
          </w:cols>
          <w:pgMar w:left="436" w:top="270" w:right="499" w:bottom="1440" w:gutter="0" w:footer="0" w:header="0"/>
        </w:sectPr>
      </w:pPr>
    </w:p>
    <w:bookmarkStart w:id="85" w:name="page86"/>
    <w:bookmarkEnd w:id="85"/>
    <w:p>
      <w:pPr>
        <w:ind w:left="4"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Material Adverse Effect or (ii) in a transaction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76"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6.06 Maintenance of Properties</w:t>
      </w:r>
      <w:r>
        <w:rPr>
          <w:rFonts w:ascii="Times New Roman" w:cs="Times New Roman" w:eastAsia="Times New Roman" w:hAnsi="Times New Roman"/>
          <w:sz w:val="18"/>
          <w:szCs w:val="18"/>
          <w:color w:val="auto"/>
        </w:rPr>
        <w:t>. (a) Maintain, preserve and protect all of its material properties and equipment necessary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its business in good working order and condition, ordinary wear and tear excepted; and (b) make all necessary repairs thereto and renewals and replacements thereof except where the failure to do so could not reasonably be expected to have a Material Adverse Effect.</w:t>
      </w:r>
    </w:p>
    <w:p>
      <w:pPr>
        <w:spacing w:after="0" w:line="171"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6.07 Maintenance of Insurance</w:t>
      </w:r>
      <w:r>
        <w:rPr>
          <w:rFonts w:ascii="Times New Roman" w:cs="Times New Roman" w:eastAsia="Times New Roman" w:hAnsi="Times New Roman"/>
          <w:sz w:val="18"/>
          <w:szCs w:val="18"/>
          <w:color w:val="auto"/>
        </w:rPr>
        <w:t>. Maintain with financially sound and reputable insurance companies not Affiliates of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71"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6.08 Compliance with Laws</w:t>
      </w:r>
      <w:r>
        <w:rPr>
          <w:rFonts w:ascii="Times New Roman" w:cs="Times New Roman" w:eastAsia="Times New Roman" w:hAnsi="Times New Roman"/>
          <w:sz w:val="18"/>
          <w:szCs w:val="18"/>
          <w:color w:val="auto"/>
        </w:rPr>
        <w:t>. Comply in all material respects with the requirements of all Laws (including Environmental Laws)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76" w:lineRule="exact"/>
        <w:rPr>
          <w:sz w:val="20"/>
          <w:szCs w:val="20"/>
          <w:color w:val="auto"/>
        </w:rPr>
      </w:pPr>
    </w:p>
    <w:p>
      <w:pPr>
        <w:jc w:val="both"/>
        <w:ind w:left="4"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6.09 Books and Records</w:t>
      </w:r>
      <w:r>
        <w:rPr>
          <w:rFonts w:ascii="Times New Roman" w:cs="Times New Roman" w:eastAsia="Times New Roman" w:hAnsi="Times New Roman"/>
          <w:sz w:val="18"/>
          <w:szCs w:val="18"/>
          <w:color w:val="auto"/>
        </w:rPr>
        <w:t>. Maintain proper books of record and account, in which full, true and correct entries in conformity with 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consistently applied shall be made of all financial transactions and matters involving the assets and business of the Borrower or such Subsidiary, as the case may be.</w:t>
      </w:r>
    </w:p>
    <w:p>
      <w:pPr>
        <w:spacing w:after="0" w:line="171" w:lineRule="exact"/>
        <w:rPr>
          <w:sz w:val="20"/>
          <w:szCs w:val="20"/>
          <w:color w:val="auto"/>
        </w:rPr>
      </w:pPr>
    </w:p>
    <w:p>
      <w:pPr>
        <w:jc w:val="both"/>
        <w:ind w:left="4" w:right="28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Section 6.10 Use of Proceeds</w:t>
      </w:r>
      <w:r>
        <w:rPr>
          <w:rFonts w:ascii="Times New Roman" w:cs="Times New Roman" w:eastAsia="Times New Roman" w:hAnsi="Times New Roman"/>
          <w:sz w:val="17"/>
          <w:szCs w:val="17"/>
          <w:color w:val="auto"/>
        </w:rPr>
        <w:t>. Use the proceeds of the Loans (a) to pay a portion of the consideration for the Acquisition, (b) to effectuate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Existing Target Credit Agreements Repayment, (c) to make any required payments in connection with the Existing Target Convertible Senior Notes,</w:t>
      </w:r>
    </w:p>
    <w:p>
      <w:pPr>
        <w:spacing w:after="0" w:line="1" w:lineRule="exact"/>
        <w:rPr>
          <w:sz w:val="20"/>
          <w:szCs w:val="20"/>
          <w:color w:val="auto"/>
        </w:rPr>
      </w:pPr>
    </w:p>
    <w:p>
      <w:pPr>
        <w:ind w:left="4" w:hanging="4"/>
        <w:spacing w:after="0" w:line="253" w:lineRule="auto"/>
        <w:tabs>
          <w:tab w:leader="none" w:pos="25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pay any fees and expenses incurred in connection with the Transactions and (e) for other purposes in connection with the Transactions, in each case, not in contravention of any Law or of any Loan Document and not to purchase or carry margin stock (within the meaning of Regulation U of the FRB) or to extend credit to others for the purpose of purchasing or carrying margin stock or to refund indebtedness originally incurred for such purpose, in each case so as to result in a violation of Regulation U of the FRB. For the avoidance of doubt, the Borrower shall not be required to apply any specific portion of the proceeds of the Loans to any particular use set forth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6.11 Anti-Corruption Laws</w:t>
      </w:r>
      <w:r>
        <w:rPr>
          <w:rFonts w:ascii="Times New Roman" w:cs="Times New Roman" w:eastAsia="Times New Roman" w:hAnsi="Times New Roman"/>
          <w:sz w:val="18"/>
          <w:szCs w:val="18"/>
          <w:color w:val="auto"/>
        </w:rPr>
        <w:t>. Conduct its businesses in compliance in all material respects with the United States Foreign Corrupt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Practices Act of 1977, the UK Bribery Act 2010 and other applicable anti-corruption legislation in other jurisdictions in which the Borrower and its Subsidiaries conduct business and maintain policies and procedures designed to promote and achieve compliance by the Borrower, its Subsidiaries and their respective directors, officers, employees and agents with such laws.</w:t>
      </w:r>
    </w:p>
    <w:p>
      <w:pPr>
        <w:spacing w:after="0" w:line="176"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6.12 Sanctions</w:t>
      </w:r>
      <w:r>
        <w:rPr>
          <w:rFonts w:ascii="Times New Roman" w:cs="Times New Roman" w:eastAsia="Times New Roman" w:hAnsi="Times New Roman"/>
          <w:sz w:val="18"/>
          <w:szCs w:val="18"/>
          <w:color w:val="auto"/>
        </w:rPr>
        <w:t>. Conduct its businesses in compliance in all material respects with all applicable Sanctions and maintain in effect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 policies and procedures designed to ensure, in its reasonable judgment, compliance in all material respects by the Borrower, its Subsidiaries and their respective directors, officers, employees and agents with applicable Sanctions.</w:t>
      </w:r>
    </w:p>
    <w:p>
      <w:pPr>
        <w:spacing w:after="0" w:line="10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64"/>
          </w:cols>
          <w:pgMar w:left="436" w:top="270" w:right="499" w:bottom="1440" w:gutter="0" w:footer="0" w:header="0"/>
        </w:sectPr>
      </w:pPr>
    </w:p>
    <w:bookmarkStart w:id="86" w:name="page87"/>
    <w:bookmarkEnd w:id="8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 long as any Lender shall have any Commitment hereunder or any Loan or other Obligation hereunder shall remain unpaid or unsatisfied,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shall not, nor shall it permit any Subsidiary to:</w:t>
      </w:r>
    </w:p>
    <w:p>
      <w:pPr>
        <w:spacing w:after="0" w:line="203"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7.01 Liens</w:t>
      </w:r>
      <w:r>
        <w:rPr>
          <w:rFonts w:ascii="Times New Roman" w:cs="Times New Roman" w:eastAsia="Times New Roman" w:hAnsi="Times New Roman"/>
          <w:sz w:val="18"/>
          <w:szCs w:val="18"/>
          <w:color w:val="auto"/>
        </w:rPr>
        <w:t>. Directly or indirectly create, incur, assume or suffer to exist any Lien upon any of its property, assets or revenues,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owned or hereafter acquired, other than the following:</w:t>
      </w:r>
    </w:p>
    <w:p>
      <w:pPr>
        <w:spacing w:after="0" w:line="159" w:lineRule="exact"/>
        <w:rPr>
          <w:sz w:val="20"/>
          <w:szCs w:val="20"/>
          <w:color w:val="auto"/>
        </w:rPr>
      </w:pPr>
    </w:p>
    <w:p>
      <w:pPr>
        <w:ind w:left="680" w:hanging="244"/>
        <w:spacing w:after="0"/>
        <w:tabs>
          <w:tab w:leader="none" w:pos="6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any Loan Document;</w:t>
      </w:r>
    </w:p>
    <w:p>
      <w:pPr>
        <w:spacing w:after="0" w:line="225"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Effective Date and any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any such Lien securing Indebtedness having an aggregate principal amount outstanding on the Effective Date in excess of $5,000,000 shall be described on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any renewal or extension of any Lien existing on the Effective Date shall only be permitted pursuant to this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to the extent that (i) the property covered thereby is not changed, (ii) the amount secured or benefited thereby is not increased except as contemplated by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340" w:firstLine="436"/>
        <w:spacing w:after="0" w:line="266" w:lineRule="auto"/>
        <w:tabs>
          <w:tab w:leader="none" w:pos="6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governmental charges or levies not yet due or which are being contested in good faith and by appropriate proceedings diligently conducted, if adequate reserves with respect thereto are maintained on the books of the applicable Person in accordance with GAAP;</w:t>
      </w:r>
    </w:p>
    <w:p>
      <w:pPr>
        <w:spacing w:after="0" w:line="175" w:lineRule="exact"/>
        <w:rPr>
          <w:rFonts w:ascii="Times New Roman" w:cs="Times New Roman" w:eastAsia="Times New Roman" w:hAnsi="Times New Roman"/>
          <w:sz w:val="18"/>
          <w:szCs w:val="18"/>
          <w:color w:val="auto"/>
        </w:rPr>
      </w:pPr>
    </w:p>
    <w:p>
      <w:pPr>
        <w:jc w:val="both"/>
        <w:ind w:right="320" w:firstLine="436"/>
        <w:spacing w:after="0" w:line="266"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liens and carriers’, warehousemen’s, mechanics’, materialmen’s, repairmen’s or other like Liens arising in the ordinary course of business which are not overdue for a period of more than sixty (60) days or which are being contested in good faith and by appropriate proceedings diligently conducted, if adequate reserves with respect thereto are maintained on the books of the applicable Person;</w:t>
      </w:r>
    </w:p>
    <w:p>
      <w:pPr>
        <w:spacing w:after="0" w:line="175" w:lineRule="exact"/>
        <w:rPr>
          <w:rFonts w:ascii="Times New Roman" w:cs="Times New Roman" w:eastAsia="Times New Roman" w:hAnsi="Times New Roman"/>
          <w:sz w:val="18"/>
          <w:szCs w:val="18"/>
          <w:color w:val="auto"/>
        </w:rPr>
      </w:pPr>
    </w:p>
    <w:p>
      <w:pPr>
        <w:ind w:right="240" w:firstLine="436"/>
        <w:spacing w:after="0" w:line="282" w:lineRule="auto"/>
        <w:tabs>
          <w:tab w:leader="none" w:pos="6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the ordinary course of business in connection with workers’ compensation, unemployment insurance and other social security legislation, other than any Lien imposed by ERISA;</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6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61"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judgments for the payment of money not constituting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436"/>
        <w:spacing w:after="0" w:line="261"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to be incurred by the Borrower’s Subsidiaries under </w:t>
      </w:r>
      <w:r>
        <w:rPr>
          <w:rFonts w:ascii="Times New Roman" w:cs="Times New Roman" w:eastAsia="Times New Roman" w:hAnsi="Times New Roman"/>
          <w:sz w:val="18"/>
          <w:szCs w:val="18"/>
          <w:u w:val="single" w:color="auto"/>
          <w:color w:val="auto"/>
        </w:rPr>
        <w:t>Section 7.02(e)</w:t>
      </w:r>
      <w:r>
        <w:rPr>
          <w:rFonts w:ascii="Times New Roman" w:cs="Times New Roman" w:eastAsia="Times New Roman" w:hAnsi="Times New Roman"/>
          <w:sz w:val="18"/>
          <w:szCs w:val="18"/>
          <w:color w:val="auto"/>
        </w:rPr>
        <w:t xml:space="preserve"> (and Indebtedness of the same type incurred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60"/>
          </w:cols>
          <w:pgMar w:left="440" w:top="266" w:right="499" w:bottom="1440" w:gutter="0" w:footer="0" w:header="0"/>
        </w:sectPr>
      </w:pPr>
    </w:p>
    <w:bookmarkStart w:id="87" w:name="page88"/>
    <w:bookmarkEnd w:id="87"/>
    <w:p>
      <w:pPr>
        <w:ind w:left="660" w:hanging="224"/>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leases or subleases granted to others not interfering in any material respect with the business of the Borrower or its Subsidiaries;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deemed to exist in connection with Investments in repurchase agreements;</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and customary banker’s Liens and rights of setoff arising in the ordinary course of business with respect to cash and cash equivalents in favor of banks or other depository institutions;</w:t>
      </w:r>
    </w:p>
    <w:p>
      <w:pPr>
        <w:spacing w:after="0" w:line="161"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collection bank arising under Section 4.210 of the Uniform Commercial Code on items in the course of collection;</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if any, existing on the Effective Date in favor of the administrative agent under the Existing Revolving Credit Agreement (as in effect on the Effective Date) in Cash Collateral (as defined in the Existing Revolving Credit Agreement, as in effect on the Effective Date);</w:t>
      </w:r>
    </w:p>
    <w:p>
      <w:pPr>
        <w:spacing w:after="0" w:line="161"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specific assets acquired by the Borrower or any of its Subsidiaries after the Effective Date securing Indebtedness of the type described in </w:t>
      </w:r>
      <w:r>
        <w:rPr>
          <w:rFonts w:ascii="Times New Roman" w:cs="Times New Roman" w:eastAsia="Times New Roman" w:hAnsi="Times New Roman"/>
          <w:sz w:val="18"/>
          <w:szCs w:val="18"/>
          <w:u w:val="single" w:color="auto"/>
          <w:color w:val="auto"/>
        </w:rPr>
        <w:t>Section 7.02(e)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such Liens existed on the property at the time of its acquisition or existed on the property of any Person at the time such Person became a Subsidiary, such Lien does not extend to or cover any other assets (other than proceeds or products thereof or accessions or additions thereto) and such Lien was not created in contemplation of such acquisition or such Person becoming a Subsidiary;</w:t>
      </w:r>
    </w:p>
    <w:p>
      <w:pPr>
        <w:spacing w:after="0" w:line="179"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other Indebtedness and other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aggregate outstanding principal amount of such Indebtedness and other obligations secured by such Liens, when taken together (without duplication) with the aggregate outstanding principal amount of Indebtedness incurred in reliance on </w:t>
      </w:r>
      <w:r>
        <w:rPr>
          <w:rFonts w:ascii="Times New Roman" w:cs="Times New Roman" w:eastAsia="Times New Roman" w:hAnsi="Times New Roman"/>
          <w:sz w:val="18"/>
          <w:szCs w:val="18"/>
          <w:u w:val="single" w:color="auto"/>
          <w:color w:val="auto"/>
        </w:rPr>
        <w:t>Section 7.02(j)</w:t>
      </w:r>
      <w:r>
        <w:rPr>
          <w:rFonts w:ascii="Times New Roman" w:cs="Times New Roman" w:eastAsia="Times New Roman" w:hAnsi="Times New Roman"/>
          <w:sz w:val="18"/>
          <w:szCs w:val="18"/>
          <w:color w:val="auto"/>
        </w:rPr>
        <w:t>, shall not exceed an amount equal to thirty-five percent (35%) of Consolidated Net Worth;</w:t>
      </w:r>
    </w:p>
    <w:p>
      <w:pPr>
        <w:spacing w:after="0" w:line="175" w:lineRule="exact"/>
        <w:rPr>
          <w:rFonts w:ascii="Times New Roman" w:cs="Times New Roman" w:eastAsia="Times New Roman" w:hAnsi="Times New Roman"/>
          <w:sz w:val="18"/>
          <w:szCs w:val="18"/>
          <w:color w:val="auto"/>
        </w:rPr>
      </w:pPr>
    </w:p>
    <w:p>
      <w:pPr>
        <w:ind w:right="540" w:firstLine="436"/>
        <w:spacing w:after="0" w:line="282"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payments of customs duties in connection with the importation of goods in the ordinary course of business;</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66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and customary rights of setoff and similar Liens granted in the ordinary course of business and arising under bona fide interest rate or currency hedging agreements, which are not for speculative purposes;</w:t>
      </w:r>
    </w:p>
    <w:p>
      <w:pPr>
        <w:spacing w:after="0" w:line="161" w:lineRule="exact"/>
        <w:rPr>
          <w:rFonts w:ascii="Times New Roman" w:cs="Times New Roman" w:eastAsia="Times New Roman" w:hAnsi="Times New Roman"/>
          <w:sz w:val="18"/>
          <w:szCs w:val="18"/>
          <w:color w:val="auto"/>
        </w:rPr>
      </w:pPr>
    </w:p>
    <w:p>
      <w:pPr>
        <w:ind w:right="520" w:firstLine="436"/>
        <w:spacing w:after="0" w:line="282" w:lineRule="auto"/>
        <w:tabs>
          <w:tab w:leader="none" w:pos="67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 Lien, the interests of landlords and lessors under operating leases permitted hereunder, and any precautionary Uniform Commercial Code financing statements filed in connection therewith;</w:t>
      </w:r>
    </w:p>
    <w:p>
      <w:pPr>
        <w:spacing w:after="0" w:line="161" w:lineRule="exact"/>
        <w:rPr>
          <w:rFonts w:ascii="Times New Roman" w:cs="Times New Roman" w:eastAsia="Times New Roman" w:hAnsi="Times New Roman"/>
          <w:sz w:val="18"/>
          <w:szCs w:val="18"/>
          <w:color w:val="auto"/>
        </w:rPr>
      </w:pPr>
    </w:p>
    <w:p>
      <w:pPr>
        <w:ind w:right="560" w:firstLine="436"/>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Uniform Commercial Code financing statement filings with respect to operating leases or consignment arrangements entered into by the Borrower or any of its Subsidiaries in the ordinary course of business; and</w:t>
      </w:r>
    </w:p>
    <w:p>
      <w:pPr>
        <w:spacing w:after="0" w:line="161"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deposits made in the ordinary course of business to secure obligations to insurance carriers providing casualty, liability or other insurance to the Borrower and its Subsidiaries and (ii) Liens on insurance policies and the proceeds thereof securing the financing of the premiums with respect thereto.</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7.02 Subsidiary Indebtedness</w:t>
      </w:r>
      <w:r>
        <w:rPr>
          <w:rFonts w:ascii="Times New Roman" w:cs="Times New Roman" w:eastAsia="Times New Roman" w:hAnsi="Times New Roman"/>
          <w:sz w:val="18"/>
          <w:szCs w:val="18"/>
          <w:color w:val="auto"/>
        </w:rPr>
        <w:t>. Directly or indirectly create, incur, assume or suffer to exist any Indebtedness of any Subsidiary, except: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Indebtedness under the Loan Documents;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70" w:right="439" w:bottom="1440" w:gutter="0" w:footer="0" w:header="0"/>
        </w:sectPr>
      </w:pPr>
    </w:p>
    <w:bookmarkStart w:id="88" w:name="page89"/>
    <w:bookmarkEnd w:id="88"/>
    <w:p>
      <w:pPr>
        <w:ind w:right="80" w:firstLine="436"/>
        <w:spacing w:after="0" w:line="261"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Indebtedness outstanding on the Effective Date and listed on </w:t>
      </w:r>
      <w:r>
        <w:rPr>
          <w:rFonts w:ascii="Times New Roman" w:cs="Times New Roman" w:eastAsia="Times New Roman" w:hAnsi="Times New Roman"/>
          <w:sz w:val="18"/>
          <w:szCs w:val="18"/>
          <w:u w:val="single" w:color="auto"/>
          <w:color w:val="auto"/>
        </w:rPr>
        <w:t>Schedule 7.02</w:t>
      </w:r>
      <w:r>
        <w:rPr>
          <w:rFonts w:ascii="Times New Roman" w:cs="Times New Roman" w:eastAsia="Times New Roman" w:hAnsi="Times New Roman"/>
          <w:sz w:val="18"/>
          <w:szCs w:val="18"/>
          <w:color w:val="auto"/>
        </w:rPr>
        <w:t xml:space="preserve"> and any refinancings, refundings, renewals or extensions thereof with Indebtedness of a similar type;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provided by any Subsidiary in respect of Indebtedness of any wholly-owned Subsidiary otherwise permitted by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(contingent or otherwise) of any Subsidiary existing or arising under any Swap Contract,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83" w:lineRule="exact"/>
        <w:rPr>
          <w:rFonts w:ascii="Times New Roman" w:cs="Times New Roman" w:eastAsia="Times New Roman" w:hAnsi="Times New Roman"/>
          <w:sz w:val="18"/>
          <w:szCs w:val="18"/>
          <w:color w:val="auto"/>
        </w:rPr>
      </w:pPr>
    </w:p>
    <w:p>
      <w:pPr>
        <w:ind w:right="340" w:firstLine="436"/>
        <w:spacing w:after="0" w:line="266" w:lineRule="auto"/>
        <w:tabs>
          <w:tab w:leader="none" w:pos="68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respect of capital leases, Synthetic Lease Obligations and purchase money obligations for fixed or capital assets within the limitations set forth in </w:t>
      </w:r>
      <w:r>
        <w:rPr>
          <w:rFonts w:ascii="Times New Roman" w:cs="Times New Roman" w:eastAsia="Times New Roman" w:hAnsi="Times New Roman"/>
          <w:sz w:val="18"/>
          <w:szCs w:val="18"/>
          <w:u w:val="single" w:color="auto"/>
          <w:color w:val="auto"/>
        </w:rPr>
        <w:t>Section 7.01(i)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aggregate amount of all such Indebtedness at any one time outstanding shall not exceed $100,000,000;</w:t>
      </w:r>
    </w:p>
    <w:p>
      <w:pPr>
        <w:spacing w:after="0" w:line="175" w:lineRule="exact"/>
        <w:rPr>
          <w:rFonts w:ascii="Times New Roman" w:cs="Times New Roman" w:eastAsia="Times New Roman" w:hAnsi="Times New Roman"/>
          <w:sz w:val="18"/>
          <w:szCs w:val="18"/>
          <w:color w:val="auto"/>
        </w:rPr>
      </w:pPr>
    </w:p>
    <w:p>
      <w:pPr>
        <w:ind w:right="480" w:firstLine="436"/>
        <w:spacing w:after="0" w:line="282" w:lineRule="auto"/>
        <w:tabs>
          <w:tab w:leader="none" w:pos="66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corporate credit cards, daylight or overnight overdraft facilities and other treasury management services, in each case incurred in the ordinary course of business;</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Indebtedness between one Subsidiary and another and between the Borrower and any Subsidiary;</w:t>
      </w:r>
    </w:p>
    <w:p>
      <w:pPr>
        <w:spacing w:after="0" w:line="225" w:lineRule="exact"/>
        <w:rPr>
          <w:rFonts w:ascii="Times New Roman" w:cs="Times New Roman" w:eastAsia="Times New Roman" w:hAnsi="Times New Roman"/>
          <w:sz w:val="18"/>
          <w:szCs w:val="18"/>
          <w:color w:val="auto"/>
        </w:rPr>
      </w:pPr>
    </w:p>
    <w:p>
      <w:pPr>
        <w:ind w:right="500" w:firstLine="436"/>
        <w:spacing w:after="0" w:line="282"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letters of credit (including standby and commercial), bankers’ acceptances, bank guaranties, surety bonds and similar instruments, in each case incurred in the ordinary course of business;</w:t>
      </w:r>
    </w:p>
    <w:p>
      <w:pPr>
        <w:spacing w:after="0" w:line="161" w:lineRule="exact"/>
        <w:rPr>
          <w:rFonts w:ascii="Times New Roman" w:cs="Times New Roman" w:eastAsia="Times New Roman" w:hAnsi="Times New Roman"/>
          <w:sz w:val="18"/>
          <w:szCs w:val="18"/>
          <w:color w:val="auto"/>
        </w:rPr>
      </w:pPr>
    </w:p>
    <w:p>
      <w:pPr>
        <w:ind w:right="40" w:firstLine="436"/>
        <w:spacing w:after="0" w:line="266"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Person, or in respect of assets, acquired after the Effective Date in an acquisition or other investment permitted pursuant to this Agreement, in each case to the extent such Indebtedness was existing at the time of such acquisition or other investment and was not incurred in contemplation thereof; and</w:t>
      </w:r>
    </w:p>
    <w:p>
      <w:pPr>
        <w:spacing w:after="0" w:line="175" w:lineRule="exact"/>
        <w:rPr>
          <w:rFonts w:ascii="Times New Roman" w:cs="Times New Roman" w:eastAsia="Times New Roman" w:hAnsi="Times New Roman"/>
          <w:sz w:val="18"/>
          <w:szCs w:val="18"/>
          <w:color w:val="auto"/>
        </w:rPr>
      </w:pPr>
    </w:p>
    <w:p>
      <w:pPr>
        <w:jc w:val="both"/>
        <w:ind w:right="880" w:firstLine="436"/>
        <w:spacing w:after="0" w:line="266"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that aggregate outstanding principal amount of such Indebtedness, when taken together (without duplication) with the aggregate outstanding principal amount of Indebtedness and other obligations secured by Liens incurred in reliance on </w:t>
      </w:r>
      <w:r>
        <w:rPr>
          <w:rFonts w:ascii="Times New Roman" w:cs="Times New Roman" w:eastAsia="Times New Roman" w:hAnsi="Times New Roman"/>
          <w:sz w:val="18"/>
          <w:szCs w:val="18"/>
          <w:u w:val="single" w:color="auto"/>
          <w:color w:val="auto"/>
        </w:rPr>
        <w:t>Section 7.01(p)</w:t>
      </w:r>
      <w:r>
        <w:rPr>
          <w:rFonts w:ascii="Times New Roman" w:cs="Times New Roman" w:eastAsia="Times New Roman" w:hAnsi="Times New Roman"/>
          <w:sz w:val="18"/>
          <w:szCs w:val="18"/>
          <w:color w:val="auto"/>
        </w:rPr>
        <w:t>, shall not exceed an amount equal to thirty-five percent (35%) of Consolidated Net Worth.</w:t>
      </w:r>
    </w:p>
    <w:p>
      <w:pPr>
        <w:spacing w:after="0" w:line="17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7.03 Fundamental Changes</w:t>
      </w:r>
      <w:r>
        <w:rPr>
          <w:rFonts w:ascii="Times New Roman" w:cs="Times New Roman" w:eastAsia="Times New Roman" w:hAnsi="Times New Roman"/>
          <w:sz w:val="18"/>
          <w:szCs w:val="18"/>
          <w:color w:val="auto"/>
        </w:rPr>
        <w:t>. Directly or indirectly merge, dissolve, liquidate, consolidate with or into another Person, or Dispose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in one transaction or in a series of transactions) all or substantially all of the assets of the Borrower and its Subsidiaries (whether now owned or hereafter acquired), taken as a whole, to or in favor of any Person, except that, so long as no Event of Default exists or would result therefrom:</w:t>
      </w:r>
    </w:p>
    <w:p>
      <w:pPr>
        <w:spacing w:after="0" w:line="175" w:lineRule="exact"/>
        <w:rPr>
          <w:sz w:val="20"/>
          <w:szCs w:val="20"/>
          <w:color w:val="auto"/>
        </w:rPr>
      </w:pPr>
    </w:p>
    <w:p>
      <w:pPr>
        <w:ind w:right="20" w:firstLine="436"/>
        <w:spacing w:after="0" w:line="266" w:lineRule="auto"/>
        <w:tabs>
          <w:tab w:leader="none" w:pos="68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may merge with: (i)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Borrower shall be the continuing or surviving Person; or (ii) any one or more other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when any wholly-owned Subsidiary is merging with another Subsidiary, a wholly-owned Subsidiary shall be the continuing or surviving Person;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89" w:name="page90"/>
    <w:bookmarkEnd w:id="89"/>
    <w:p>
      <w:pPr>
        <w:jc w:val="both"/>
        <w:ind w:right="440" w:firstLine="436"/>
        <w:spacing w:after="0" w:line="266"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Subsidiary may Dispose of all or substantially all of its assets (upon voluntary liquidation or otherwise) to the Borrower or to another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transferor in such a transaction is a wholly-owned Subsidiary, then the transferee must either be the Borrower or a wholly-owned Subsidiary;</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may (i) merge with any Person (that is not the Borrower or another Subsidiary), or (ii) Dispose of its assets to any Person (that is not the Borrower or another Subsidiary), in each case, so long as the aggregate net book value of the assets Disposed of in connection with all such transactions (whether by way of any such merger or by way of any such Disposition) in any fiscal year of the Borrower does not exceed an amount equal to seven and one-half of one percent (7.5%) of Consolidated Net Worth; and</w:t>
      </w:r>
    </w:p>
    <w:p>
      <w:pPr>
        <w:spacing w:after="0" w:line="179"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that is no longer used or useful in the business of the Borrower and its Subsidiaries (as reasonably determined by the Borrower) may be dissolved, liquidated or wound 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 such dissolution, liquidation or winding up, as applicable, would not reasonably be expected, individually or in the aggregate, to have a Material Adverse Effect, (ii) such dissolution, liquidation or winding up, as applicable, does not result in the Disposition of all or substantially all of the assets of the Borrower and its Subsidiaries, and (iii) in connection with any such dissolution, liquidation or winding up, any assets of such Subsidiary shall be (A) transferred to the Borrower and/or one or more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such Subsidiary is a wholly-owned Subsidiary, then the transferee must either be the Borrower or a wholly-owned Subsidiary), or (B) otherwise disposed of in a Disposition that is permitted pursuant to this Agreement (other than by reference to this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7.04 Change in Nature of Business</w:t>
      </w:r>
      <w:r>
        <w:rPr>
          <w:rFonts w:ascii="Times New Roman" w:cs="Times New Roman" w:eastAsia="Times New Roman" w:hAnsi="Times New Roman"/>
          <w:sz w:val="18"/>
          <w:szCs w:val="18"/>
          <w:color w:val="auto"/>
        </w:rPr>
        <w:t>. Directly or indirectly engage in any material line of business substantially different from those lines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business conducted by the Borrower and its Subsidiaries on the Effective Date, or any business substantially related, incidental or complementary thereto, including additional therapeutic areas.</w:t>
      </w:r>
    </w:p>
    <w:p>
      <w:pPr>
        <w:spacing w:after="0" w:line="171"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Section 7.05 Financial Covenant</w:t>
      </w:r>
      <w:r>
        <w:rPr>
          <w:rFonts w:ascii="Times New Roman" w:cs="Times New Roman" w:eastAsia="Times New Roman" w:hAnsi="Times New Roman"/>
          <w:sz w:val="17"/>
          <w:szCs w:val="17"/>
          <w:color w:val="auto"/>
        </w:rPr>
        <w:t>. Directly or indirectly permit the Consolidated Leverage Ratio as of the last day of any period of four (4) fiscal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quarters of the Borrower to be greater than 3.75 to 1.0 (the “</w:t>
      </w:r>
      <w:r>
        <w:rPr>
          <w:rFonts w:ascii="Times New Roman" w:cs="Times New Roman" w:eastAsia="Times New Roman" w:hAnsi="Times New Roman"/>
          <w:sz w:val="17"/>
          <w:szCs w:val="17"/>
          <w:u w:val="single" w:color="auto"/>
          <w:color w:val="auto"/>
        </w:rPr>
        <w:t>Financial Covenant Threshold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 upon the consummation of the Acquisition, for each of the four (4) fiscal quarters of the Borrower immediately following the consummation of the Acquisition (including the fiscal quarter of the Borrower in which the Acquisition is consummated), the maximum permitted Consolidated Leverage Ratio shall be increased to 4.25 to 1.0 and (b) upon notice by the Borrower to the Administrative Agent in connection with the consummation of any other acquisition permitted by this Agreement that occurs after the Closing Date with aggregate consideration (including the assumption or incurrence of Indebtedness in connection with such acquisition) equal to or in excess of $1,000,000,000, for each of the four (4) fiscal quarters of the Borrower immediately following the consummation of such acquisition (including the fiscal quarter of the Borrower in which such acquisition is consummated), the maximum permitted Consolidated Leverage Ratio shall be increased to 4.25 to 1.0 (each such period of increase in either </w:t>
      </w:r>
      <w:r>
        <w:rPr>
          <w:rFonts w:ascii="Times New Roman" w:cs="Times New Roman" w:eastAsia="Times New Roman" w:hAnsi="Times New Roman"/>
          <w:sz w:val="17"/>
          <w:szCs w:val="17"/>
          <w:u w:val="single" w:color="auto"/>
          <w:color w:val="auto"/>
        </w:rPr>
        <w:t>Section 7.05(a)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7.05(b)</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u w:val="single" w:color="auto"/>
          <w:color w:val="auto"/>
        </w:rPr>
        <w:t>Leverage Increase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Period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 there shall be no more than two Leverage Increase Periods during the term of this Agreement, (b) for the fiscal quarter of the Borrower immediately preceding the second Leverage Increase Period, the Consolidated Leverage Ratio as of the end of such fiscal quarter shall not be greater than 3.75 to 1.0, and (c) each Leverage Increase Period shall only apply with respect to the calculation of the financial covenant pursuant to this </w:t>
      </w:r>
      <w:r>
        <w:rPr>
          <w:rFonts w:ascii="Times New Roman" w:cs="Times New Roman" w:eastAsia="Times New Roman" w:hAnsi="Times New Roman"/>
          <w:sz w:val="17"/>
          <w:szCs w:val="17"/>
          <w:u w:val="single" w:color="auto"/>
          <w:color w:val="auto"/>
        </w:rPr>
        <w:t>Section 7.05</w:t>
      </w:r>
      <w:r>
        <w:rPr>
          <w:rFonts w:ascii="Times New Roman" w:cs="Times New Roman" w:eastAsia="Times New Roman" w:hAnsi="Times New Roman"/>
          <w:sz w:val="17"/>
          <w:szCs w:val="17"/>
          <w:color w:val="auto"/>
        </w:rPr>
        <w:t xml:space="preserve">. Notwithstanding the foregoing, if the Borrower does not elect a “material acquisition” step up in the financial covenant level set forth in the Existing Revolving Credit Agreement, the Financial Covenant Threshold shall automatically be deemed amended to match any lower Financial Covenant Threshold in the Existing Revolving Credit Agreement (notwithstanding anything to the contrary in </w:t>
      </w:r>
      <w:r>
        <w:rPr>
          <w:rFonts w:ascii="Times New Roman" w:cs="Times New Roman" w:eastAsia="Times New Roman" w:hAnsi="Times New Roman"/>
          <w:sz w:val="17"/>
          <w:szCs w:val="17"/>
          <w:u w:val="single" w:color="auto"/>
          <w:color w:val="auto"/>
        </w:rPr>
        <w:t>Section 10.01</w:t>
      </w:r>
      <w:r>
        <w:rPr>
          <w:rFonts w:ascii="Times New Roman" w:cs="Times New Roman" w:eastAsia="Times New Roman" w:hAnsi="Times New Roman"/>
          <w:sz w:val="17"/>
          <w:szCs w:val="17"/>
          <w:color w:val="auto"/>
        </w:rPr>
        <w:t>).</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90" w:name="page91"/>
    <w:bookmarkEnd w:id="90"/>
    <w:p>
      <w:pPr>
        <w:ind w:left="4"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7.06 Sanctions. </w:t>
      </w:r>
      <w:r>
        <w:rPr>
          <w:rFonts w:ascii="Times New Roman" w:cs="Times New Roman" w:eastAsia="Times New Roman" w:hAnsi="Times New Roman"/>
          <w:sz w:val="18"/>
          <w:szCs w:val="18"/>
          <w:color w:val="auto"/>
        </w:rPr>
        <w:t>Directly or, to the knowledge of the Borrower, indirectly, use the proceeds of any Loan, or lend, contribute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available such Loan or the proceeds of any Loan to any Person, to fund any activities of or business with any individual or entity, or in any Designated Jurisdiction, that, at the time of such funding, is the subject of Sanctions, or in any other manner that will result in a violation by any Person (including any Person participating in the transaction, whether as a Lender, an Arranger, the Administrative Agent or otherwise) of Sanctions.</w:t>
      </w:r>
    </w:p>
    <w:p>
      <w:pPr>
        <w:spacing w:after="0" w:line="176"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7.07 Anti-Corruption. </w:t>
      </w:r>
      <w:r>
        <w:rPr>
          <w:rFonts w:ascii="Times New Roman" w:cs="Times New Roman" w:eastAsia="Times New Roman" w:hAnsi="Times New Roman"/>
          <w:sz w:val="18"/>
          <w:szCs w:val="18"/>
          <w:color w:val="auto"/>
        </w:rPr>
        <w:t>Directly or, to the knowledge of the Borrower, indirectly use the proceeds of any Loan for any purpose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breach the United States Foreign Corrupt Practices Act of 1977, the UK Bribery Act 2010 or other applicable anti-corruption legislation in other jurisdictions in which the Borrower and its Subsidiaries conduct business.</w:t>
      </w:r>
    </w:p>
    <w:p>
      <w:pPr>
        <w:spacing w:after="0" w:line="38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8.01 Events of Default</w:t>
      </w:r>
      <w:r>
        <w:rPr>
          <w:rFonts w:ascii="Times New Roman" w:cs="Times New Roman" w:eastAsia="Times New Roman" w:hAnsi="Times New Roman"/>
          <w:sz w:val="18"/>
          <w:szCs w:val="18"/>
          <w:color w:val="auto"/>
        </w:rPr>
        <w:t>. Any of the following shall constitute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40" w:firstLine="436"/>
        <w:spacing w:after="0" w:line="276" w:lineRule="auto"/>
        <w:tabs>
          <w:tab w:leader="none" w:pos="689"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Non-Payment</w:t>
      </w:r>
      <w:r>
        <w:rPr>
          <w:rFonts w:ascii="Times New Roman" w:cs="Times New Roman" w:eastAsia="Times New Roman" w:hAnsi="Times New Roman"/>
          <w:sz w:val="17"/>
          <w:szCs w:val="17"/>
          <w:color w:val="auto"/>
        </w:rPr>
        <w:t>. The Borrower fails to pay (i) when and as required to be paid herein and in the currency required hereunder, any amount of principal of any Loan, or (ii) within three (3) days after the same becomes due, any interest on any Loan, or any fee due hereunder, or (iii) within five</w:t>
      </w:r>
    </w:p>
    <w:p>
      <w:pPr>
        <w:ind w:left="264" w:hanging="264"/>
        <w:spacing w:after="0"/>
        <w:tabs>
          <w:tab w:leader="none" w:pos="26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same becomes due, any other amount payable hereunder or under any other Loan Document; or</w:t>
      </w:r>
    </w:p>
    <w:p>
      <w:pPr>
        <w:spacing w:after="0" w:line="206" w:lineRule="exact"/>
        <w:rPr>
          <w:rFonts w:ascii="Times New Roman" w:cs="Times New Roman" w:eastAsia="Times New Roman" w:hAnsi="Times New Roman"/>
          <w:sz w:val="18"/>
          <w:szCs w:val="18"/>
          <w:color w:val="auto"/>
        </w:rPr>
      </w:pPr>
    </w:p>
    <w:p>
      <w:pPr>
        <w:ind w:left="4" w:firstLine="436"/>
        <w:spacing w:after="0" w:line="282" w:lineRule="auto"/>
        <w:tabs>
          <w:tab w:leader="none" w:pos="69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xml:space="preserve">. The Borrower fails to perform or observe any term, covenant or agreement contained in any of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6.05(a)</w:t>
      </w:r>
      <w:r>
        <w:rPr>
          <w:rFonts w:ascii="Times New Roman" w:cs="Times New Roman" w:eastAsia="Times New Roman" w:hAnsi="Times New Roman"/>
          <w:sz w:val="18"/>
          <w:szCs w:val="18"/>
          <w:color w:val="auto"/>
        </w:rPr>
        <w:t xml:space="preserve"> (as to legal existence) or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8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w:t>
      </w:r>
      <w:r>
        <w:rPr>
          <w:rFonts w:ascii="Times New Roman" w:cs="Times New Roman" w:eastAsia="Times New Roman" w:hAnsi="Times New Roman"/>
          <w:sz w:val="18"/>
          <w:szCs w:val="18"/>
          <w:color w:val="auto"/>
        </w:rPr>
        <w:t xml:space="preserve">. The Borrower fails to perform or observe any other covenant or agreement (not specified in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contained in any Loan Document on its part to be performed or observed and such failure continues for thirty (30) days after receipt of written notice thereof by the Borrower from the Administrative Agent or the Required Lenders; or</w:t>
      </w:r>
    </w:p>
    <w:p>
      <w:pPr>
        <w:spacing w:after="0" w:line="175"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9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Any representation, warranty, certification or statement of fact made or deemed made by or on behalf of the Borrower herein, in any other Loan Document, or in any document delivered in connection herewith or therewith shall be incorrect or misleading in any material respect when made or deemed made; or</w:t>
      </w:r>
    </w:p>
    <w:p>
      <w:pPr>
        <w:spacing w:after="0" w:line="175" w:lineRule="exact"/>
        <w:rPr>
          <w:rFonts w:ascii="Times New Roman" w:cs="Times New Roman" w:eastAsia="Times New Roman" w:hAnsi="Times New Roman"/>
          <w:sz w:val="18"/>
          <w:szCs w:val="18"/>
          <w:color w:val="auto"/>
        </w:rPr>
      </w:pPr>
    </w:p>
    <w:p>
      <w:pPr>
        <w:ind w:left="4" w:right="80" w:firstLine="436"/>
        <w:spacing w:after="0" w:line="253" w:lineRule="auto"/>
        <w:tabs>
          <w:tab w:leader="none" w:pos="68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Cross-Default</w:t>
      </w:r>
      <w:r>
        <w:rPr>
          <w:rFonts w:ascii="Times New Roman" w:cs="Times New Roman" w:eastAsia="Times New Roman" w:hAnsi="Times New Roman"/>
          <w:sz w:val="18"/>
          <w:szCs w:val="18"/>
          <w:color w:val="auto"/>
        </w:rPr>
        <w:t xml:space="preserve">. (i) The Borrower or any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described in the preceding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66" w:right="459" w:bottom="1440" w:gutter="0" w:footer="0" w:header="0"/>
        </w:sectPr>
      </w:pPr>
    </w:p>
    <w:bookmarkStart w:id="91" w:name="page92"/>
    <w:bookmarkEnd w:id="91"/>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stated maturity, or such Guarantee to become payable or cash collateral in respect thereof to be demanded;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shall not apply to (x) secured Indebtedness that becomes due as a result of the voluntary sale or transfer of the property or assets securing such Indebtedness or as a result of a casualty event affecting such property or assets or (y) a “change of control” put arising as a result of any acquisition by the Borrower or any of its Subsidiaries of any entity or its subsidiaries or any business thereof so long as such “change of control” put is contained in the Indebtedness of such entity or its subsidiaries or any business thereof and in each case any such Indebtedness that is put in accordance with the terms of such Indebtedness is paid as required by the terms of such Indebtedness or (ii) 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defined in such Swap Contract) under such Swap Contract as to which the Borrower or any Subsidiary is an Affected Party (as defined in such Swap Contract) and, in either event, the Swap Termination Value owed by the Borrower or such Subsidiary as a result thereof is greater than the Threshold Amount; or</w:t>
      </w:r>
    </w:p>
    <w:p>
      <w:pPr>
        <w:spacing w:after="0" w:line="194" w:lineRule="exact"/>
        <w:rPr>
          <w:sz w:val="20"/>
          <w:szCs w:val="20"/>
          <w:color w:val="auto"/>
        </w:rPr>
      </w:pPr>
    </w:p>
    <w:p>
      <w:pPr>
        <w:ind w:left="4" w:right="140" w:firstLine="436"/>
        <w:spacing w:after="0" w:line="255" w:lineRule="auto"/>
        <w:tabs>
          <w:tab w:leader="none" w:pos="66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 Etc.</w:t>
      </w:r>
      <w:r>
        <w:rPr>
          <w:rFonts w:ascii="Times New Roman" w:cs="Times New Roman" w:eastAsia="Times New Roman" w:hAnsi="Times New Roman"/>
          <w:sz w:val="18"/>
          <w:szCs w:val="18"/>
          <w:color w:val="auto"/>
        </w:rPr>
        <w:t xml:space="preserve"> The Borrower or any of its Significant Subsidiaries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88" w:lineRule="exact"/>
        <w:rPr>
          <w:rFonts w:ascii="Times New Roman" w:cs="Times New Roman" w:eastAsia="Times New Roman" w:hAnsi="Times New Roman"/>
          <w:sz w:val="18"/>
          <w:szCs w:val="18"/>
          <w:color w:val="auto"/>
        </w:rPr>
      </w:pPr>
    </w:p>
    <w:p>
      <w:pPr>
        <w:jc w:val="both"/>
        <w:ind w:left="4" w:right="220" w:firstLine="436"/>
        <w:spacing w:after="0" w:line="266" w:lineRule="auto"/>
        <w:tabs>
          <w:tab w:leader="none" w:pos="69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Pay Debts; Attachment</w:t>
      </w:r>
      <w:r>
        <w:rPr>
          <w:rFonts w:ascii="Times New Roman" w:cs="Times New Roman" w:eastAsia="Times New Roman" w:hAnsi="Times New Roman"/>
          <w:sz w:val="18"/>
          <w:szCs w:val="18"/>
          <w:color w:val="auto"/>
        </w:rPr>
        <w:t>. (i) The Borrower or any Significant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p>
      <w:pPr>
        <w:spacing w:after="0" w:line="175" w:lineRule="exact"/>
        <w:rPr>
          <w:rFonts w:ascii="Times New Roman" w:cs="Times New Roman" w:eastAsia="Times New Roman" w:hAnsi="Times New Roman"/>
          <w:sz w:val="18"/>
          <w:szCs w:val="18"/>
          <w:color w:val="auto"/>
        </w:rPr>
      </w:pPr>
    </w:p>
    <w:p>
      <w:pPr>
        <w:ind w:left="4" w:right="120" w:firstLine="436"/>
        <w:spacing w:after="0" w:line="272" w:lineRule="auto"/>
        <w:tabs>
          <w:tab w:leader="none" w:pos="699"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Judgments</w:t>
      </w:r>
      <w:r>
        <w:rPr>
          <w:rFonts w:ascii="Times New Roman" w:cs="Times New Roman" w:eastAsia="Times New Roman" w:hAnsi="Times New Roman"/>
          <w:sz w:val="17"/>
          <w:szCs w:val="17"/>
          <w:color w:val="auto"/>
        </w:rPr>
        <w:t>. There is entered against the Borrower or any Subsidiary one or more final judgments or orders for the payment of money in an aggregate amount (as to all such judgments or orders) exceeding the Threshold Amount (to the extent not covered by independent third-party insurance as to which the insurer does not dispute coverage) and (i) enforcement proceedings are commenced by any creditor upon such judgment or order, or</w:t>
      </w:r>
    </w:p>
    <w:p>
      <w:pPr>
        <w:spacing w:after="0" w:line="1" w:lineRule="exact"/>
        <w:rPr>
          <w:rFonts w:ascii="Times New Roman" w:cs="Times New Roman" w:eastAsia="Times New Roman" w:hAnsi="Times New Roman"/>
          <w:sz w:val="17"/>
          <w:szCs w:val="17"/>
          <w:color w:val="auto"/>
        </w:rPr>
      </w:pPr>
    </w:p>
    <w:p>
      <w:pPr>
        <w:ind w:left="4" w:right="120" w:hanging="4"/>
        <w:spacing w:after="0" w:line="260" w:lineRule="auto"/>
        <w:tabs>
          <w:tab w:leader="none" w:pos="26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period of sixty (60) consecutive days during which a stay of enforcement of such judgment, by reason of a pending appeal or otherwise, is not in effect; or</w:t>
      </w:r>
    </w:p>
    <w:p>
      <w:pPr>
        <w:spacing w:after="0" w:line="181"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5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 An ERISA Event occurs with respect to a Pension Plan or Multiemployer Plan which has resulted or could reasonably be expected to result in liability of the Borrower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83" w:lineRule="exact"/>
        <w:rPr>
          <w:rFonts w:ascii="Times New Roman" w:cs="Times New Roman" w:eastAsia="Times New Roman" w:hAnsi="Times New Roman"/>
          <w:sz w:val="18"/>
          <w:szCs w:val="18"/>
          <w:color w:val="auto"/>
        </w:rPr>
      </w:pPr>
    </w:p>
    <w:p>
      <w:pPr>
        <w:ind w:left="4" w:right="160" w:firstLine="436"/>
        <w:spacing w:after="0" w:line="261" w:lineRule="auto"/>
        <w:tabs>
          <w:tab w:leader="none" w:pos="65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The Loan Documents, at any time after their execution and delivery and for any reason other than as expressly permitted hereunder or thereunder or satisfaction in full of all the Obligations, cease to be in full force and effect; or the Borrower or any other Person contests in any manner the validity or enforceability of the Loan Documents; or the Borrower denies that it has any or further liability or obligation under the Loan Documents, or purports to revoke, terminate or rescind the Loan Documents; or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4"/>
          </w:cols>
          <w:pgMar w:left="436" w:top="270" w:right="439" w:bottom="1440" w:gutter="0" w:footer="0" w:header="0"/>
        </w:sectPr>
      </w:pPr>
    </w:p>
    <w:bookmarkStart w:id="92" w:name="page93"/>
    <w:bookmarkEnd w:id="9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(k)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w:t>
      </w:r>
    </w:p>
    <w:p>
      <w:pPr>
        <w:spacing w:after="0" w:line="22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8.02 Remedies Upon Event of Default</w:t>
      </w:r>
      <w:r>
        <w:rPr>
          <w:rFonts w:ascii="Times New Roman" w:cs="Times New Roman" w:eastAsia="Times New Roman" w:hAnsi="Times New Roman"/>
          <w:sz w:val="18"/>
          <w:szCs w:val="18"/>
          <w:color w:val="auto"/>
        </w:rPr>
        <w:t>. If any Event of Default occurs and is continuing, the Administrative Agent shall, at the request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may, with the consent of, the Required Lenders, take any or all of the following actions:</w:t>
      </w:r>
    </w:p>
    <w:p>
      <w:pPr>
        <w:spacing w:after="0" w:line="159" w:lineRule="exact"/>
        <w:rPr>
          <w:sz w:val="20"/>
          <w:szCs w:val="20"/>
          <w:color w:val="auto"/>
        </w:rPr>
      </w:pPr>
    </w:p>
    <w:p>
      <w:pPr>
        <w:ind w:left="680" w:hanging="244"/>
        <w:spacing w:after="0"/>
        <w:tabs>
          <w:tab w:leader="none" w:pos="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of each Lender to make Loans to be terminated, whereupon such commitments shall be terminated;</w:t>
      </w:r>
    </w:p>
    <w:p>
      <w:pPr>
        <w:spacing w:after="0" w:line="225"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and the Lenders all rights and remedies available to it and the Lenders under the Loan Documents;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upon the occurrence of an actual or deemed entry of an order for relief with respect to the Borrower under the Bankruptcy Code of the United States, the obligation of each Lender to make Loans shall automatically terminate, the unpaid principal amount of all outstanding Loans and all interest and other amounts as aforesaid shall automatically become due and payable, in each case without further act of the Administrative Agent or any Lender.</w:t>
      </w:r>
    </w:p>
    <w:p>
      <w:pPr>
        <w:spacing w:after="0" w:line="176"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8.03 Application of Funds</w:t>
      </w:r>
      <w:r>
        <w:rPr>
          <w:rFonts w:ascii="Times New Roman" w:cs="Times New Roman" w:eastAsia="Times New Roman" w:hAnsi="Times New Roman"/>
          <w:sz w:val="18"/>
          <w:szCs w:val="18"/>
          <w:color w:val="auto"/>
        </w:rPr>
        <w:t>. After the exercise of remedies provided for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after the Loans have automatically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immediately due and payable as set forth in the proviso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or if at any time insufficient funds are received by and available to the Administrative Agent to pay fully all Obligations then due hereunder, any amounts received on account of the Obligations shall be applied by the Administrative Agent in the following order:</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reasonable fees, 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and interest) payable to the Lenders (including reasonable fees, charges and disbursements of counsel to the respective Lenders to the extent the Borrower is obligated to reimburse such amounts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interest on the Loans and other Obligations, ratably among the Lenders in proportion to the respective amounts described in this </w:t>
      </w:r>
      <w:r>
        <w:rPr>
          <w:rFonts w:ascii="Times New Roman" w:cs="Times New Roman" w:eastAsia="Times New Roman" w:hAnsi="Times New Roman"/>
          <w:sz w:val="18"/>
          <w:szCs w:val="18"/>
          <w:u w:val="single" w:color="auto"/>
          <w:color w:val="auto"/>
        </w:rPr>
        <w:t>clause Third</w:t>
      </w:r>
      <w:r>
        <w:rPr>
          <w:rFonts w:ascii="Times New Roman" w:cs="Times New Roman" w:eastAsia="Times New Roman" w:hAnsi="Times New Roman"/>
          <w:sz w:val="18"/>
          <w:szCs w:val="18"/>
          <w:color w:val="auto"/>
        </w:rPr>
        <w:t xml:space="preserve"> payable to them;</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unpaid principal of the Loans, ratably among the Lenders in proportion to the respective amounts described in this </w:t>
      </w:r>
      <w:r>
        <w:rPr>
          <w:rFonts w:ascii="Times New Roman" w:cs="Times New Roman" w:eastAsia="Times New Roman" w:hAnsi="Times New Roman"/>
          <w:sz w:val="18"/>
          <w:szCs w:val="18"/>
          <w:u w:val="single" w:color="auto"/>
          <w:color w:val="auto"/>
        </w:rPr>
        <w:t>clause Fourth</w:t>
      </w:r>
      <w:r>
        <w:rPr>
          <w:rFonts w:ascii="Times New Roman" w:cs="Times New Roman" w:eastAsia="Times New Roman" w:hAnsi="Times New Roman"/>
          <w:sz w:val="18"/>
          <w:szCs w:val="18"/>
          <w:color w:val="auto"/>
        </w:rPr>
        <w:t xml:space="preserve"> held by them; and</w:t>
      </w:r>
    </w:p>
    <w:p>
      <w:pPr>
        <w:spacing w:after="0" w:line="162" w:lineRule="exact"/>
        <w:rPr>
          <w:sz w:val="20"/>
          <w:szCs w:val="20"/>
          <w:color w:val="auto"/>
        </w:rPr>
      </w:pPr>
    </w:p>
    <w:p>
      <w:pPr>
        <w:jc w:val="center"/>
        <w:ind w:right="200"/>
        <w:spacing w:after="0" w:line="454" w:lineRule="auto"/>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indefeasibly paid in full, to the Borrower or as otherwise required by Law. 55</w:t>
      </w:r>
    </w:p>
    <w:p>
      <w:pPr>
        <w:sectPr>
          <w:pgSz w:w="11900" w:h="16838" w:orient="portrait"/>
          <w:cols w:equalWidth="0" w:num="1">
            <w:col w:w="10940"/>
          </w:cols>
          <w:pgMar w:left="440" w:top="270" w:right="5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03"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9.01 Appointment and Authority</w:t>
      </w:r>
      <w:r>
        <w:rPr>
          <w:rFonts w:ascii="Times New Roman" w:cs="Times New Roman" w:eastAsia="Times New Roman" w:hAnsi="Times New Roman"/>
          <w:sz w:val="18"/>
          <w:szCs w:val="18"/>
          <w:color w:val="auto"/>
        </w:rPr>
        <w:t>. Each of the Lenders hereby irrevocably appoints U.S. Bank to act on its behalf as the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with respect to </w:t>
      </w:r>
      <w:r>
        <w:rPr>
          <w:rFonts w:ascii="Times New Roman" w:cs="Times New Roman" w:eastAsia="Times New Roman" w:hAnsi="Times New Roman"/>
          <w:sz w:val="18"/>
          <w:szCs w:val="18"/>
          <w:u w:val="single" w:color="auto"/>
          <w:color w:val="auto"/>
        </w:rPr>
        <w:t>Sections 9.06</w:t>
      </w:r>
      <w:r>
        <w:rPr>
          <w:rFonts w:ascii="Times New Roman" w:cs="Times New Roman" w:eastAsia="Times New Roman" w:hAnsi="Times New Roman"/>
          <w:sz w:val="18"/>
          <w:szCs w:val="18"/>
          <w:color w:val="auto"/>
        </w:rPr>
        <w:t>, the provisions of this Article are solely for the benefit of the Administrative Agent and the Lenders, and the Borrower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9.02 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the Borrower or any Subsidiary or other Affiliate thereof as if such Person were not the Administrative Agent hereunder and without any duty to account therefor to the Lenders or to provide notice or consent of the Lenders with respect thereto.</w:t>
      </w:r>
    </w:p>
    <w:p>
      <w:pPr>
        <w:spacing w:after="0" w:line="183" w:lineRule="exact"/>
        <w:rPr>
          <w:sz w:val="20"/>
          <w:szCs w:val="20"/>
          <w:color w:val="auto"/>
        </w:rPr>
      </w:pPr>
    </w:p>
    <w:p>
      <w:pPr>
        <w:jc w:val="both"/>
        <w:ind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9.03 Exculpatory Provisions</w:t>
      </w:r>
      <w:r>
        <w:rPr>
          <w:rFonts w:ascii="Times New Roman" w:cs="Times New Roman" w:eastAsia="Times New Roman" w:hAnsi="Times New Roman"/>
          <w:sz w:val="18"/>
          <w:szCs w:val="18"/>
          <w:color w:val="auto"/>
        </w:rPr>
        <w:t>. Neither the Administrative Agent nor any Arranger, as applicable, shall have any duties or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those expressly set forth herein and in the other Loan Documents, and each such Person’s duties hereunder shall be administrative in nature. Without limiting the generality of the foregoing, neither the Administrative Agent nor any Arranger, as applicable:</w:t>
      </w:r>
    </w:p>
    <w:p>
      <w:pPr>
        <w:spacing w:after="0" w:line="175" w:lineRule="exact"/>
        <w:rPr>
          <w:sz w:val="20"/>
          <w:szCs w:val="20"/>
          <w:color w:val="auto"/>
        </w:rPr>
      </w:pPr>
    </w:p>
    <w:p>
      <w:pPr>
        <w:ind w:left="680" w:hanging="244"/>
        <w:spacing w:after="0"/>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subject to any fiduciary or other implied duties, regardless of whether a Default has occurred and is continuing;</w:t>
      </w:r>
    </w:p>
    <w:p>
      <w:pPr>
        <w:spacing w:after="0" w:line="225" w:lineRule="exact"/>
        <w:rPr>
          <w:rFonts w:ascii="Times New Roman" w:cs="Times New Roman" w:eastAsia="Times New Roman" w:hAnsi="Times New Roman"/>
          <w:sz w:val="18"/>
          <w:szCs w:val="18"/>
          <w:color w:val="auto"/>
        </w:rPr>
      </w:pPr>
    </w:p>
    <w:p>
      <w:pPr>
        <w:ind w:right="120" w:firstLine="436"/>
        <w:spacing w:after="0" w:line="255" w:lineRule="auto"/>
        <w:tabs>
          <w:tab w:leader="none" w:pos="6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or</w:t>
      </w:r>
    </w:p>
    <w:p>
      <w:pPr>
        <w:spacing w:after="0" w:line="188" w:lineRule="exact"/>
        <w:rPr>
          <w:rFonts w:ascii="Times New Roman" w:cs="Times New Roman" w:eastAsia="Times New Roman" w:hAnsi="Times New Roman"/>
          <w:sz w:val="18"/>
          <w:szCs w:val="18"/>
          <w:color w:val="auto"/>
        </w:rPr>
      </w:pPr>
    </w:p>
    <w:p>
      <w:pPr>
        <w:ind w:right="120" w:firstLine="436"/>
        <w:spacing w:after="0" w:line="258" w:lineRule="auto"/>
        <w:tabs>
          <w:tab w:leader="none" w:pos="6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except as expressly set forth herein and in the other Loan Documents, have any duty or responsibility to disclose, and shall not be liable for the failure to disclose, to any Lender any credit or other information concerning the business, prospects, operations, property, financial and other condition or creditworthiness of the Borrower or any of its Affiliates that is communicated to, obtained or in the possession of, the Administrative Agent, any Arranger or any of their respective Related Parties in any capacity, except for notices, reports and other documents expressly required to be furnished to the Lenders by the Administrative Agent herein.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66" w:right="459" w:bottom="1440" w:gutter="0" w:footer="0" w:header="0"/>
        </w:sectPr>
      </w:pPr>
    </w:p>
    <w:bookmarkStart w:id="94" w:name="page95"/>
    <w:bookmarkEnd w:id="94"/>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in writing to the Administrative Agent by the Borrower or a Lender.</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85"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9.04 Reliance by Administrative Agent</w:t>
      </w:r>
      <w:r>
        <w:rPr>
          <w:rFonts w:ascii="Times New Roman" w:cs="Times New Roman" w:eastAsia="Times New Roman" w:hAnsi="Times New Roman"/>
          <w:sz w:val="18"/>
          <w:szCs w:val="18"/>
          <w:color w:val="auto"/>
        </w:rPr>
        <w:t>. The Administrative Agent shall be entitled to rely upon, and shall be fully protected in relying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9.05 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95" w:name="page96"/>
    <w:bookmarkEnd w:id="9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9.06 Resignation of Administrative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54" w:lineRule="auto"/>
        <w:tabs>
          <w:tab w:leader="none" w:pos="68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at any time give notice of its resignation to the Lenders and the Borrower. Upon receipt of any such notice of resignation, the Required Lenders shall have the right, with approval of the Borrower, which approval shall not be unreasonably withheld or delayed and which shall not be required if a Default or Event of Default has occurred and is then continuing, to appoint a successor, which shall be a bank with an office in the United States, or an Affiliate of any such bank with an office in the United States. If no such successor shall have been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then the retiring Administrative Agent may (but shall not be obligated to) on behalf of the Lenders, appoint a successor Administrative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no event shall any successor Administrative Agent be a Defaulting Lender. Whether or not a successor has been appointed, such resignation shall become effective in accordance with such notice on the Resignation Effective Date.</w:t>
      </w:r>
    </w:p>
    <w:p>
      <w:pPr>
        <w:spacing w:after="0" w:line="188"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serving as Administrative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Required Lenders may, to the extent permitted by applicable Law by notice in writing to the Borrower and such Person remove such Person as the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effect from the Resignation Effective Date or the Removal Effective Date (as applicable) (i) the retiring or removed Administrative Agent shall be discharged from its duties and obligations hereunder and under the other Loan Documents and (ii)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18"/>
          <w:szCs w:val="18"/>
          <w:u w:val="single" w:color="auto"/>
          <w:color w:val="auto"/>
        </w:rPr>
        <w:t>Section 9.06(c)</w:t>
      </w:r>
      <w:r>
        <w:rPr>
          <w:rFonts w:ascii="Times New Roman" w:cs="Times New Roman" w:eastAsia="Times New Roman" w:hAnsi="Times New Roman"/>
          <w:sz w:val="18"/>
          <w:szCs w:val="18"/>
          <w:color w:val="auto"/>
        </w:rPr>
        <w:t xml:space="preser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66" w:right="459" w:bottom="1440" w:gutter="0" w:footer="0" w:header="0"/>
        </w:sectPr>
      </w:pPr>
    </w:p>
    <w:bookmarkStart w:id="96" w:name="page97"/>
    <w:bookmarkEnd w:id="96"/>
    <w:p>
      <w:pPr>
        <w:ind w:left="4"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9.07 Non-Reliance on Administrative Agent, Arrangers and Other Lenders</w:t>
      </w:r>
      <w:r>
        <w:rPr>
          <w:rFonts w:ascii="Times New Roman" w:cs="Times New Roman" w:eastAsia="Times New Roman" w:hAnsi="Times New Roman"/>
          <w:sz w:val="18"/>
          <w:szCs w:val="18"/>
          <w:color w:val="auto"/>
        </w:rPr>
        <w:t>. Each Lender expressly acknowledges that neither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nor any Arranger has made any representation or warranty to it, and that no act by the Administrative Agent or any Arranger hereafter taken, including any consent to, and acceptance of any assignment or review of the affairs of the Borrower or any Affiliate thereof, shall be deemed to constitute any representation or warranty by the Administrative Agent or any Arranger to any Lender as to any matter, including whether the Administrative Agent or any Arranger has disclosed material information in their (or their respective Related Parties’) possession. Each Lender represents to the Administrative Agent and each Arranger that it has, independently and without reliance upon the Administrative Agent, any Arranger, any other Lender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Borrower and its Subsidiaries, and all applicable bank or other regulatory Laws relating to the transactions contemplated hereby, and made its own decision to enter into this Agreement and to extend credit to the Borrower hereunder. Each Lender also acknowledges that it will, independently and without reliance upon the Administrative Agent, any Arranger,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 Each Lender represents and warrants that (a) the Loan Documents set forth the terms of a commercial lending facility and (b)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7" w:lineRule="exact"/>
        <w:rPr>
          <w:sz w:val="20"/>
          <w:szCs w:val="20"/>
          <w:color w:val="auto"/>
        </w:rPr>
      </w:pPr>
    </w:p>
    <w:p>
      <w:pPr>
        <w:ind w:left="4" w:right="6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9.08 No Other Duties, Etc</w:t>
      </w:r>
      <w:r>
        <w:rPr>
          <w:rFonts w:ascii="Times New Roman" w:cs="Times New Roman" w:eastAsia="Times New Roman" w:hAnsi="Times New Roman"/>
          <w:sz w:val="18"/>
          <w:szCs w:val="18"/>
          <w:color w:val="auto"/>
        </w:rPr>
        <w:t>. Anything herein to the contrary notwithstanding, none of the bookrunners, the arrangers,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co-documentation agent or the syndication agent shall have any powers, duties or responsibilities under this Agreement or any of the other Loan Documents, except in its capacity, as applicable, as the Administrative Agent or a Lender hereunder.</w:t>
      </w:r>
    </w:p>
    <w:p>
      <w:pPr>
        <w:spacing w:after="0" w:line="171"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Section 9.09 Administrative Agent May File Proofs of Claim. </w:t>
      </w:r>
      <w:r>
        <w:rPr>
          <w:rFonts w:ascii="Times New Roman" w:cs="Times New Roman" w:eastAsia="Times New Roman" w:hAnsi="Times New Roman"/>
          <w:sz w:val="17"/>
          <w:szCs w:val="17"/>
          <w:color w:val="auto"/>
        </w:rPr>
        <w:t>In case of the pendency of any receivership, insolvency, liquidation, bankruptcy,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reorganization, arrangement, adjustment, composition or other judicial proceeding relative to the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ind w:left="4" w:right="20" w:hanging="4"/>
        <w:spacing w:after="0" w:line="251" w:lineRule="auto"/>
        <w:tabs>
          <w:tab w:leader="none" w:pos="24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66" w:right="459" w:bottom="1440" w:gutter="0" w:footer="0" w:header="0"/>
        </w:sectPr>
      </w:pPr>
    </w:p>
    <w:bookmarkStart w:id="97" w:name="page98"/>
    <w:bookmarkEnd w:id="97"/>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9.10 Certain ERISA Matters.</w:t>
      </w:r>
    </w:p>
    <w:p>
      <w:pPr>
        <w:spacing w:after="0" w:line="121" w:lineRule="exact"/>
        <w:rPr>
          <w:sz w:val="20"/>
          <w:szCs w:val="20"/>
          <w:color w:val="auto"/>
        </w:rPr>
      </w:pPr>
    </w:p>
    <w:p>
      <w:pPr>
        <w:ind w:left="440" w:right="60" w:firstLine="419"/>
        <w:spacing w:after="0" w:line="266" w:lineRule="auto"/>
        <w:tabs>
          <w:tab w:leader="none" w:pos="110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w:t>
      </w:r>
    </w:p>
    <w:p>
      <w:pPr>
        <w:spacing w:after="0" w:line="67"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596"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67" w:lineRule="exact"/>
        <w:rPr>
          <w:rFonts w:ascii="Times New Roman" w:cs="Times New Roman" w:eastAsia="Times New Roman" w:hAnsi="Times New Roman"/>
          <w:sz w:val="18"/>
          <w:szCs w:val="18"/>
          <w:color w:val="auto"/>
        </w:rPr>
      </w:pPr>
    </w:p>
    <w:p>
      <w:pPr>
        <w:ind w:left="980" w:right="80" w:firstLine="408"/>
        <w:spacing w:after="0" w:line="256" w:lineRule="auto"/>
        <w:tabs>
          <w:tab w:leader="none" w:pos="1646"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79" w:lineRule="exact"/>
        <w:rPr>
          <w:rFonts w:ascii="Times New Roman" w:cs="Times New Roman" w:eastAsia="Times New Roman" w:hAnsi="Times New Roman"/>
          <w:sz w:val="18"/>
          <w:szCs w:val="18"/>
          <w:color w:val="auto"/>
        </w:rPr>
      </w:pPr>
    </w:p>
    <w:p>
      <w:pPr>
        <w:ind w:left="980" w:right="80" w:firstLine="408"/>
        <w:spacing w:after="0" w:line="255" w:lineRule="auto"/>
        <w:tabs>
          <w:tab w:leader="none" w:pos="1696"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w:t>
      </w:r>
    </w:p>
    <w:p>
      <w:pPr>
        <w:spacing w:after="0" w:line="2" w:lineRule="exact"/>
        <w:rPr>
          <w:rFonts w:ascii="Times New Roman" w:cs="Times New Roman" w:eastAsia="Times New Roman" w:hAnsi="Times New Roman"/>
          <w:sz w:val="18"/>
          <w:szCs w:val="18"/>
          <w:color w:val="auto"/>
        </w:rPr>
      </w:pPr>
    </w:p>
    <w:p>
      <w:pPr>
        <w:ind w:left="980" w:right="180" w:firstLine="7"/>
        <w:spacing w:after="0" w:line="255" w:lineRule="auto"/>
        <w:tabs>
          <w:tab w:leader="none" w:pos="123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77" w:lineRule="exact"/>
        <w:rPr>
          <w:rFonts w:ascii="Times New Roman" w:cs="Times New Roman" w:eastAsia="Times New Roman" w:hAnsi="Times New Roman"/>
          <w:sz w:val="18"/>
          <w:szCs w:val="18"/>
          <w:color w:val="auto"/>
        </w:rPr>
      </w:pPr>
    </w:p>
    <w:p>
      <w:pPr>
        <w:ind w:left="980" w:right="440" w:firstLine="408"/>
        <w:spacing w:after="0" w:line="282" w:lineRule="auto"/>
        <w:tabs>
          <w:tab w:leader="none" w:pos="1686"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53"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unless either (1) </w:t>
      </w:r>
      <w:r>
        <w:rPr>
          <w:rFonts w:ascii="Times New Roman" w:cs="Times New Roman" w:eastAsia="Times New Roman" w:hAnsi="Times New Roman"/>
          <w:sz w:val="18"/>
          <w:szCs w:val="18"/>
          <w:u w:val="single" w:color="auto"/>
          <w:color w:val="auto"/>
        </w:rPr>
        <w:t>subsection (a)(i)</w:t>
      </w:r>
      <w:r>
        <w:rPr>
          <w:rFonts w:ascii="Times New Roman" w:cs="Times New Roman" w:eastAsia="Times New Roman" w:hAnsi="Times New Roman"/>
          <w:sz w:val="18"/>
          <w:szCs w:val="18"/>
          <w:color w:val="auto"/>
        </w:rPr>
        <w:t xml:space="preserve"> above is true with respect to a Lender, or (2) a Lender has provided another representation, warranty and covenant in accordance with </w:t>
      </w:r>
      <w:r>
        <w:rPr>
          <w:rFonts w:ascii="Times New Roman" w:cs="Times New Roman" w:eastAsia="Times New Roman" w:hAnsi="Times New Roman"/>
          <w:sz w:val="18"/>
          <w:szCs w:val="18"/>
          <w:u w:val="single" w:color="auto"/>
          <w:color w:val="auto"/>
        </w:rPr>
        <w:t>subsection (a)(iv)</w:t>
      </w:r>
      <w:r>
        <w:rPr>
          <w:rFonts w:ascii="Times New Roman" w:cs="Times New Roman" w:eastAsia="Times New Roman" w:hAnsi="Times New Roman"/>
          <w:sz w:val="18"/>
          <w:szCs w:val="18"/>
          <w:color w:val="auto"/>
        </w:rPr>
        <w:t xml:space="preserve"> above,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other Loan Document or any documents related hereto or thereto).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98" w:name="page99"/>
    <w:bookmarkEnd w:id="98"/>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9.11 Recovery of Erroneous Payments. </w:t>
      </w:r>
      <w:r>
        <w:rPr>
          <w:rFonts w:ascii="Times New Roman" w:cs="Times New Roman" w:eastAsia="Times New Roman" w:hAnsi="Times New Roman"/>
          <w:sz w:val="18"/>
          <w:szCs w:val="18"/>
          <w:color w:val="auto"/>
        </w:rPr>
        <w:t>Without limitation of any other provision in this Agreement, if at any time the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makes a payment hereunder in error to any Lender, whether or not in respect of an Obligation due and owing by the Borrower at such time, where such payment is a Rescindable Amount, then in any such event, each Lender receiving a Rescindable Amount severally agrees to repay to the Administrative Agent forthwith on demand the Rescindable Amount received by such Lender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10.01 Amendments, Etc</w:t>
      </w:r>
      <w:r>
        <w:rPr>
          <w:rFonts w:ascii="Times New Roman" w:cs="Times New Roman" w:eastAsia="Times New Roman" w:hAnsi="Times New Roman"/>
          <w:sz w:val="18"/>
          <w:szCs w:val="18"/>
          <w:color w:val="auto"/>
        </w:rPr>
        <w:t>. No amendment or waiver of any provision of this Agreement or any other Loan Document, and no consent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departure by the Borrower therefrom, shall be effective unless in writing signed by the Required Lenders and the Borrower,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80" w:hanging="244"/>
        <w:spacing w:after="0"/>
        <w:tabs>
          <w:tab w:leader="none" w:pos="6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waiver or consent shall:</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07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the Commitment of any Lender (or reinstate any Commitment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without the written consent of such Lender whose Commitment is being extended or increased (it being understood and agreed that a waiver of any condition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of any Default is not considered an extension or increase in the Commitment of any Lender);</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2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by this Agreement or any other Loan Document for any payment of principal, interest, fees or other amounts due to the Lenders (or any of them) hereunder or under any other Loan Document without the written consent of each Lender entitled to receive such payment;</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the rate of interest specified herein on, any Loan, or (subject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final proviso to this</w:t>
      </w:r>
    </w:p>
    <w:p>
      <w:pPr>
        <w:spacing w:after="0" w:line="27" w:lineRule="exact"/>
        <w:rPr>
          <w:sz w:val="20"/>
          <w:szCs w:val="20"/>
          <w:color w:val="auto"/>
        </w:rPr>
      </w:pPr>
    </w:p>
    <w:p>
      <w:pPr>
        <w:jc w:val="both"/>
        <w:ind w:left="440" w:right="3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xml:space="preserve">) any fees or other amounts payable hereunder or under any other Loan Document without the written consent of each Lender entitled to receive such payment of principal, interest, fees or other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only the consent of the Required Lenders shall be necessary to amend the definition of “Default Rate” or to waive any obligation of the Borrower to pay interest at the Default Rate;</w:t>
      </w:r>
    </w:p>
    <w:p>
      <w:pPr>
        <w:spacing w:after="0" w:line="78" w:lineRule="exact"/>
        <w:rPr>
          <w:sz w:val="20"/>
          <w:szCs w:val="20"/>
          <w:color w:val="auto"/>
        </w:rPr>
      </w:pPr>
    </w:p>
    <w:p>
      <w:pPr>
        <w:ind w:left="440" w:right="20" w:firstLine="419"/>
        <w:spacing w:after="0" w:line="266" w:lineRule="auto"/>
        <w:tabs>
          <w:tab w:leader="none" w:pos="116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any provision of this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xml:space="preserve"> or the definition of “Required Lenders” or any other provision hereof specifying the number or percentage of Lenders required to amend, modify or waive any term or provision in the Loan Documents without the written consent of each Lender directly affected thereby;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66" w:right="459" w:bottom="1440" w:gutter="0" w:footer="0" w:header="0"/>
        </w:sectPr>
      </w:pPr>
    </w:p>
    <w:bookmarkStart w:id="99" w:name="page100"/>
    <w:bookmarkEnd w:id="99"/>
    <w:p>
      <w:pPr>
        <w:ind w:left="444" w:right="220" w:firstLine="419"/>
        <w:spacing w:after="0" w:line="282" w:lineRule="auto"/>
        <w:tabs>
          <w:tab w:leader="none" w:pos="112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change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each Lender directly affected thereby; or</w:t>
      </w:r>
    </w:p>
    <w:p>
      <w:pPr>
        <w:spacing w:after="0" w:line="53"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the Borrower without the written consent of each Lender;</w:t>
      </w:r>
    </w:p>
    <w:p>
      <w:pPr>
        <w:spacing w:after="0" w:line="225"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notwithstanding anything to the contrary herein: (A) unless also signed by the Administrative Agent, no amendment, waiver or consent shall affect the rights or duties of the Administrative Agent under this Agreement or any other Loan Document; (B) the Agent Fee Letter may be amended, or rights or privileges thereunder waived, in a writing executed only by the parties thereto; (C)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(1) the Commitment of any Defaulting Lender may not be increased or extended without the consent of such Lender and (2) any waiver, amendment or modification requiring the consent of all Lenders or each affected Lender that by its terms affects any Defaulting Lender disproportionately adversely relative to other affected Lenders shall require the consent of such Defaulting Lender; (D)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(E) the Required Lenders shall determine whether or not to allow the Borrower to use cash collateral in the context of a bankruptcy or insolvency proceeding and such determination shall be binding on all of the Lenders;</w:t>
      </w:r>
    </w:p>
    <w:p>
      <w:pPr>
        <w:spacing w:after="0" w:line="4" w:lineRule="exact"/>
        <w:rPr>
          <w:sz w:val="20"/>
          <w:szCs w:val="20"/>
          <w:color w:val="auto"/>
        </w:rPr>
      </w:pPr>
    </w:p>
    <w:p>
      <w:pPr>
        <w:ind w:left="4" w:right="80" w:hanging="4"/>
        <w:spacing w:after="0" w:line="252" w:lineRule="auto"/>
        <w:tabs>
          <w:tab w:leader="none" w:pos="26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implement any Term SOFR Successor Rate or any Term SOFR Conforming Changes, in each case in accordance with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this Agreement and any other Loan Document may be amended for such purpose as provided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(G) with respect to SOFR or Term SOFR, the Administrative Agent will have the right to make Term SOFR Conforming Changes from time to time and, notwithstanding anything to the contrary herein or in any other Loan Document, any amendments implementing such Term SOFR Conforming Changes will become effective without any further action or consent of any other party to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 respect to any such amendment effected, the Administrative Agent shall post each such amendment implementing such Term SOFR Conforming Changes to the Borrower and the Lenders reasonably promptly after such amendment becomes effective.</w:t>
      </w:r>
    </w:p>
    <w:p>
      <w:pPr>
        <w:spacing w:after="0" w:line="188" w:lineRule="exact"/>
        <w:rPr>
          <w:rFonts w:ascii="Times New Roman" w:cs="Times New Roman" w:eastAsia="Times New Roman" w:hAnsi="Times New Roman"/>
          <w:sz w:val="18"/>
          <w:szCs w:val="18"/>
          <w:color w:val="auto"/>
        </w:rPr>
      </w:pPr>
    </w:p>
    <w:p>
      <w:pPr>
        <w:ind w:left="4" w:right="160" w:firstLine="436"/>
        <w:spacing w:after="0" w:line="255" w:lineRule="auto"/>
        <w:tabs>
          <w:tab w:leader="none" w:pos="69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herein to the contrary, this Agreement may be amended (or amended and restated) with the written consent of the Required Lenders, the Administrative Agent, and the Borrower (i) to add one or more additional credit facilities to this Agreement, to permit the extensions of credit from time to time outstanding hereunder and the accrued interest and fees in respect thereof to share ratably in the benefits of this Agreement and the other Loan Documents with the Loans and the accrued interest and fees in respect thereof and to include appropriately the Lenders holding such credit facilities in any determination of the Required Lenders and (ii) to change, modify or alter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or any other provision hereof relating to the pro rata sharing of payments among the Lenders to the extent necessary to effectuate any of the amendments (or amendments and restatements) enumerated in </w:t>
      </w:r>
      <w:r>
        <w:rPr>
          <w:rFonts w:ascii="Times New Roman" w:cs="Times New Roman" w:eastAsia="Times New Roman" w:hAnsi="Times New Roman"/>
          <w:sz w:val="18"/>
          <w:szCs w:val="18"/>
          <w:u w:val="single" w:color="auto"/>
          <w:color w:val="auto"/>
        </w:rPr>
        <w:t>subsection (b)(i)</w:t>
      </w:r>
      <w:r>
        <w:rPr>
          <w:rFonts w:ascii="Times New Roman" w:cs="Times New Roman" w:eastAsia="Times New Roman" w:hAnsi="Times New Roman"/>
          <w:sz w:val="18"/>
          <w:szCs w:val="18"/>
          <w:color w:val="auto"/>
        </w:rPr>
        <w:t xml:space="preserve"> above.</w:t>
      </w:r>
    </w:p>
    <w:p>
      <w:pPr>
        <w:spacing w:after="0" w:line="188" w:lineRule="exact"/>
        <w:rPr>
          <w:rFonts w:ascii="Times New Roman" w:cs="Times New Roman" w:eastAsia="Times New Roman" w:hAnsi="Times New Roman"/>
          <w:sz w:val="18"/>
          <w:szCs w:val="18"/>
          <w:color w:val="auto"/>
        </w:rPr>
      </w:pPr>
    </w:p>
    <w:p>
      <w:pPr>
        <w:ind w:left="4" w:right="300" w:firstLine="436"/>
        <w:spacing w:after="0" w:line="261" w:lineRule="auto"/>
        <w:tabs>
          <w:tab w:leader="none" w:pos="68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herein to the contrary, the Administrative Agent and the Borrower may amend, modify or supplement this Agreement or any other Loan Document to cure or correct administrative errors or omissions, any ambiguity, omission, defect or inconsistency or to effect administrative changes, and such amendment shall become effective without any further consent of any other party to such Loan Document so long as (i) such amendment, modification or supplement does not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70" w:right="459" w:bottom="1440" w:gutter="0" w:footer="0" w:header="0"/>
        </w:sectPr>
      </w:pPr>
    </w:p>
    <w:bookmarkStart w:id="100" w:name="page101"/>
    <w:bookmarkEnd w:id="10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adversely affect the rights of any Lender or other holder of Obligations in any material respect and (ii) the Lenders shall have received at least five</w:t>
      </w:r>
    </w:p>
    <w:p>
      <w:pPr>
        <w:spacing w:after="0" w:line="27" w:lineRule="exact"/>
        <w:rPr>
          <w:sz w:val="20"/>
          <w:szCs w:val="20"/>
          <w:color w:val="auto"/>
        </w:rPr>
      </w:pPr>
    </w:p>
    <w:p>
      <w:pPr>
        <w:ind w:left="4" w:right="160" w:hanging="4"/>
        <w:spacing w:after="0" w:line="260" w:lineRule="auto"/>
        <w:tabs>
          <w:tab w:leader="none" w:pos="2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written notice thereof and the Administrative Agent shall not have received, within five (5) Business Days of the date of such notice to the Lenders, a written notice from the Required Lenders stating that the Required Lenders object to such amendment.</w:t>
      </w:r>
    </w:p>
    <w:p>
      <w:pPr>
        <w:spacing w:after="0" w:line="181" w:lineRule="exact"/>
        <w:rPr>
          <w:rFonts w:ascii="Times New Roman" w:cs="Times New Roman" w:eastAsia="Times New Roman" w:hAnsi="Times New Roman"/>
          <w:sz w:val="18"/>
          <w:szCs w:val="18"/>
          <w:color w:val="auto"/>
        </w:rPr>
      </w:pPr>
    </w:p>
    <w:p>
      <w:pPr>
        <w:ind w:left="4" w:right="180" w:firstLine="436"/>
        <w:spacing w:after="0" w:line="258" w:lineRule="auto"/>
        <w:tabs>
          <w:tab w:leader="none" w:pos="699"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herein to the contrary, this Agreement may be amended (or amended and restated) without the consent of any Lender if, upon giving effect to such amendment (or amendment and restatement), such Lender shall no longer be a party to this Agreement (as so amended (or amended and restated)), the Commitment of such Lender shall have terminated, such Lender shall have no other commitment or other obligation hereunder and such Lender shall have been paid in full all principal, interest and other amounts owing to it or accrued for its account under this Agreement.</w:t>
      </w:r>
    </w:p>
    <w:p>
      <w:pPr>
        <w:spacing w:after="0" w:line="183" w:lineRule="exact"/>
        <w:rPr>
          <w:rFonts w:ascii="Times New Roman" w:cs="Times New Roman" w:eastAsia="Times New Roman" w:hAnsi="Times New Roman"/>
          <w:sz w:val="18"/>
          <w:szCs w:val="18"/>
          <w:color w:val="auto"/>
        </w:rPr>
      </w:pPr>
    </w:p>
    <w:p>
      <w:pPr>
        <w:ind w:left="4" w:firstLine="436"/>
        <w:spacing w:after="0" w:line="269" w:lineRule="auto"/>
        <w:tabs>
          <w:tab w:leader="none" w:pos="689"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any amendment, waiver or consent under this Agreement or any other Loan Document that by its terms (A) affects the rights or duties under this Agreement or such other Loan Document of Lenders under one or more Classes (each, an “</w:t>
      </w:r>
      <w:r>
        <w:rPr>
          <w:rFonts w:ascii="Times New Roman" w:cs="Times New Roman" w:eastAsia="Times New Roman" w:hAnsi="Times New Roman"/>
          <w:sz w:val="17"/>
          <w:szCs w:val="17"/>
          <w:u w:val="single" w:color="auto"/>
          <w:color w:val="auto"/>
        </w:rPr>
        <w:t>Affected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Class</w:t>
      </w:r>
      <w:r>
        <w:rPr>
          <w:rFonts w:ascii="Times New Roman" w:cs="Times New Roman" w:eastAsia="Times New Roman" w:hAnsi="Times New Roman"/>
          <w:sz w:val="17"/>
          <w:szCs w:val="17"/>
          <w:color w:val="auto"/>
        </w:rPr>
        <w:t>”) (but not other Classes) may be effected by an agreement or agreements in writing entered into by the Borrower, the Administrative Agent and the requisite number or percentage in interest of Lenders of each Affected Class that would be required to consent thereto if the Lenders under such Affected Class were the only Lenders hereunder (and no consent of any other Lender shall be required for the effectiveness of such amendment); and</w:t>
      </w:r>
    </w:p>
    <w:p>
      <w:pPr>
        <w:spacing w:after="0" w:line="2" w:lineRule="exact"/>
        <w:rPr>
          <w:rFonts w:ascii="Times New Roman" w:cs="Times New Roman" w:eastAsia="Times New Roman" w:hAnsi="Times New Roman"/>
          <w:sz w:val="17"/>
          <w:szCs w:val="17"/>
          <w:color w:val="auto"/>
        </w:rPr>
      </w:pPr>
    </w:p>
    <w:p>
      <w:pPr>
        <w:ind w:left="4" w:right="5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affects the rights or duties under this Agreement or such other Loan Document of Lenders under one or more Classes disproportionately and adversely vis-à-vis the Lenders under another Class in any material respect shall require the consent of the Lenders under such adversely-affected Class that would otherwise be required to consent thereto if the Lenders under such Class were the only Lenders hereunder.</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10.02 Notices; Effectiveness; Electronic Communication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580" w:firstLine="436"/>
        <w:spacing w:after="0" w:line="261" w:lineRule="auto"/>
        <w:tabs>
          <w:tab w:leader="none" w:pos="68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71"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08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Borrower or the Administrative Agent,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44" w:right="20" w:firstLine="419"/>
        <w:spacing w:after="0" w:line="266" w:lineRule="auto"/>
        <w:tabs>
          <w:tab w:leader="none" w:pos="113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76"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70" w:right="459" w:bottom="1440" w:gutter="0" w:footer="0" w:header="0"/>
        </w:sectPr>
      </w:pPr>
    </w:p>
    <w:bookmarkStart w:id="101" w:name="page102"/>
    <w:bookmarkEnd w:id="101"/>
    <w:p>
      <w:pPr>
        <w:ind w:right="20" w:firstLine="436"/>
        <w:spacing w:after="0" w:line="256" w:lineRule="auto"/>
        <w:tabs>
          <w:tab w:leader="none" w:pos="69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Electronic Communications</w:t>
      </w:r>
      <w:r>
        <w:rPr>
          <w:rFonts w:ascii="Times New Roman" w:cs="Times New Roman" w:eastAsia="Times New Roman" w:hAnsi="Times New Roman"/>
          <w:sz w:val="18"/>
          <w:szCs w:val="18"/>
          <w:color w:val="auto"/>
        </w:rPr>
        <w:t xml:space="preserve">. Notices and other communications to the Lenders hereunder may be delivered or furnished by electronic communication (including e 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foregoing shall not apply to notices to any Lender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approval of such procedures may be limited to particular notices or communications.</w:t>
      </w:r>
    </w:p>
    <w:p>
      <w:pPr>
        <w:spacing w:after="0" w:line="18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subsection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for both of the foregoing </w:t>
      </w:r>
      <w:r>
        <w:rPr>
          <w:rFonts w:ascii="Times New Roman" w:cs="Times New Roman" w:eastAsia="Times New Roman" w:hAnsi="Times New Roman"/>
          <w:sz w:val="18"/>
          <w:szCs w:val="18"/>
          <w:u w:val="single" w:color="auto"/>
          <w:color w:val="auto"/>
        </w:rPr>
        <w:t>subsections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sz w:val="20"/>
          <w:szCs w:val="20"/>
          <w:color w:val="auto"/>
        </w:rPr>
      </w:pPr>
    </w:p>
    <w:p>
      <w:pPr>
        <w:ind w:right="20" w:firstLine="436"/>
        <w:spacing w:after="0" w:line="253" w:lineRule="auto"/>
        <w:tabs>
          <w:tab w:leader="none" w:pos="68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or notices through the Platform, any other electronic platform or electronic messaging services,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no event shall any Agent Party have any liability to the Borrower, any Lender or any other Person for indirect, special, incidental, consequential or punitive damages (as opposed to direct or actual damages).</w:t>
      </w:r>
    </w:p>
    <w:p>
      <w:pPr>
        <w:spacing w:after="0" w:line="187"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xml:space="preserve"> Each of the Borrower and the Administrative Agent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70" w:right="479" w:bottom="1440" w:gutter="0" w:footer="0" w:header="0"/>
        </w:sectPr>
      </w:pPr>
    </w:p>
    <w:bookmarkStart w:id="102" w:name="page103"/>
    <w:bookmarkEnd w:id="102"/>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76" w:lineRule="exact"/>
        <w:rPr>
          <w:sz w:val="20"/>
          <w:szCs w:val="20"/>
          <w:color w:val="auto"/>
        </w:rPr>
      </w:pPr>
    </w:p>
    <w:p>
      <w:pPr>
        <w:ind w:right="20" w:firstLine="436"/>
        <w:spacing w:after="0" w:line="255" w:lineRule="auto"/>
        <w:tabs>
          <w:tab w:leader="none" w:pos="68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and Lenders</w:t>
      </w:r>
      <w:r>
        <w:rPr>
          <w:rFonts w:ascii="Times New Roman" w:cs="Times New Roman" w:eastAsia="Times New Roman" w:hAnsi="Times New Roman"/>
          <w:sz w:val="18"/>
          <w:szCs w:val="18"/>
          <w:color w:val="auto"/>
        </w:rPr>
        <w:t>. The Administrative Agent and the Lenders shall be entitled to rely and act upon any notices (including telephonic or electronic notices and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8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10.03 No Waiver; Cumulative Remedies; Enforcement</w:t>
      </w:r>
      <w:r>
        <w:rPr>
          <w:rFonts w:ascii="Times New Roman" w:cs="Times New Roman" w:eastAsia="Times New Roman" w:hAnsi="Times New Roman"/>
          <w:sz w:val="18"/>
          <w:szCs w:val="18"/>
          <w:color w:val="auto"/>
        </w:rPr>
        <w:t>. No failure by any Lender or the Administrative Agent to exercise, and no delay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for the benefit of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(c) any Lender from filing proofs of claim or appearing and filing pleadings on its own behalf during the pendency of a proceeding relative to the Borrower under any Debtor Relief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and (ii) in addition to the matters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10.04 Expenses; Indemnity; Damage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58" w:lineRule="auto"/>
        <w:tabs>
          <w:tab w:leader="none" w:pos="6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 shall pay (i) all reasonable and documented out of pocket expenses incurred by U.S. Bank, in its capacity as an Arranger, the Administrative Agent, and their respective Affiliates (but limited, in the case of legal expenses, to the reasonable and documented out of pocket fees, charges and disbursements of (x) one primary counsel to the Administrative Agent, (y) if necessary, one firm of local counsel retained by the Administrative Agent in each relevant jurisdiction, and (z) if necessary, one firm of specialty counsel retained by the Administrative Agent in each relevant specialty), in connection with the syndication of the credit facilities provided for herein, the preparation,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103" w:name="page104"/>
    <w:bookmarkEnd w:id="103"/>
    <w:p>
      <w:pPr>
        <w:ind w:left="4"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negotiation, execution, delivery and administration of this Agreement and the other Loan Documents or any amendments, modifications or waivers of the provisions hereof or thereof (whether or not the transactions contemplated hereby or thereby shall be consummated) and (ii) all reasonable out of pocket expenses incurred by the Administrative Agent or any Lender (including the reasonable out of pocket fees, charges and disbursements of (w) one primary counsel for the Administrative Agent and the Lenders, taken as a whole, (x) if necessary, one firm of local counsel in each relevant jurisdiction,</w:t>
      </w:r>
    </w:p>
    <w:p>
      <w:pPr>
        <w:spacing w:after="0" w:line="3" w:lineRule="exact"/>
        <w:rPr>
          <w:sz w:val="20"/>
          <w:szCs w:val="20"/>
          <w:color w:val="auto"/>
        </w:rPr>
      </w:pPr>
    </w:p>
    <w:p>
      <w:pPr>
        <w:ind w:left="4" w:right="80" w:hanging="4"/>
        <w:spacing w:after="0" w:line="253" w:lineRule="auto"/>
        <w:tabs>
          <w:tab w:leader="none" w:pos="25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necessary, one firm of specialty counsel in each relevant specialty, and (z) in the case of any actual or perceived conflict of interest, one additional counsel to each group of affected persons similarly situated, taken as a whole), in connection with the enforcement or protection of its rights (A) in connection with this Agreement and the other Loan Documents, including its rights under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or (B) in connection with the Loans made hereunder, including all such out of pocket expenses incurred during any workout, restructuring or negotiations in respect of such Loans.</w:t>
      </w:r>
    </w:p>
    <w:p>
      <w:pPr>
        <w:spacing w:after="0" w:line="188"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99"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each Arranger, the Administrative Agent (and any sub-agent thereof)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against, and hold each Indemnitee harmless from, any and all losses, claims, damages, liabilities and related reasonable expenses (but limited, in the case of legal expenses, to the reasonable and documented out of pocket expenses of (w) one primary counsel to the Indemnitees, taken as a whole, (x) if necessary, one firm of local counsel to the Indemnitees, taken as a whole, in each relevant jurisdiction, (y) if necessary, one firm of specialty counsel to the Indemnitees, taken as a whole, in each relevant specialty, and (z) in the case of any actual or perceived conflict of interest, one additional counsel to each group of similarly situated Indemnitees, taken as a whole), incurred by any Indemnitee or asserted against any Indemnitee by any Person (including the Borrower) arising out of, in connection with, or as a result of (i) the execution or delivery of this Agreement, any other Loan Document or any agreement or instrument contemplated hereby or thereby (including any Indemnitee’s reliance on any Communication executed using an Electronic Signature, or in the form of an Electronic Record, that such Indemnitee reasonably believes is made by any Responsible Officer),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w:t>
      </w:r>
    </w:p>
    <w:p>
      <w:pPr>
        <w:spacing w:after="0" w:line="2"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and regardless of whether any Indemnitee is a party thereto, in all cases, whether or not caused by or arising, in whole or in part, out of the comparative, contributory or sole negligence of the Indemnitee;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indemnity shall not, as to any Indemnitee, be available to the extent that such losses, claims, damages, liabilities or related expenses (A) are determined by a court of competent jurisdiction by final and nonappealable judgment to have resulted from the bad faith, gross negligence or willful misconduct of such Indemnitee or its Related Indemnified Parties in performing services in connection with this Agreement, (B) result from a claim brought by the Borrower against an Indemnitee for material breach of such Indemnitee’s obligations hereunder or under any other Loan Document, if the Borrower has obtained a final and nonappealable judgment in its favor on such claim as determined by a court of competent jurisdiction, or (C) arise out of disputes between and among Indemnitees not involving an act or omission by the Borrower or any of its Subsidiaries or Affiliates (other than in connection with any proceeding brought against any such Indemnitee solely in its capacity as, or in the fulfillment of its role as, the Administrative Agent, an Arranger or other similar role under the Loan Documents). Without limiting the provisions of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70" w:right="459" w:bottom="1440" w:gutter="0" w:footer="0" w:header="0"/>
        </w:sectPr>
      </w:pPr>
    </w:p>
    <w:bookmarkStart w:id="104" w:name="page105"/>
    <w:bookmarkEnd w:id="104"/>
    <w:p>
      <w:pPr>
        <w:ind w:left="684" w:hanging="244"/>
        <w:spacing w:after="0"/>
        <w:tabs>
          <w:tab w:leader="none" w:pos="68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Reimbursement by Lenders</w:t>
      </w:r>
      <w:r>
        <w:rPr>
          <w:rFonts w:ascii="Times New Roman" w:cs="Times New Roman" w:eastAsia="Times New Roman" w:hAnsi="Times New Roman"/>
          <w:sz w:val="18"/>
          <w:szCs w:val="18"/>
          <w:color w:val="auto"/>
        </w:rPr>
        <w:t xml:space="preserve">. To the extent that the Borrower for any reason fails to indefeasibly pay any amount required under </w:t>
      </w:r>
      <w:r>
        <w:rPr>
          <w:rFonts w:ascii="Times New Roman" w:cs="Times New Roman" w:eastAsia="Times New Roman" w:hAnsi="Times New Roman"/>
          <w:sz w:val="18"/>
          <w:szCs w:val="18"/>
          <w:u w:val="single" w:color="auto"/>
          <w:color w:val="auto"/>
        </w:rPr>
        <w:t>subsection</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49" w:val="left"/>
        </w:tabs>
        <w:numPr>
          <w:ilvl w:val="0"/>
          <w:numId w:val="1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to be paid by it to the Administrative Agent (or any sub-agent thereof) or any Related Party of any of the foregoing, each Lender severally agrees to pay to the Administrative Agent (or any such sub-agent) or such Related Party, as the case may be, such Lender’s pro rata share (determined as of the time that the applicable unreimbursed expense or indemnity payment is sought based on each Lender’s ratable share of the Aggregate Commitments) of such unpaid amount (including any such unpaid amount in respect of a claim asserted by such Lender), such payment to be made severally among them based on such Lender’s ratable share of the Aggregate Commitments (determined as of the time that the applicable unreimbursed expense or indemnity payment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 The obligations of the Lenders under this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are subject to the provisions of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u w:val="single" w:color="auto"/>
          <w:color w:val="auto"/>
        </w:rPr>
      </w:pPr>
    </w:p>
    <w:p>
      <w:pPr>
        <w:ind w:left="4" w:right="40" w:firstLine="436"/>
        <w:spacing w:after="0" w:line="253" w:lineRule="auto"/>
        <w:tabs>
          <w:tab w:leader="none" w:pos="69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none of the Borrower, the Administrative Agent, any other agent hereunder, any Lender, any other party hereto or any Indemnitee shall assert, and each such Person hereby waives and acknowledges that no other Person shall have, any claim against any other such Person,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foregoing shall in no event limit the Borrower’s indemnification obligations under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 xml:space="preserve"> to the extent such special, indirect, consequential or punitive damages are included in any third-party claim in connection with which such Indemnitee is otherwise entitled to indemnification hereunder. No Indemnitee referred to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9"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All amounts due under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be payable not later than ten (10) Business Days after demand therefor.</w:t>
      </w:r>
    </w:p>
    <w:p>
      <w:pPr>
        <w:spacing w:after="0" w:line="225"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6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the indemnity provisions of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 xml:space="preserve"> shall survive the resignation of the Administrative Agent, the replacement of any Lender, the termination of the Aggregate Commitments and the repayment, satisfaction or discharge of all the other Obligations.</w:t>
      </w:r>
    </w:p>
    <w:p>
      <w:pPr>
        <w:spacing w:after="0" w:line="172"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10.05 Payments Set Aside</w:t>
      </w:r>
      <w:r>
        <w:rPr>
          <w:rFonts w:ascii="Times New Roman" w:cs="Times New Roman" w:eastAsia="Times New Roman" w:hAnsi="Times New Roman"/>
          <w:sz w:val="18"/>
          <w:szCs w:val="18"/>
          <w:color w:val="auto"/>
        </w:rPr>
        <w:t>. To the extent that any payment by or on behalf of the Borrower is made to the Administrative Agent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70" w:right="459" w:bottom="1440" w:gutter="0" w:footer="0" w:header="0"/>
        </w:sectPr>
      </w:pPr>
    </w:p>
    <w:bookmarkStart w:id="105" w:name="page106"/>
    <w:bookmarkEnd w:id="105"/>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payment is made at a rate per annum equal to the applicable Overnight Rate from time to time in effect, in the applicable currency of such recovery or payment. The obligations of the Lenders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preceding sentence shall survive the payment in full of the Obligations and the termination of this Agreement.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10.06 Successors and Assigns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36"/>
        <w:spacing w:after="0" w:line="253" w:lineRule="auto"/>
        <w:tabs>
          <w:tab w:leader="none" w:pos="68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xml:space="preserve">. The provisions of this Agreement and the other Loan Documents shall be binding 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(ii) by way of participation in accordance with the provisions of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or (iii) by way of pledge or assignment of a security interest subject to the restrictions of </w:t>
      </w:r>
      <w:r>
        <w:rPr>
          <w:rFonts w:ascii="Times New Roman" w:cs="Times New Roman" w:eastAsia="Times New Roman" w:hAnsi="Times New Roman"/>
          <w:sz w:val="18"/>
          <w:szCs w:val="18"/>
          <w:u w:val="single" w:color="auto"/>
          <w:color w:val="auto"/>
        </w:rPr>
        <w:t>subsection (f)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and, to the extent expressly contemplated hereby, the Related Parties of each of the Administrative Agent and the Lenders) any legal or equitable right, remedy or claim under or by reason of this Agreement.</w:t>
      </w:r>
    </w:p>
    <w:p>
      <w:pPr>
        <w:spacing w:after="0" w:line="194"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and the other Loan Documents (including all or a portion of its Commitment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p>
    <w:p>
      <w:pPr>
        <w:spacing w:after="0" w:line="117" w:lineRule="exact"/>
        <w:rPr>
          <w:rFonts w:ascii="Times New Roman" w:cs="Times New Roman" w:eastAsia="Times New Roman" w:hAnsi="Times New Roman"/>
          <w:sz w:val="18"/>
          <w:szCs w:val="18"/>
          <w:color w:val="auto"/>
        </w:rPr>
      </w:pPr>
    </w:p>
    <w:p>
      <w:pPr>
        <w:ind w:left="1420" w:firstLine="391"/>
        <w:spacing w:after="0" w:line="261" w:lineRule="auto"/>
        <w:tabs>
          <w:tab w:leader="none" w:pos="2098"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assignment of the entire remaining amount of the assigning Lender’s Commitment and the related Loans at the time owing to it or contemporaneous assignments to related Approved Funds (determined after giving effect to such assignments) that equal at least the amount specified in </w:t>
      </w:r>
      <w:r>
        <w:rPr>
          <w:rFonts w:ascii="Times New Roman" w:cs="Times New Roman" w:eastAsia="Times New Roman" w:hAnsi="Times New Roman"/>
          <w:sz w:val="18"/>
          <w:szCs w:val="18"/>
          <w:u w:val="single" w:color="auto"/>
          <w:color w:val="auto"/>
        </w:rPr>
        <w:t>subsection (b)(i)(B)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in the aggregate or in the case of an assignment to a Lender, an Affiliate of a Lender or an Approved Fund, no minimum amount need be assigned.</w:t>
      </w:r>
    </w:p>
    <w:p>
      <w:pPr>
        <w:spacing w:after="0" w:line="71" w:lineRule="exact"/>
        <w:rPr>
          <w:rFonts w:ascii="Times New Roman" w:cs="Times New Roman" w:eastAsia="Times New Roman" w:hAnsi="Times New Roman"/>
          <w:sz w:val="18"/>
          <w:szCs w:val="18"/>
          <w:color w:val="auto"/>
        </w:rPr>
      </w:pPr>
    </w:p>
    <w:p>
      <w:pPr>
        <w:ind w:left="1420" w:firstLine="391"/>
        <w:spacing w:after="0" w:line="255" w:lineRule="auto"/>
        <w:tabs>
          <w:tab w:leader="none" w:pos="2088"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not described in </w:t>
      </w:r>
      <w:r>
        <w:rPr>
          <w:rFonts w:ascii="Times New Roman" w:cs="Times New Roman" w:eastAsia="Times New Roman" w:hAnsi="Times New Roman"/>
          <w:sz w:val="18"/>
          <w:szCs w:val="18"/>
          <w:u w:val="single" w:color="auto"/>
          <w:color w:val="auto"/>
        </w:rPr>
        <w:t>subsection (b)(i)(A)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w:t>
      </w:r>
    </w:p>
    <w:p>
      <w:pPr>
        <w:spacing w:after="0" w:line="80"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2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Loans and Commitment of the applicable Class(es) (it being understood that there shall be no requirement for Lenders to make assignments pro rata among Classes), and rights and obligations with respect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106" w:name="page107"/>
    <w:bookmarkEnd w:id="106"/>
    <w:p>
      <w:pPr>
        <w:ind w:left="440" w:right="620" w:firstLine="419"/>
        <w:spacing w:after="0" w:line="282" w:lineRule="auto"/>
        <w:tabs>
          <w:tab w:leader="none" w:pos="117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subsection (b)(i)(B)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and, in addition:</w:t>
      </w:r>
    </w:p>
    <w:p>
      <w:pPr>
        <w:spacing w:after="0" w:line="53" w:lineRule="exact"/>
        <w:rPr>
          <w:rFonts w:ascii="Times New Roman" w:cs="Times New Roman" w:eastAsia="Times New Roman" w:hAnsi="Times New Roman"/>
          <w:sz w:val="18"/>
          <w:szCs w:val="18"/>
          <w:color w:val="auto"/>
        </w:rPr>
      </w:pPr>
    </w:p>
    <w:p>
      <w:pPr>
        <w:ind w:left="1420" w:right="120" w:firstLine="391"/>
        <w:spacing w:after="0" w:line="255" w:lineRule="auto"/>
        <w:tabs>
          <w:tab w:leader="none" w:pos="2098"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Borrower (such consent not to be unreasonably withheld or delayed) shall be required unless (1) an Event of Default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8.01(g)</w:t>
      </w:r>
      <w:r>
        <w:rPr>
          <w:rFonts w:ascii="Times New Roman" w:cs="Times New Roman" w:eastAsia="Times New Roman" w:hAnsi="Times New Roman"/>
          <w:sz w:val="18"/>
          <w:szCs w:val="18"/>
          <w:color w:val="auto"/>
        </w:rPr>
        <w:t xml:space="preserve"> has occurred and is continuing at the time of such assignment or (2) such assignment is to a Lender, an Affiliate of a Lender or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Borrower shall be deemed to have consented to any such assignment unless it shall object thereto by written notice to the Administrative Agent within ten</w:t>
      </w:r>
    </w:p>
    <w:p>
      <w:pPr>
        <w:spacing w:after="0" w:line="2"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having received notice thereof; and</w:t>
      </w:r>
    </w:p>
    <w:p>
      <w:pPr>
        <w:spacing w:after="0" w:line="98" w:lineRule="exact"/>
        <w:rPr>
          <w:rFonts w:ascii="Times New Roman" w:cs="Times New Roman" w:eastAsia="Times New Roman" w:hAnsi="Times New Roman"/>
          <w:sz w:val="18"/>
          <w:szCs w:val="18"/>
          <w:color w:val="auto"/>
        </w:rPr>
      </w:pPr>
    </w:p>
    <w:p>
      <w:pPr>
        <w:ind w:left="1420" w:firstLine="391"/>
        <w:spacing w:after="0" w:line="282" w:lineRule="auto"/>
        <w:tabs>
          <w:tab w:leader="none" w:pos="2088"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if such assignment is to a Person that is not a Lender, an Affiliate of a Lender or an Approved Fund with respect to such Lender.</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6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xml:space="preserve">. No such assignment shall be made to (A) the Borrower or any of the 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or (C) to a natural Person (or a holding company, investment vehicle or trust for, or owned and operated for, the primary benefit of one or more natural Persons).</w:t>
      </w:r>
    </w:p>
    <w:p>
      <w:pPr>
        <w:spacing w:after="0" w:line="71" w:lineRule="exact"/>
        <w:rPr>
          <w:rFonts w:ascii="Times New Roman" w:cs="Times New Roman" w:eastAsia="Times New Roman" w:hAnsi="Times New Roman"/>
          <w:sz w:val="18"/>
          <w:szCs w:val="18"/>
          <w:color w:val="auto"/>
        </w:rPr>
      </w:pPr>
    </w:p>
    <w:p>
      <w:pPr>
        <w:ind w:left="440" w:right="80" w:firstLine="419"/>
        <w:spacing w:after="0" w:line="253" w:lineRule="auto"/>
        <w:tabs>
          <w:tab w:leader="none" w:pos="116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of the applicable Class(es)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of the applicable Class(es) in accordance with its applicable Commitment. Notwithstanding the foregoing, in the event that any assignment of rights and obligations of any Defaulting Lender hereunder shall become effective under applicable Law without compliance with the provisions of this </w:t>
      </w:r>
      <w:r>
        <w:rPr>
          <w:rFonts w:ascii="Times New Roman" w:cs="Times New Roman" w:eastAsia="Times New Roman" w:hAnsi="Times New Roman"/>
          <w:sz w:val="18"/>
          <w:szCs w:val="18"/>
          <w:u w:val="single" w:color="auto"/>
          <w:color w:val="auto"/>
        </w:rPr>
        <w:t>subsection (vi)</w:t>
      </w:r>
      <w:r>
        <w:rPr>
          <w:rFonts w:ascii="Times New Roman" w:cs="Times New Roman" w:eastAsia="Times New Roman" w:hAnsi="Times New Roman"/>
          <w:sz w:val="18"/>
          <w:szCs w:val="18"/>
          <w:color w:val="auto"/>
        </w:rPr>
        <w:t>, then the assignee of such interest shall be deemed to be a Defaulting Lender for all purposes of this Agreement until such compliance occurs.</w:t>
      </w:r>
    </w:p>
    <w:p>
      <w:pPr>
        <w:spacing w:after="0" w:line="19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107" w:name="page108"/>
    <w:bookmarkEnd w:id="107"/>
    <w:p>
      <w:pPr>
        <w:ind w:left="4" w:right="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7"/>
          <w:szCs w:val="17"/>
          <w:u w:val="single" w:color="auto"/>
          <w:color w:val="auto"/>
        </w:rPr>
        <w:t>Sections 3.01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10.04</w:t>
      </w:r>
      <w:r>
        <w:rPr>
          <w:rFonts w:ascii="Times New Roman" w:cs="Times New Roman" w:eastAsia="Times New Roman" w:hAnsi="Times New Roman"/>
          <w:sz w:val="17"/>
          <w:szCs w:val="17"/>
          <w:color w:val="auto"/>
        </w:rPr>
        <w:t xml:space="preserve"> with respect to facts and circumstances occurring prior to the effective date of such assignment;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w:t>
      </w:r>
      <w:r>
        <w:rPr>
          <w:rFonts w:ascii="Times New Roman" w:cs="Times New Roman" w:eastAsia="Times New Roman" w:hAnsi="Times New Roman"/>
          <w:sz w:val="17"/>
          <w:szCs w:val="17"/>
          <w:u w:val="single" w:color="auto"/>
          <w:color w:val="auto"/>
        </w:rPr>
        <w:t>subsection (b)</w:t>
      </w:r>
      <w:r>
        <w:rPr>
          <w:rFonts w:ascii="Times New Roman" w:cs="Times New Roman" w:eastAsia="Times New Roman" w:hAnsi="Times New Roman"/>
          <w:sz w:val="17"/>
          <w:szCs w:val="17"/>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7"/>
          <w:szCs w:val="17"/>
          <w:u w:val="single" w:color="auto"/>
          <w:color w:val="auto"/>
        </w:rPr>
        <w:t>subsection (d)</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10.06</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4" w:firstLine="436"/>
        <w:spacing w:after="0" w:line="254" w:lineRule="auto"/>
        <w:tabs>
          <w:tab w:leader="none" w:pos="68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and the owner of the amounts owing to it under the Loan Documents as reflected in the Register for all purposes of the Loan Documents. The Register shall be available for inspection by the Borrower and any Lender, at any reasonable time and from time to time upon reasonable prior notice.</w:t>
      </w:r>
    </w:p>
    <w:p>
      <w:pPr>
        <w:spacing w:after="0" w:line="191"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9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without regard to the existence of any participation.</w:t>
      </w:r>
    </w:p>
    <w:p>
      <w:pPr>
        <w:spacing w:after="0" w:line="192"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such agreement or instrument may provide that such Lender will not, without the consent of the Participant, agree to any amendment, waiver or other modification described in </w:t>
      </w:r>
      <w:r>
        <w:rPr>
          <w:rFonts w:ascii="Times New Roman" w:cs="Times New Roman" w:eastAsia="Times New Roman" w:hAnsi="Times New Roman"/>
          <w:sz w:val="17"/>
          <w:szCs w:val="17"/>
          <w:u w:val="single" w:color="auto"/>
          <w:color w:val="auto"/>
        </w:rPr>
        <w:t>Section 10.01(a)</w:t>
      </w:r>
      <w:r>
        <w:rPr>
          <w:rFonts w:ascii="Times New Roman" w:cs="Times New Roman" w:eastAsia="Times New Roman" w:hAnsi="Times New Roman"/>
          <w:sz w:val="17"/>
          <w:szCs w:val="17"/>
          <w:color w:val="auto"/>
        </w:rPr>
        <w:t xml:space="preserve"> that affects such Participant. The Borrower agrees that each Participant shall be entitled to the benefits of </w:t>
      </w:r>
      <w:r>
        <w:rPr>
          <w:rFonts w:ascii="Times New Roman" w:cs="Times New Roman" w:eastAsia="Times New Roman" w:hAnsi="Times New Roman"/>
          <w:sz w:val="17"/>
          <w:szCs w:val="17"/>
          <w:u w:val="single" w:color="auto"/>
          <w:color w:val="auto"/>
        </w:rPr>
        <w:t>Sections 3.01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3.05</w:t>
      </w:r>
      <w:r>
        <w:rPr>
          <w:rFonts w:ascii="Times New Roman" w:cs="Times New Roman" w:eastAsia="Times New Roman" w:hAnsi="Times New Roman"/>
          <w:sz w:val="17"/>
          <w:szCs w:val="17"/>
          <w:color w:val="auto"/>
        </w:rPr>
        <w:t xml:space="preserve"> to the same extent as if it were a Lender and had acquired its interest by assignment pursuant to </w:t>
      </w:r>
      <w:r>
        <w:rPr>
          <w:rFonts w:ascii="Times New Roman" w:cs="Times New Roman" w:eastAsia="Times New Roman" w:hAnsi="Times New Roman"/>
          <w:sz w:val="17"/>
          <w:szCs w:val="17"/>
          <w:u w:val="single" w:color="auto"/>
          <w:color w:val="auto"/>
        </w:rPr>
        <w:t>subsection (b)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10.06</w:t>
      </w:r>
      <w:r>
        <w:rPr>
          <w:rFonts w:ascii="Times New Roman" w:cs="Times New Roman" w:eastAsia="Times New Roman" w:hAnsi="Times New Roman"/>
          <w:sz w:val="17"/>
          <w:szCs w:val="17"/>
          <w:color w:val="auto"/>
        </w:rPr>
        <w:t xml:space="preserve"> (it being understood that the documentation required under </w:t>
      </w:r>
      <w:r>
        <w:rPr>
          <w:rFonts w:ascii="Times New Roman" w:cs="Times New Roman" w:eastAsia="Times New Roman" w:hAnsi="Times New Roman"/>
          <w:sz w:val="17"/>
          <w:szCs w:val="17"/>
          <w:u w:val="single" w:color="auto"/>
          <w:color w:val="auto"/>
        </w:rPr>
        <w:t>Section 3.01(e)</w:t>
      </w:r>
      <w:r>
        <w:rPr>
          <w:rFonts w:ascii="Times New Roman" w:cs="Times New Roman" w:eastAsia="Times New Roman" w:hAnsi="Times New Roman"/>
          <w:sz w:val="17"/>
          <w:szCs w:val="17"/>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17"/>
          <w:szCs w:val="17"/>
          <w:u w:val="single" w:color="auto"/>
          <w:color w:val="auto"/>
        </w:rPr>
        <w:t>subsection (b)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10.06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such Participant</w:t>
      </w:r>
    </w:p>
    <w:p>
      <w:pPr>
        <w:spacing w:after="0" w:line="2" w:lineRule="exact"/>
        <w:rPr>
          <w:sz w:val="20"/>
          <w:szCs w:val="20"/>
          <w:color w:val="auto"/>
        </w:rPr>
      </w:pPr>
    </w:p>
    <w:p>
      <w:pPr>
        <w:ind w:left="4" w:right="20" w:hanging="4"/>
        <w:spacing w:after="0" w:line="255" w:lineRule="auto"/>
        <w:tabs>
          <w:tab w:leader="none" w:pos="29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to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and (B) shall not be entitled to receive any greater payment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with respect to any participation, than the Lender from whom it acquired the applicable participation</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4"/>
          </w:cols>
          <w:pgMar w:left="436" w:top="270" w:right="479" w:bottom="1440" w:gutter="0" w:footer="0" w:header="0"/>
        </w:sectPr>
      </w:pPr>
    </w:p>
    <w:bookmarkStart w:id="108" w:name="page109"/>
    <w:bookmarkEnd w:id="108"/>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would have been entitled to receive, except to the extent such entitlement to receive a greater payment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7" w:lineRule="exact"/>
        <w:rPr>
          <w:sz w:val="20"/>
          <w:szCs w:val="20"/>
          <w:color w:val="auto"/>
        </w:rPr>
      </w:pPr>
    </w:p>
    <w:p>
      <w:pPr>
        <w:ind w:right="280" w:firstLine="436"/>
        <w:spacing w:after="0" w:line="261" w:lineRule="auto"/>
        <w:tabs>
          <w:tab w:leader="none" w:pos="68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such pledge or assignment shall release such Lender from any of its obligations hereunder or substitute any such pledgee or assignee for such Lender as a party hereto.</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Section 10.07 Treatment of Certain Information; Confidentiality</w:t>
      </w:r>
      <w:r>
        <w:rPr>
          <w:rFonts w:ascii="Times New Roman" w:cs="Times New Roman" w:eastAsia="Times New Roman" w:hAnsi="Times New Roman"/>
          <w:sz w:val="18"/>
          <w:szCs w:val="18"/>
          <w:color w:val="auto"/>
        </w:rPr>
        <w:t>. Each of the Arrangers, the Administrative Agent and each of the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agrees to maintain the confidentiality of the Information (as defined below), except that Information may be disclosed (a) to its Affiliates, its auditors and to its and its Affiliates’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application, issuance, publishing and monitoring of CUSIP numbers or other market identifiers with respect to the credit facilities provided hereunder, (h) with the consent of the Borrower or (i) to the extent such Information (x) becomes publicly available other than as a result of a breach of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(y) becomes available to any Arranger, the Administrative Agent, any Lender or any of their respective Affiliates on a nonconfidential basis from a source other than the Borrower, or (z) is independently discovered or developed by a party hereto without utilizing any Information received from the Borrower or violating the terms of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109" w:name="page110"/>
    <w:bookmarkEnd w:id="109"/>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Any Person required to maintain the confidentiality of Information as provided in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83" w:lineRule="exact"/>
        <w:rPr>
          <w:sz w:val="20"/>
          <w:szCs w:val="20"/>
          <w:color w:val="auto"/>
        </w:rPr>
      </w:pPr>
    </w:p>
    <w:p>
      <w:pPr>
        <w:ind w:left="4" w:right="300" w:firstLine="440"/>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and each of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0" w:lineRule="exact"/>
        <w:rPr>
          <w:sz w:val="20"/>
          <w:szCs w:val="20"/>
          <w:color w:val="auto"/>
        </w:rPr>
      </w:pPr>
    </w:p>
    <w:p>
      <w:pPr>
        <w:ind w:left="4" w:right="420" w:firstLine="440"/>
        <w:spacing w:after="0" w:line="312" w:lineRule="auto"/>
        <w:rPr>
          <w:sz w:val="20"/>
          <w:szCs w:val="20"/>
          <w:color w:val="auto"/>
        </w:rPr>
      </w:pPr>
      <w:r>
        <w:rPr>
          <w:rFonts w:ascii="Times New Roman" w:cs="Times New Roman" w:eastAsia="Times New Roman" w:hAnsi="Times New Roman"/>
          <w:sz w:val="17"/>
          <w:szCs w:val="17"/>
          <w:color w:val="auto"/>
        </w:rPr>
        <w:t>For the avoidance of doubt, nothing in this Agreement prohibits any individual from communicating or disclosing information regarding suspected violations of laws, rules, or regulations to a governmental, regulatory, or self-regulatory authority without any notification to any Person.</w:t>
      </w:r>
    </w:p>
    <w:p>
      <w:pPr>
        <w:spacing w:after="0" w:line="136"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10.08 Right of Setoff</w:t>
      </w:r>
      <w:r>
        <w:rPr>
          <w:rFonts w:ascii="Times New Roman" w:cs="Times New Roman" w:eastAsia="Times New Roman" w:hAnsi="Times New Roman"/>
          <w:sz w:val="18"/>
          <w:szCs w:val="18"/>
          <w:color w:val="auto"/>
        </w:rPr>
        <w:t>. If an Event of Default shall have occurred and be continuing, each Lender and each of its Affiliates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or its Affiliates, irrespective of whether or not such Lender or Affiliate shall have made any demand under this Agreement or any other Loan Document and although such obligations of the Borrower may be contingent or unmatured or are owed to a branch office or Affiliate of such Lender different from the branch office or Affiliate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its Affiliates under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are in addition to other rights and remedies (including other rights of setoff) that such Lender or its Affiliates may have. Each Lender agrees to notify the Borrower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failure to give such notice shall not affect the validity of such setoff and application.</w:t>
      </w:r>
    </w:p>
    <w:p>
      <w:pPr>
        <w:spacing w:after="0" w:line="183"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10.09 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paid 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w:t>
      </w:r>
    </w:p>
    <w:p>
      <w:pPr>
        <w:spacing w:after="0" w:line="3" w:lineRule="exact"/>
        <w:rPr>
          <w:sz w:val="20"/>
          <w:szCs w:val="20"/>
          <w:color w:val="auto"/>
        </w:rPr>
      </w:pPr>
    </w:p>
    <w:p>
      <w:pPr>
        <w:ind w:left="4" w:right="120" w:hanging="4"/>
        <w:spacing w:after="0" w:line="255" w:lineRule="auto"/>
        <w:tabs>
          <w:tab w:leader="none" w:pos="24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4"/>
          </w:cols>
          <w:pgMar w:left="436" w:top="270" w:right="459" w:bottom="1440" w:gutter="0" w:footer="0" w:header="0"/>
        </w:sectPr>
      </w:pPr>
    </w:p>
    <w:bookmarkStart w:id="110" w:name="page111"/>
    <w:bookmarkEnd w:id="110"/>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10.10 Integration; Effectiveness</w:t>
      </w:r>
      <w:r>
        <w:rPr>
          <w:rFonts w:ascii="Times New Roman" w:cs="Times New Roman" w:eastAsia="Times New Roman" w:hAnsi="Times New Roman"/>
          <w:sz w:val="18"/>
          <w:szCs w:val="18"/>
          <w:color w:val="auto"/>
        </w:rPr>
        <w:t>. This Agreement, the other Loan Documents and any separate letter agreements with respect to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82"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10.11 Survival of Representations and Warranties</w:t>
      </w:r>
      <w:r>
        <w:rPr>
          <w:rFonts w:ascii="Times New Roman" w:cs="Times New Roman" w:eastAsia="Times New Roman" w:hAnsi="Times New Roman"/>
          <w:sz w:val="18"/>
          <w:szCs w:val="18"/>
          <w:color w:val="auto"/>
        </w:rPr>
        <w:t>. All representations and warranties made hereunder and in any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Borrowing, and shall continue in full force and effect as long as any Loan or any other Obligation hereunder shall remain unpaid or unsatisfied.</w:t>
      </w:r>
    </w:p>
    <w:p>
      <w:pPr>
        <w:spacing w:after="0" w:line="18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10.12 Severability</w:t>
      </w:r>
      <w:r>
        <w:rPr>
          <w:rFonts w:ascii="Times New Roman" w:cs="Times New Roman" w:eastAsia="Times New Roman" w:hAnsi="Times New Roman"/>
          <w:sz w:val="18"/>
          <w:szCs w:val="18"/>
          <w:color w:val="auto"/>
        </w:rPr>
        <w:t>. If any provision of this Agreement or the other Loan Documents is held to be illegal, invalid or unenforceable,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8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10.13 Replacement of Lenders</w:t>
      </w:r>
      <w:r>
        <w:rPr>
          <w:rFonts w:ascii="Times New Roman" w:cs="Times New Roman" w:eastAsia="Times New Roman" w:hAnsi="Times New Roman"/>
          <w:sz w:val="18"/>
          <w:szCs w:val="18"/>
          <w:color w:val="auto"/>
        </w:rPr>
        <w:t>. If the Borrower is entitled to replace a Lender pursuant to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or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all of its interests, rights (other than its existing rights to payments pursuant to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1100" w:hanging="241"/>
        <w:spacing w:after="0"/>
        <w:tabs>
          <w:tab w:leader="none" w:pos="11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paid to the Administrative Agent the assignment fee (if any) specified in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one hundred percent (100%) of the outstanding principal of its Loans,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from the assignee (to the extent of such outstanding principal and accrued interest and fees) or the Borrower (in the case of all other amounts);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60"/>
          </w:cols>
          <w:pgMar w:left="440" w:top="266" w:right="499" w:bottom="1440" w:gutter="0" w:footer="0" w:header="0"/>
        </w:sectPr>
      </w:pPr>
    </w:p>
    <w:bookmarkStart w:id="111" w:name="page112"/>
    <w:bookmarkEnd w:id="111"/>
    <w:p>
      <w:pPr>
        <w:ind w:left="440" w:right="20" w:firstLine="419"/>
        <w:spacing w:after="0" w:line="282" w:lineRule="auto"/>
        <w:tabs>
          <w:tab w:leader="none" w:pos="110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 and</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0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w:t>
      </w:r>
    </w:p>
    <w:p>
      <w:pPr>
        <w:spacing w:after="0" w:line="176"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A Lender shall not be required to make any such assignment or delegation if, prior thereto, as a result of a waiver by such Lender or otherwise, the circumstances entitling the Borrower to require such assignment and delegation cease to apply. Each party hereto agrees that (i) an assignment required pursuant to this </w:t>
      </w:r>
      <w:r>
        <w:rPr>
          <w:rFonts w:ascii="Times New Roman" w:cs="Times New Roman" w:eastAsia="Times New Roman" w:hAnsi="Times New Roman"/>
          <w:sz w:val="17"/>
          <w:szCs w:val="17"/>
          <w:u w:val="single" w:color="auto"/>
          <w:color w:val="auto"/>
        </w:rPr>
        <w:t>Section 10.13</w:t>
      </w:r>
      <w:r>
        <w:rPr>
          <w:rFonts w:ascii="Times New Roman" w:cs="Times New Roman" w:eastAsia="Times New Roman" w:hAnsi="Times New Roman"/>
          <w:sz w:val="17"/>
          <w:szCs w:val="17"/>
          <w:color w:val="auto"/>
        </w:rPr>
        <w:t xml:space="preserve"> may be effected pursuant to an Assignment and Assumption executed by the Borrower, the Administrative Agent and the assignee and (ii)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any such documents shall be without recourse to or warranty by the parties thereto. Notwithstanding anything in this</w:t>
      </w:r>
    </w:p>
    <w:p>
      <w:pPr>
        <w:spacing w:after="0" w:line="2"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to the contrary, the Lender that acts as the Administrative Agent may not be replaced hereunder except in accordance with the terms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10.14 Governing Law; Jurisdiction; Etc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36"/>
        <w:spacing w:after="0" w:line="277" w:lineRule="auto"/>
        <w:tabs>
          <w:tab w:leader="none" w:pos="685"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AND THE OTHER LOAN DOCUMENTS AND ANY CLAIMS, CONTROVERSY, DISPUTE OR CAUSE OF ACTION BASED UPON, ARISING OUT OF OR RELATING TO THIS AGREEMENT OR ANY OTHER LOAN DOCUMENT (EXCEPT, AS TO ANY OTHER LOAN DOCUMENT, AS EXPRESSLY SET FORTH THEREIN) AND THE TRANSACTIONS CONTEMPLATED HEREBY AND THEREBY (WHETHER BASED ON CONTRACT, TORT OR ANY OTHER THEORY AND WHETHER AT LAW OR IN EQUITY) SHALL BE GOVERNED BY, AND CONSTRUED IN ACCORDANCE WITH, THE LAW OF THE STATE OF NEW YORK.</w:t>
      </w:r>
    </w:p>
    <w:p>
      <w:pPr>
        <w:spacing w:after="0" w:line="167" w:lineRule="exact"/>
        <w:rPr>
          <w:rFonts w:ascii="Times New Roman" w:cs="Times New Roman" w:eastAsia="Times New Roman" w:hAnsi="Times New Roman"/>
          <w:sz w:val="17"/>
          <w:szCs w:val="17"/>
          <w:color w:val="auto"/>
        </w:rPr>
      </w:pPr>
    </w:p>
    <w:p>
      <w:pPr>
        <w:ind w:firstLine="436"/>
        <w:spacing w:after="0" w:line="253" w:lineRule="auto"/>
        <w:tabs>
          <w:tab w:leader="none" w:pos="69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SITTING IN THE COUNTY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0"/>
          </w:cols>
          <w:pgMar w:left="440" w:top="270" w:right="439" w:bottom="1440" w:gutter="0" w:footer="0" w:header="0"/>
        </w:sectPr>
      </w:pPr>
    </w:p>
    <w:bookmarkStart w:id="112" w:name="page113"/>
    <w:bookmarkEnd w:id="11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ITS PROPERTIES IN THE COURTS OF ANY JURISDICTION.</w:t>
      </w:r>
    </w:p>
    <w:p>
      <w:pPr>
        <w:spacing w:after="0" w:line="187" w:lineRule="exact"/>
        <w:rPr>
          <w:sz w:val="20"/>
          <w:szCs w:val="20"/>
          <w:color w:val="auto"/>
        </w:rPr>
      </w:pPr>
    </w:p>
    <w:p>
      <w:pPr>
        <w:ind w:right="60" w:firstLine="436"/>
        <w:spacing w:after="0" w:line="256" w:lineRule="auto"/>
        <w:tabs>
          <w:tab w:leader="none" w:pos="68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72"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10.15 Waiver of Jury Trial</w:t>
      </w:r>
      <w:r>
        <w:rPr>
          <w:rFonts w:ascii="Times New Roman" w:cs="Times New Roman" w:eastAsia="Times New Roman" w:hAnsi="Times New Roman"/>
          <w:sz w:val="18"/>
          <w:szCs w:val="18"/>
          <w:color w:val="auto"/>
        </w:rPr>
        <w:t>. EACH PARTY HERETO HEREBY IRREVOCABLY WAIVES, TO THE FULLEST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AND WHETHER AT LAW OR IN EQUITY).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Section 10.16 No Advisory or Fiduciary Responsibility</w:t>
      </w:r>
      <w:r>
        <w:rPr>
          <w:rFonts w:ascii="Times New Roman" w:cs="Times New Roman" w:eastAsia="Times New Roman" w:hAnsi="Times New Roman"/>
          <w:sz w:val="17"/>
          <w:szCs w:val="17"/>
          <w:color w:val="auto"/>
        </w:rPr>
        <w:t>. In connection with all aspects of each transaction contemplated hereby (including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connection with any amendment, waiver or other modification hereof or of any other Loan Document), the Borrower acknowledges and agrees, and acknowledges its Affiliates’ understanding, that: (a)(i)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(ii) the Borrower has consulted its own legal, accounting, regulatory and tax advisors to the extent it has deemed appropriate, and (iii) the Borrower is capable of evaluating, and understands and accepts, the terms, risks and conditions of the transactions contemplated hereby and by the other Loan Documents; (b)(i) the Administrative Agent, each Arranger and each Lender is and has been acting solely as a principal and, except as expressly agreed in writing by the relevant parties, has not been, is not and will not be acting as an advisor, agent or fiduciary for the Borrower or any of Affiliates or any other Person and (ii) none of the Administrative Agent, any Arranger or any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113" w:name="page114"/>
    <w:bookmarkEnd w:id="113"/>
    <w:p>
      <w:pPr>
        <w:ind w:right="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has any obligation to the Borrower or any of its Affiliates with respect to the transactions contemplated hereby except those obligations expressly set forth herein and in the other Loan Documents; and (c) the Administrative Agent, the Arrangers and the Lenders and their respective Affiliates may be engaged in a broad range of transactions that involve interests that differ from those of the Borrower and its Affiliates, and none of the Administrative Agent, any Arranger or any Lender has any obligation to disclose any of such interests to the Borrower or its Affiliates. To the fullest extent permitted by law, the Borrower hereby waives and releases any claims that it may have against the Administrative Agent, any Arranger or any Lender with respect to any breach or alleged breach of agency or fiduciary duty in connection with any aspect of any transaction contemplated hereby.</w:t>
      </w:r>
    </w:p>
    <w:p>
      <w:pPr>
        <w:spacing w:after="0" w:line="16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10.17 USA PATRIOT Act Notice</w:t>
      </w:r>
      <w:r>
        <w:rPr>
          <w:rFonts w:ascii="Times New Roman" w:cs="Times New Roman" w:eastAsia="Times New Roman" w:hAnsi="Times New Roman"/>
          <w:sz w:val="18"/>
          <w:szCs w:val="18"/>
          <w:color w:val="auto"/>
        </w:rPr>
        <w:t>. Each Lender that is subject to the USA PATRIOT Act (Title III of Pub. L. 107-56 (signed into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26,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the Administrative Agent (for itself and not on behalf of any Lender)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w:t>
      </w:r>
    </w:p>
    <w:p>
      <w:pPr>
        <w:spacing w:after="0" w:line="183"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Section 10.18 Judgment Currency</w:t>
      </w:r>
      <w:r>
        <w:rPr>
          <w:rFonts w:ascii="Times New Roman" w:cs="Times New Roman" w:eastAsia="Times New Roman" w:hAnsi="Times New Roman"/>
          <w:sz w:val="17"/>
          <w:szCs w:val="17"/>
          <w:color w:val="auto"/>
        </w:rPr>
        <w:t>. If, for the purposes of obtaining judgment in any court, it is necessary to convert a sum due hereunder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 other than that in which such sum is denominated in accordance with the applicable provisions of this Agreement (the “</w:t>
      </w:r>
      <w:r>
        <w:rPr>
          <w:rFonts w:ascii="Times New Roman" w:cs="Times New Roman" w:eastAsia="Times New Roman" w:hAnsi="Times New Roman"/>
          <w:sz w:val="17"/>
          <w:szCs w:val="17"/>
          <w:u w:val="single" w:color="auto"/>
          <w:color w:val="auto"/>
        </w:rPr>
        <w:t>Agreement Currency</w:t>
      </w:r>
      <w:r>
        <w:rPr>
          <w:rFonts w:ascii="Times New Roman" w:cs="Times New Roman" w:eastAsia="Times New Roman" w:hAnsi="Times New Roman"/>
          <w:sz w:val="17"/>
          <w:szCs w:val="17"/>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10.19 Electronic Execution; Electronic Records; Counterparts</w:t>
      </w:r>
      <w:r>
        <w:rPr>
          <w:rFonts w:ascii="Times New Roman" w:cs="Times New Roman" w:eastAsia="Times New Roman" w:hAnsi="Times New Roman"/>
          <w:sz w:val="18"/>
          <w:szCs w:val="18"/>
          <w:color w:val="auto"/>
        </w:rPr>
        <w:t>. This Agreement, any other Loan Document and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 including Communications required to be in writing, may be in the form of an Electronic Record and may be executed using Electronic Signatures. The Borrower, the Administrative Agent and each Lender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114" w:name="page115"/>
    <w:bookmarkEnd w:id="114"/>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 but all such counterparts are one and the same Communication. For the avoidance of doubt, the authorization under this paragraph may include use or acceptance of a manually signed paper Communication which has been converted into electronic form (such as scanned into .pdf), or an electronically signed Communication converted into another format, for transmission, delivery and/or retention. The Administrative Agent and each of the Lenders may, at its option, create one or more copies of any Communication in the form of an imaged Electronic Record (each, an “</w:t>
      </w:r>
      <w:r>
        <w:rPr>
          <w:rFonts w:ascii="Times New Roman" w:cs="Times New Roman" w:eastAsia="Times New Roman" w:hAnsi="Times New Roman"/>
          <w:sz w:val="18"/>
          <w:szCs w:val="18"/>
          <w:u w:val="single" w:color="auto"/>
          <w:color w:val="auto"/>
        </w:rPr>
        <w:t>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Copy</w:t>
      </w:r>
      <w:r>
        <w:rPr>
          <w:rFonts w:ascii="Times New Roman" w:cs="Times New Roman" w:eastAsia="Times New Roman" w:hAnsi="Times New Roman"/>
          <w:sz w:val="18"/>
          <w:szCs w:val="18"/>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not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without limiting the foregoing, (a) to the extent the Administrative Agent has agreed to accept such Electronic Signature, the Administrative Agent and each of the Lenders shall be entitled to rely on any such Electronic Signature purportedly given by or on behalf of the Borrower and/or any Lender without further verification, and (b) upon the request of the Administrative Agent or any Lender, any Electronic Signature shall be promptly followed by such manually executed counterpart.</w:t>
      </w:r>
    </w:p>
    <w:p>
      <w:pPr>
        <w:spacing w:after="0" w:line="190"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The Administrative Agent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89" w:lineRule="exact"/>
        <w:rPr>
          <w:sz w:val="20"/>
          <w:szCs w:val="20"/>
          <w:color w:val="auto"/>
        </w:rPr>
      </w:pPr>
    </w:p>
    <w:p>
      <w:pPr>
        <w:ind w:left="4" w:right="480" w:firstLine="440"/>
        <w:spacing w:after="0" w:line="276" w:lineRule="auto"/>
        <w:rPr>
          <w:sz w:val="20"/>
          <w:szCs w:val="20"/>
          <w:color w:val="auto"/>
        </w:rPr>
      </w:pPr>
      <w:r>
        <w:rPr>
          <w:rFonts w:ascii="Times New Roman" w:cs="Times New Roman" w:eastAsia="Times New Roman" w:hAnsi="Times New Roman"/>
          <w:sz w:val="17"/>
          <w:szCs w:val="17"/>
          <w:color w:val="auto"/>
        </w:rPr>
        <w:t>The Borrower and each Lender hereby waives (a) any argument, defense or right to contest the legal effect, validity or enforceability of this Agreement or any other Loan Document based solely on the lack of paper original copies of this Agreement or such other Loan Document, and</w:t>
      </w:r>
    </w:p>
    <w:p>
      <w:pPr>
        <w:spacing w:after="0" w:line="1" w:lineRule="exact"/>
        <w:rPr>
          <w:sz w:val="20"/>
          <w:szCs w:val="20"/>
          <w:color w:val="auto"/>
        </w:rPr>
      </w:pPr>
    </w:p>
    <w:p>
      <w:pPr>
        <w:ind w:left="4" w:right="320" w:hanging="4"/>
        <w:spacing w:after="0" w:line="255" w:lineRule="auto"/>
        <w:tabs>
          <w:tab w:leader="none" w:pos="25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any claim against the Administrative Agent and each Lender for any liabilities arising solely from the Administrative Agent’s and/or any Lender’s reliance on or use of Electronic Signatures, including any liabilities arising as a result of the failure of the Borrower to use any available security measures in connection with the execution, delivery or transmission of any Electronic Signature.</w:t>
      </w:r>
    </w:p>
    <w:p>
      <w:pPr>
        <w:spacing w:after="0" w:line="182" w:lineRule="exact"/>
        <w:rPr>
          <w:sz w:val="20"/>
          <w:szCs w:val="20"/>
          <w:color w:val="auto"/>
        </w:rPr>
      </w:pPr>
    </w:p>
    <w:p>
      <w:pPr>
        <w:ind w:left="4" w:right="10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Section 10.20 Acknowledgement and Consent to Bail-In of Affected Financial Institutions</w:t>
      </w:r>
      <w:r>
        <w:rPr>
          <w:rFonts w:ascii="Times New Roman" w:cs="Times New Roman" w:eastAsia="Times New Roman" w:hAnsi="Times New Roman"/>
          <w:sz w:val="17"/>
          <w:szCs w:val="17"/>
          <w:color w:val="auto"/>
        </w:rPr>
        <w:t>. Notwithstanding anything to the contrary in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ind w:left="4" w:hanging="4"/>
        <w:spacing w:after="0" w:line="252" w:lineRule="auto"/>
        <w:tabs>
          <w:tab w:leader="none" w:pos="24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64"/>
          </w:cols>
          <w:pgMar w:left="436" w:top="270" w:right="499" w:bottom="1440" w:gutter="0" w:footer="0" w:header="0"/>
        </w:sectPr>
      </w:pPr>
    </w:p>
    <w:bookmarkStart w:id="115" w:name="page116"/>
    <w:bookmarkEnd w:id="11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10.21 Acknowledgement Regarding any Supported QFCs</w:t>
      </w:r>
      <w:r>
        <w:rPr>
          <w:rFonts w:ascii="Times New Roman" w:cs="Times New Roman" w:eastAsia="Times New Roman" w:hAnsi="Times New Roman"/>
          <w:sz w:val="18"/>
          <w:szCs w:val="18"/>
          <w:color w:val="auto"/>
        </w:rPr>
        <w:t>. To the extent that the Loan Documents provide support, through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 or otherwise, for any Swap Contract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that, with respect to the resolution power of the Federal Deposit Insurance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Federal Deposit Insurance Act and Title II of the Dodd-Frank Wall Street Reform and Consumer Protection Act (together with the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 each, a “</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in respect of such Supported QFC and QFC Credit Support (with the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applicable notwithstanding that the Loan Documents and any Supported QFC may in fact be stated to be governed by the laws of the State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and/or of the United States or any other state of the United States), in the event a Covered Entity that is party to a Supported QFC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QFC Credit Support (and any interest and obligation in or under such Supported QFC and such QFC Credit Support, and any rights in property securing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Supported QFC or such QFC Credit Support) from such Covered Party will be effective to the same extent as the transfer would be effective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Special Resolution Regime if the Supported QFC and such QFC Credit Support (and any such interest, obligation and rights in property)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governed by the laws of the United States or a state of the United States. In the event a Covered Party or a BHC Act Affiliate of a Covered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becomes subject to a proceeding under a U.S. Special Resolution Regime, Default Rights under the Loan Documents that might otherwise apply to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Supported QFC or any QFC Credit Support that may be exercised against such Covered Party are permitted to be exercised to no greater extent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Default Rights could be exercised under the U.S. Special Resolution Regime if the Supported QFC and the Loan Documents were governed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of the United States or a state of the United States. Without limitation of the foregoing, it is understood and agreed that rights and remedies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with respect to a Defaulting Lender shall in no event affect the rights of any Covered Party with respect to a Supported QFC or any QFC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Pages Follow</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60"/>
          </w:cols>
          <w:pgMar w:left="440" w:top="266" w:right="499" w:bottom="1440" w:gutter="0" w:footer="0" w:header="0"/>
        </w:sectPr>
      </w:pPr>
    </w:p>
    <w:bookmarkStart w:id="116" w:name="page117"/>
    <w:bookmarkEnd w:id="1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BORROWER:</w:t>
            </w:r>
          </w:p>
        </w:tc>
        <w:tc>
          <w:tcPr>
            <w:tcW w:w="77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BIOGEN INC.,</w:t>
            </w:r>
          </w:p>
        </w:tc>
      </w:tr>
      <w:tr>
        <w:trPr>
          <w:trHeight w:val="234"/>
        </w:trPr>
        <w:tc>
          <w:tcPr>
            <w:tcW w:w="3340" w:type="dxa"/>
            <w:vAlign w:val="bottom"/>
          </w:tcPr>
          <w:p>
            <w:pPr>
              <w:spacing w:after="0"/>
              <w:rPr>
                <w:sz w:val="20"/>
                <w:szCs w:val="20"/>
                <w:color w:val="auto"/>
              </w:rPr>
            </w:pPr>
          </w:p>
        </w:tc>
        <w:tc>
          <w:tcPr>
            <w:tcW w:w="77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3340" w:type="dxa"/>
            <w:vAlign w:val="bottom"/>
          </w:tcPr>
          <w:p>
            <w:pPr>
              <w:spacing w:after="0"/>
              <w:rPr>
                <w:sz w:val="24"/>
                <w:szCs w:val="24"/>
                <w:color w:val="auto"/>
              </w:rPr>
            </w:pPr>
          </w:p>
        </w:tc>
        <w:tc>
          <w:tcPr>
            <w:tcW w:w="77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By:  /s/ Michael Dambach</w:t>
            </w:r>
          </w:p>
        </w:tc>
      </w:tr>
      <w:tr>
        <w:trPr>
          <w:trHeight w:val="205"/>
        </w:trPr>
        <w:tc>
          <w:tcPr>
            <w:tcW w:w="3340" w:type="dxa"/>
            <w:vAlign w:val="bottom"/>
          </w:tcPr>
          <w:p>
            <w:pPr>
              <w:spacing w:after="0"/>
              <w:rPr>
                <w:sz w:val="17"/>
                <w:szCs w:val="17"/>
                <w:color w:val="auto"/>
              </w:rPr>
            </w:pPr>
          </w:p>
        </w:tc>
        <w:tc>
          <w:tcPr>
            <w:tcW w:w="2720" w:type="dxa"/>
            <w:vAlign w:val="bottom"/>
          </w:tcPr>
          <w:p>
            <w:pPr>
              <w:ind w:left="2280"/>
              <w:spacing w:after="0" w:line="205" w:lineRule="exact"/>
              <w:rPr>
                <w:sz w:val="20"/>
                <w:szCs w:val="20"/>
                <w:color w:val="auto"/>
              </w:rPr>
            </w:pPr>
            <w:r>
              <w:rPr>
                <w:rFonts w:ascii="Times New Roman" w:cs="Times New Roman" w:eastAsia="Times New Roman" w:hAnsi="Times New Roman"/>
                <w:sz w:val="18"/>
                <w:szCs w:val="18"/>
                <w:color w:val="auto"/>
                <w:w w:val="87"/>
              </w:rPr>
              <w:t>Name:</w:t>
            </w:r>
          </w:p>
        </w:tc>
        <w:tc>
          <w:tcPr>
            <w:tcW w:w="4960" w:type="dxa"/>
            <w:vAlign w:val="bottom"/>
            <w:tcBorders>
              <w:top w:val="single" w:sz="8" w:color="auto"/>
            </w:tcBorders>
          </w:tcPr>
          <w:p>
            <w:pPr>
              <w:jc w:val="right"/>
              <w:ind w:right="3450"/>
              <w:spacing w:after="0" w:line="205" w:lineRule="exact"/>
              <w:rPr>
                <w:sz w:val="20"/>
                <w:szCs w:val="20"/>
                <w:color w:val="auto"/>
              </w:rPr>
            </w:pPr>
            <w:r>
              <w:rPr>
                <w:rFonts w:ascii="Times New Roman" w:cs="Times New Roman" w:eastAsia="Times New Roman" w:hAnsi="Times New Roman"/>
                <w:sz w:val="18"/>
                <w:szCs w:val="18"/>
                <w:color w:val="auto"/>
              </w:rPr>
              <w:t>Michael Dambach</w:t>
            </w:r>
          </w:p>
        </w:tc>
        <w:tc>
          <w:tcPr>
            <w:tcW w:w="20" w:type="dxa"/>
            <w:vAlign w:val="bottom"/>
          </w:tcPr>
          <w:p>
            <w:pPr>
              <w:spacing w:after="0"/>
              <w:rPr>
                <w:sz w:val="17"/>
                <w:szCs w:val="17"/>
                <w:color w:val="auto"/>
              </w:rPr>
            </w:pPr>
          </w:p>
        </w:tc>
      </w:tr>
      <w:tr>
        <w:trPr>
          <w:trHeight w:val="234"/>
        </w:trPr>
        <w:tc>
          <w:tcPr>
            <w:tcW w:w="3340" w:type="dxa"/>
            <w:vAlign w:val="bottom"/>
          </w:tcPr>
          <w:p>
            <w:pPr>
              <w:spacing w:after="0"/>
              <w:rPr>
                <w:sz w:val="20"/>
                <w:szCs w:val="20"/>
                <w:color w:val="auto"/>
              </w:rPr>
            </w:pPr>
          </w:p>
        </w:tc>
        <w:tc>
          <w:tcPr>
            <w:tcW w:w="77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Title: Vice President and Treasurer</w:t>
            </w:r>
          </w:p>
        </w:tc>
      </w:tr>
      <w:tr>
        <w:trPr>
          <w:trHeight w:val="346"/>
        </w:trPr>
        <w:tc>
          <w:tcPr>
            <w:tcW w:w="3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BIOGEN INC.</w:t>
            </w:r>
          </w:p>
        </w:tc>
      </w:tr>
      <w:tr>
        <w:trPr>
          <w:trHeight w:val="234"/>
        </w:trPr>
        <w:tc>
          <w:tcPr>
            <w:tcW w:w="3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TERM LOAN CREDIT AGREEMENT</w:t>
            </w:r>
          </w:p>
        </w:tc>
      </w:tr>
    </w:tbl>
    <w:p>
      <w:pPr>
        <w:sectPr>
          <w:pgSz w:w="11900" w:h="16838" w:orient="portrait"/>
          <w:cols w:equalWidth="0" w:num="1">
            <w:col w:w="11020"/>
          </w:cols>
          <w:pgMar w:left="440" w:top="270" w:right="439" w:bottom="1440" w:gutter="0" w:footer="0" w:header="0"/>
        </w:sectPr>
      </w:pPr>
    </w:p>
    <w:bookmarkStart w:id="117" w:name="page118"/>
    <w:bookmarkEnd w:id="1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AGENT:</w:t>
            </w:r>
          </w:p>
        </w:tc>
        <w:tc>
          <w:tcPr>
            <w:tcW w:w="712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U.S. BANK NATIONAL ASSOCIATION,</w:t>
            </w:r>
          </w:p>
        </w:tc>
      </w:tr>
      <w:tr>
        <w:trPr>
          <w:trHeight w:val="234"/>
        </w:trPr>
        <w:tc>
          <w:tcPr>
            <w:tcW w:w="3920" w:type="dxa"/>
            <w:vAlign w:val="bottom"/>
          </w:tcPr>
          <w:p>
            <w:pPr>
              <w:spacing w:after="0"/>
              <w:rPr>
                <w:sz w:val="20"/>
                <w:szCs w:val="20"/>
                <w:color w:val="auto"/>
              </w:rPr>
            </w:pPr>
          </w:p>
        </w:tc>
        <w:tc>
          <w:tcPr>
            <w:tcW w:w="712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as the Administrative Agent</w:t>
            </w:r>
          </w:p>
        </w:tc>
      </w:tr>
      <w:tr>
        <w:trPr>
          <w:trHeight w:val="432"/>
        </w:trPr>
        <w:tc>
          <w:tcPr>
            <w:tcW w:w="3920" w:type="dxa"/>
            <w:vAlign w:val="bottom"/>
          </w:tcPr>
          <w:p>
            <w:pPr>
              <w:spacing w:after="0"/>
              <w:rPr>
                <w:sz w:val="24"/>
                <w:szCs w:val="24"/>
                <w:color w:val="auto"/>
              </w:rPr>
            </w:pPr>
          </w:p>
        </w:tc>
        <w:tc>
          <w:tcPr>
            <w:tcW w:w="712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By:  /s/ Sarah Amend</w:t>
            </w:r>
          </w:p>
        </w:tc>
      </w:tr>
      <w:tr>
        <w:trPr>
          <w:trHeight w:val="205"/>
        </w:trPr>
        <w:tc>
          <w:tcPr>
            <w:tcW w:w="3920" w:type="dxa"/>
            <w:vAlign w:val="bottom"/>
          </w:tcPr>
          <w:p>
            <w:pPr>
              <w:spacing w:after="0"/>
              <w:rPr>
                <w:sz w:val="17"/>
                <w:szCs w:val="17"/>
                <w:color w:val="auto"/>
              </w:rPr>
            </w:pPr>
          </w:p>
        </w:tc>
        <w:tc>
          <w:tcPr>
            <w:tcW w:w="2140" w:type="dxa"/>
            <w:vAlign w:val="bottom"/>
          </w:tcPr>
          <w:p>
            <w:pPr>
              <w:ind w:left="1700"/>
              <w:spacing w:after="0" w:line="205" w:lineRule="exact"/>
              <w:rPr>
                <w:sz w:val="20"/>
                <w:szCs w:val="20"/>
                <w:color w:val="auto"/>
              </w:rPr>
            </w:pPr>
            <w:r>
              <w:rPr>
                <w:rFonts w:ascii="Times New Roman" w:cs="Times New Roman" w:eastAsia="Times New Roman" w:hAnsi="Times New Roman"/>
                <w:sz w:val="18"/>
                <w:szCs w:val="18"/>
                <w:color w:val="auto"/>
                <w:w w:val="87"/>
              </w:rPr>
              <w:t>Name:</w:t>
            </w:r>
          </w:p>
        </w:tc>
        <w:tc>
          <w:tcPr>
            <w:tcW w:w="4960" w:type="dxa"/>
            <w:vAlign w:val="bottom"/>
            <w:tcBorders>
              <w:top w:val="single" w:sz="8" w:color="auto"/>
            </w:tcBorders>
          </w:tcPr>
          <w:p>
            <w:pPr>
              <w:jc w:val="right"/>
              <w:ind w:right="3790"/>
              <w:spacing w:after="0" w:line="205" w:lineRule="exact"/>
              <w:rPr>
                <w:sz w:val="20"/>
                <w:szCs w:val="20"/>
                <w:color w:val="auto"/>
              </w:rPr>
            </w:pPr>
            <w:r>
              <w:rPr>
                <w:rFonts w:ascii="Times New Roman" w:cs="Times New Roman" w:eastAsia="Times New Roman" w:hAnsi="Times New Roman"/>
                <w:sz w:val="18"/>
                <w:szCs w:val="18"/>
                <w:color w:val="auto"/>
              </w:rPr>
              <w:t>Sarah Amend</w:t>
            </w:r>
          </w:p>
        </w:tc>
        <w:tc>
          <w:tcPr>
            <w:tcW w:w="20" w:type="dxa"/>
            <w:vAlign w:val="bottom"/>
          </w:tcPr>
          <w:p>
            <w:pPr>
              <w:spacing w:after="0"/>
              <w:rPr>
                <w:sz w:val="17"/>
                <w:szCs w:val="17"/>
                <w:color w:val="auto"/>
              </w:rPr>
            </w:pPr>
          </w:p>
        </w:tc>
      </w:tr>
      <w:tr>
        <w:trPr>
          <w:trHeight w:val="234"/>
        </w:trPr>
        <w:tc>
          <w:tcPr>
            <w:tcW w:w="3920" w:type="dxa"/>
            <w:vAlign w:val="bottom"/>
          </w:tcPr>
          <w:p>
            <w:pPr>
              <w:spacing w:after="0"/>
              <w:rPr>
                <w:sz w:val="20"/>
                <w:szCs w:val="20"/>
                <w:color w:val="auto"/>
              </w:rPr>
            </w:pPr>
          </w:p>
        </w:tc>
        <w:tc>
          <w:tcPr>
            <w:tcW w:w="712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Title: Assistant Vice President</w:t>
            </w:r>
          </w:p>
        </w:tc>
      </w:tr>
      <w:tr>
        <w:trPr>
          <w:trHeight w:val="346"/>
        </w:trPr>
        <w:tc>
          <w:tcPr>
            <w:tcW w:w="3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BIOGEN INC.</w:t>
            </w:r>
          </w:p>
        </w:tc>
      </w:tr>
      <w:tr>
        <w:trPr>
          <w:trHeight w:val="234"/>
        </w:trPr>
        <w:tc>
          <w:tcPr>
            <w:tcW w:w="39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TERM LOAN CREDIT AGREEMENT</w:t>
            </w:r>
          </w:p>
        </w:tc>
      </w:tr>
    </w:tbl>
    <w:p>
      <w:pPr>
        <w:sectPr>
          <w:pgSz w:w="11900" w:h="16838" w:orient="portrait"/>
          <w:cols w:equalWidth="0" w:num="1">
            <w:col w:w="11020"/>
          </w:cols>
          <w:pgMar w:left="440" w:top="270" w:right="439" w:bottom="1440" w:gutter="0" w:footer="0" w:header="0"/>
        </w:sectPr>
      </w:pPr>
    </w:p>
    <w:bookmarkStart w:id="118" w:name="page119"/>
    <w:bookmarkEnd w:id="1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LENDERS:</w:t>
            </w:r>
          </w:p>
        </w:tc>
        <w:tc>
          <w:tcPr>
            <w:tcW w:w="7800" w:type="dxa"/>
            <w:vAlign w:val="bottom"/>
            <w:gridSpan w:val="3"/>
          </w:tcPr>
          <w:p>
            <w:pPr>
              <w:ind w:left="2380"/>
              <w:spacing w:after="0"/>
              <w:rPr>
                <w:sz w:val="20"/>
                <w:szCs w:val="20"/>
                <w:color w:val="auto"/>
              </w:rPr>
            </w:pPr>
            <w:r>
              <w:rPr>
                <w:rFonts w:ascii="Times New Roman" w:cs="Times New Roman" w:eastAsia="Times New Roman" w:hAnsi="Times New Roman"/>
                <w:sz w:val="18"/>
                <w:szCs w:val="18"/>
                <w:color w:val="auto"/>
              </w:rPr>
              <w:t>U.S. BANK NATIONAL ASSOCIATION,</w:t>
            </w:r>
          </w:p>
        </w:tc>
      </w:tr>
      <w:tr>
        <w:trPr>
          <w:trHeight w:val="234"/>
        </w:trPr>
        <w:tc>
          <w:tcPr>
            <w:tcW w:w="3240" w:type="dxa"/>
            <w:vAlign w:val="bottom"/>
          </w:tcPr>
          <w:p>
            <w:pPr>
              <w:spacing w:after="0"/>
              <w:rPr>
                <w:sz w:val="20"/>
                <w:szCs w:val="20"/>
                <w:color w:val="auto"/>
              </w:rPr>
            </w:pPr>
          </w:p>
        </w:tc>
        <w:tc>
          <w:tcPr>
            <w:tcW w:w="7800" w:type="dxa"/>
            <w:vAlign w:val="bottom"/>
            <w:gridSpan w:val="3"/>
          </w:tcPr>
          <w:p>
            <w:pPr>
              <w:ind w:left="2380"/>
              <w:spacing w:after="0"/>
              <w:rPr>
                <w:sz w:val="20"/>
                <w:szCs w:val="20"/>
                <w:color w:val="auto"/>
              </w:rPr>
            </w:pPr>
            <w:r>
              <w:rPr>
                <w:rFonts w:ascii="Times New Roman" w:cs="Times New Roman" w:eastAsia="Times New Roman" w:hAnsi="Times New Roman"/>
                <w:sz w:val="18"/>
                <w:szCs w:val="18"/>
                <w:color w:val="auto"/>
              </w:rPr>
              <w:t>as a Lender</w:t>
            </w:r>
          </w:p>
        </w:tc>
      </w:tr>
      <w:tr>
        <w:trPr>
          <w:trHeight w:val="432"/>
        </w:trPr>
        <w:tc>
          <w:tcPr>
            <w:tcW w:w="3240" w:type="dxa"/>
            <w:vAlign w:val="bottom"/>
          </w:tcPr>
          <w:p>
            <w:pPr>
              <w:spacing w:after="0"/>
              <w:rPr>
                <w:sz w:val="24"/>
                <w:szCs w:val="24"/>
                <w:color w:val="auto"/>
              </w:rPr>
            </w:pPr>
          </w:p>
        </w:tc>
        <w:tc>
          <w:tcPr>
            <w:tcW w:w="7800" w:type="dxa"/>
            <w:vAlign w:val="bottom"/>
            <w:gridSpan w:val="3"/>
          </w:tcPr>
          <w:p>
            <w:pPr>
              <w:ind w:left="2380"/>
              <w:spacing w:after="0"/>
              <w:rPr>
                <w:sz w:val="20"/>
                <w:szCs w:val="20"/>
                <w:color w:val="auto"/>
              </w:rPr>
            </w:pPr>
            <w:r>
              <w:rPr>
                <w:rFonts w:ascii="Times New Roman" w:cs="Times New Roman" w:eastAsia="Times New Roman" w:hAnsi="Times New Roman"/>
                <w:sz w:val="18"/>
                <w:szCs w:val="18"/>
                <w:color w:val="auto"/>
              </w:rPr>
              <w:t>By:  /s/ Sarah Amend</w:t>
            </w:r>
          </w:p>
        </w:tc>
      </w:tr>
      <w:tr>
        <w:trPr>
          <w:trHeight w:val="205"/>
        </w:trPr>
        <w:tc>
          <w:tcPr>
            <w:tcW w:w="3240" w:type="dxa"/>
            <w:vAlign w:val="bottom"/>
          </w:tcPr>
          <w:p>
            <w:pPr>
              <w:spacing w:after="0"/>
              <w:rPr>
                <w:sz w:val="17"/>
                <w:szCs w:val="17"/>
                <w:color w:val="auto"/>
              </w:rPr>
            </w:pPr>
          </w:p>
        </w:tc>
        <w:tc>
          <w:tcPr>
            <w:tcW w:w="2820" w:type="dxa"/>
            <w:vAlign w:val="bottom"/>
          </w:tcPr>
          <w:p>
            <w:pPr>
              <w:ind w:left="2380"/>
              <w:spacing w:after="0" w:line="205" w:lineRule="exact"/>
              <w:rPr>
                <w:sz w:val="20"/>
                <w:szCs w:val="20"/>
                <w:color w:val="auto"/>
              </w:rPr>
            </w:pPr>
            <w:r>
              <w:rPr>
                <w:rFonts w:ascii="Times New Roman" w:cs="Times New Roman" w:eastAsia="Times New Roman" w:hAnsi="Times New Roman"/>
                <w:sz w:val="18"/>
                <w:szCs w:val="18"/>
                <w:color w:val="auto"/>
                <w:w w:val="87"/>
              </w:rPr>
              <w:t>Name:</w:t>
            </w:r>
          </w:p>
        </w:tc>
        <w:tc>
          <w:tcPr>
            <w:tcW w:w="4960" w:type="dxa"/>
            <w:vAlign w:val="bottom"/>
            <w:tcBorders>
              <w:top w:val="single" w:sz="8" w:color="auto"/>
            </w:tcBorders>
          </w:tcPr>
          <w:p>
            <w:pPr>
              <w:jc w:val="right"/>
              <w:ind w:right="3790"/>
              <w:spacing w:after="0" w:line="205" w:lineRule="exact"/>
              <w:rPr>
                <w:sz w:val="20"/>
                <w:szCs w:val="20"/>
                <w:color w:val="auto"/>
              </w:rPr>
            </w:pPr>
            <w:r>
              <w:rPr>
                <w:rFonts w:ascii="Times New Roman" w:cs="Times New Roman" w:eastAsia="Times New Roman" w:hAnsi="Times New Roman"/>
                <w:sz w:val="18"/>
                <w:szCs w:val="18"/>
                <w:color w:val="auto"/>
              </w:rPr>
              <w:t>Sarah Amend</w:t>
            </w:r>
          </w:p>
        </w:tc>
        <w:tc>
          <w:tcPr>
            <w:tcW w:w="20" w:type="dxa"/>
            <w:vAlign w:val="bottom"/>
          </w:tcPr>
          <w:p>
            <w:pPr>
              <w:spacing w:after="0"/>
              <w:rPr>
                <w:sz w:val="17"/>
                <w:szCs w:val="17"/>
                <w:color w:val="auto"/>
              </w:rPr>
            </w:pPr>
          </w:p>
        </w:tc>
      </w:tr>
      <w:tr>
        <w:trPr>
          <w:trHeight w:val="234"/>
        </w:trPr>
        <w:tc>
          <w:tcPr>
            <w:tcW w:w="3240" w:type="dxa"/>
            <w:vAlign w:val="bottom"/>
          </w:tcPr>
          <w:p>
            <w:pPr>
              <w:spacing w:after="0"/>
              <w:rPr>
                <w:sz w:val="20"/>
                <w:szCs w:val="20"/>
                <w:color w:val="auto"/>
              </w:rPr>
            </w:pPr>
          </w:p>
        </w:tc>
        <w:tc>
          <w:tcPr>
            <w:tcW w:w="7800" w:type="dxa"/>
            <w:vAlign w:val="bottom"/>
            <w:gridSpan w:val="3"/>
          </w:tcPr>
          <w:p>
            <w:pPr>
              <w:ind w:left="2380"/>
              <w:spacing w:after="0"/>
              <w:rPr>
                <w:sz w:val="20"/>
                <w:szCs w:val="20"/>
                <w:color w:val="auto"/>
              </w:rPr>
            </w:pPr>
            <w:r>
              <w:rPr>
                <w:rFonts w:ascii="Times New Roman" w:cs="Times New Roman" w:eastAsia="Times New Roman" w:hAnsi="Times New Roman"/>
                <w:sz w:val="18"/>
                <w:szCs w:val="18"/>
                <w:color w:val="auto"/>
              </w:rPr>
              <w:t>Title: Assistant Vice President</w:t>
            </w:r>
          </w:p>
        </w:tc>
      </w:tr>
      <w:tr>
        <w:trPr>
          <w:trHeight w:val="346"/>
        </w:trPr>
        <w:tc>
          <w:tcPr>
            <w:tcW w:w="3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BIOGEN INC.</w:t>
            </w:r>
          </w:p>
        </w:tc>
      </w:tr>
      <w:tr>
        <w:trPr>
          <w:trHeight w:val="234"/>
        </w:trPr>
        <w:tc>
          <w:tcPr>
            <w:tcW w:w="32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TERM LOAN CREDIT AGREEMENT</w:t>
            </w:r>
          </w:p>
        </w:tc>
      </w:tr>
    </w:tbl>
    <w:p>
      <w:pPr>
        <w:sectPr>
          <w:pgSz w:w="11900" w:h="16838" w:orient="portrait"/>
          <w:cols w:equalWidth="0" w:num="1">
            <w:col w:w="11020"/>
          </w:cols>
          <w:pgMar w:left="440" w:top="270" w:right="439" w:bottom="1440" w:gutter="0" w:footer="0" w:header="0"/>
        </w:sectPr>
      </w:pPr>
    </w:p>
    <w:bookmarkStart w:id="119" w:name="page120"/>
    <w:bookmarkEnd w:id="11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BILBAO VIZCAYA ARGENTARIA, S.A. NEW</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YORK BRANCH,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Brian Crowley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20" w:name="page121"/>
    <w:bookmarkEnd w:id="12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Grant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Grant Griffith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21" w:name="page122"/>
    <w:bookmarkEnd w:id="12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Isha Raut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Isha Raut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22" w:name="page123"/>
    <w:bookmarkEnd w:id="12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Andrea S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Andrea S Chen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23" w:name="page124"/>
    <w:bookmarkEnd w:id="12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CHINA, NEW YORK BRANCH,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Raymond Qiao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24" w:name="page125"/>
    <w:bookmarkEnd w:id="12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SCOTIA FINANCING (USA)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Michelle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Michelle Phillips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25" w:name="page126"/>
    <w:bookmarkEnd w:id="12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BRANCH,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Mike Tkach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Mike Tkach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26" w:name="page127"/>
    <w:bookmarkEnd w:id="12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Daniel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Daniel Russell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27" w:name="page128"/>
    <w:bookmarkEnd w:id="12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Marko Lukin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Alison Lugo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28" w:name="page129"/>
    <w:bookmarkEnd w:id="12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Eugene Yermash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Eugene Yermash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29" w:name="page130"/>
    <w:bookmarkEnd w:id="12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Dana Siconolfi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Dana Siconolfi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30" w:name="page131"/>
    <w:bookmarkEnd w:id="13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AGRICULTURAL BANK OF CHINA LIMITED, NEW</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YORK BRANCH,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Nelson Chou</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SVP &amp; Head of Corporate Banking Department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CREDIT AGREEMENT</w:t>
      </w:r>
    </w:p>
    <w:p>
      <w:pPr>
        <w:sectPr>
          <w:pgSz w:w="11900" w:h="16838" w:orient="portrait"/>
          <w:cols w:equalWidth="0" w:num="1">
            <w:col w:w="10020"/>
          </w:cols>
          <w:pgMar w:left="1440" w:top="270" w:right="4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sz w:val="1"/>
          <w:szCs w:val="1"/>
          <w:color w:val="auto"/>
        </w:rPr>
        <w:drawing>
          <wp:inline distT="0" distB="0" distL="0" distR="0">
            <wp:extent cx="1371600" cy="46291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1371600" cy="4629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86995</wp:posOffset>
            </wp:positionV>
            <wp:extent cx="5880735"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5880735" cy="6858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Completes Acquisition of Apellis Pharmaceuticals</w:t>
      </w:r>
    </w:p>
    <w:p>
      <w:pPr>
        <w:spacing w:after="0" w:line="225"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Cambridge, Mass. – May 14,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Biogen Inc</w:t>
      </w:r>
      <w:r>
        <w:rPr>
          <w:rFonts w:ascii="Times New Roman" w:cs="Times New Roman" w:eastAsia="Times New Roman" w:hAnsi="Times New Roman"/>
          <w:sz w:val="18"/>
          <w:szCs w:val="18"/>
          <w:color w:val="auto"/>
        </w:rPr>
        <w:t>. (Nasdaq: BIIB) today announced the successful completion of the acquisition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Apellis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Pharmaceuticals, Inc</w:t>
      </w:r>
      <w:r>
        <w:rPr>
          <w:rFonts w:ascii="Times New Roman" w:cs="Times New Roman" w:eastAsia="Times New Roman" w:hAnsi="Times New Roman"/>
          <w:sz w:val="18"/>
          <w:szCs w:val="18"/>
          <w:color w:val="auto"/>
        </w:rPr>
        <w:t>. (Nasdaq: APLS). Apellis, a leader in advancing treatments for serious, complement-driven diseases, is now a wholly owned subsidiary of Biogen.</w:t>
      </w:r>
    </w:p>
    <w:p>
      <w:pPr>
        <w:spacing w:after="0" w:line="175"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The acquisition adds two best-in-class commercialized products, 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significantly bolstering Biogen’s near-term growth outlook and accelerating the Company’s expansion into nephrology. Together, the products recorded $689 million in net product revenue in 2025. This transaction will strengthen Biogen’s revenue and EPS growth potential by being accretive to Biogen’s Non-GAAP diluted EPS in 2027 and is expected to materially increase Biogen’s non-GAAP EPS compound annual growth rate (CAGR) through the end of the decade. Updated financial guidance will be provided in conjunction with the Q2 earnings report in July.</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Apellis also brings an established nephrology commercial and medical infrastructure to accelerate Biogen’s launch readiness for felzartamab, with a first Phase 3 readout in antibody-mediated rejection in kidney transplant patients anticipated in the first half of 2027.</w:t>
      </w:r>
    </w:p>
    <w:p>
      <w:pPr>
        <w:spacing w:after="0" w:line="16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Biogen’s tender offer, to acquire all of the outstanding shares of Apellis common stock for $41 per share in cash and one contractual, non-transferable contingent value right per share representing the right to receive contingent cash payments of up to an aggregate of $4 in cash upon the achievement of certain annual global net sales thresholds for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expired one minute after 11:59 p.m., Eastern Time, on May 13, 2026. Equiniti Trust Company, LLC, the depositary for the tender offer, has advised Biogen that approximately 105,687,831 shares were validly tendered and not validly withdrawn in the tender offer, representing approximately 82.4% of the total outstanding shares as of the expiration time. All conditions to the tender offer having been satisfied or waived on May 14, 2026, Aspen Purchaser Sub, Inc. (Aspen), a wholly owned subsidiary of Biogen, accepted for payment all shares that were validly tendered and not validly withdrawn pursuant to the tender offer.</w:t>
      </w:r>
    </w:p>
    <w:p>
      <w:pPr>
        <w:spacing w:after="0" w:line="20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Following the consummation of the tender offer, Aspen merged with and into Apellis in accordance with Section 251(h) of the General Corporation Law of the State of Delaware without a vote of Apellis shareholders, with Apellis continuing as the surviving corporation of the merger and a wholly owned subsidiary of Biogen. In connection with the merger, the shares that were not tendered in the tender offer were acquired by Biogen and converted into the right to receive the offer price. In connection with the completion of the transaction, the Apellis shares ceased trading on Nasdaq.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SYFOVRE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(pegcetacoplan injection)</w:t>
      </w:r>
    </w:p>
    <w:p>
      <w:pPr>
        <w:spacing w:after="0" w:line="49" w:lineRule="exact"/>
        <w:rPr>
          <w:sz w:val="20"/>
          <w:szCs w:val="20"/>
          <w:color w:val="auto"/>
        </w:rPr>
      </w:pPr>
    </w:p>
    <w:p>
      <w:pPr>
        <w:ind w:right="120"/>
        <w:spacing w:after="0" w:line="217" w:lineRule="auto"/>
        <w:rPr>
          <w:sz w:val="20"/>
          <w:szCs w:val="20"/>
          <w:color w:val="auto"/>
        </w:rPr>
      </w:pPr>
      <w:r>
        <w:rPr>
          <w:rFonts w:ascii="Times New Roman" w:cs="Times New Roman" w:eastAsia="Times New Roman" w:hAnsi="Times New Roman"/>
          <w:sz w:val="18"/>
          <w:szCs w:val="18"/>
          <w:color w:val="auto"/>
        </w:rPr>
        <w:t>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injection) is the first-ever approved therapy for geographic atrophy (GA) secondary to AMD. By targeting C3, SYFOVRE is designed to provide comprehensive control of the complement cascade, part of the body’s immune system. SYFOVRE is approved in the United States and Australia for the treatment of GA secondary to age-related macular degeneration.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ectPr>
          <w:pgSz w:w="11900" w:h="16838" w:orient="portrait"/>
          <w:cols w:equalWidth="0" w:num="1">
            <w:col w:w="11020"/>
          </w:cols>
          <w:pgMar w:left="440" w:top="117"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Geographic Atrophy</w:t>
      </w:r>
    </w:p>
    <w:p>
      <w:pPr>
        <w:spacing w:after="0" w:line="12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Geographic atrophy is an advanced form of age-related macular degeneration and a leading cause of blindness worldwide, impacting more than one million Americans and five million people worldwide.</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xml:space="preserve"> It is a progressive and irreversible disease caused by the growth of lesions, which destroys the retinal cells responsible for vision. Vision loss caused by GA severely impairs independence and quality of life by making it difficult to participate in daily activities. While rates of progression vary between patients, on average, it takes 2.5 years for GA lesions to start impacting the fovea, which is responsible for central vision.</w:t>
      </w:r>
      <w:r>
        <w:rPr>
          <w:rFonts w:ascii="Times New Roman" w:cs="Times New Roman" w:eastAsia="Times New Roman" w:hAnsi="Times New Roman"/>
          <w:sz w:val="26"/>
          <w:szCs w:val="26"/>
          <w:color w:val="auto"/>
          <w:vertAlign w:val="superscript"/>
        </w:rPr>
        <w:t>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EMPAVELI</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/Aspaveli</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(pegcetacoplan)</w:t>
      </w:r>
    </w:p>
    <w:p>
      <w:pPr>
        <w:spacing w:after="0" w:line="49" w:lineRule="exact"/>
        <w:rPr>
          <w:sz w:val="20"/>
          <w:szCs w:val="20"/>
          <w:color w:val="auto"/>
        </w:rPr>
      </w:pPr>
    </w:p>
    <w:p>
      <w:pPr>
        <w:ind w:right="100"/>
        <w:spacing w:after="0" w:line="210" w:lineRule="auto"/>
        <w:rPr>
          <w:sz w:val="20"/>
          <w:szCs w:val="20"/>
          <w:color w:val="auto"/>
        </w:rPr>
      </w:pPr>
      <w:r>
        <w:rPr>
          <w:rFonts w:ascii="Times New Roman" w:cs="Times New Roman" w:eastAsia="Times New Roman" w:hAnsi="Times New Roman"/>
          <w:sz w:val="18"/>
          <w:szCs w:val="18"/>
          <w:color w:val="auto"/>
        </w:rPr>
        <w:t>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EU) (pegcetacoplan) is a targeted C3 therapy designed to regulate excessive activation of the complement cascade, part of the body’s immune system, which can lead to the onset and progression of many serious diseases. It is the first treatment approved in the United States for C3 glomerulopathy (C3G) or primary immune complex membranoproliferative glomerulonephritis (IC-MPGN) in patients 12 years of age or older, to reduce proteinuria. 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/Aspaveli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also approved for the treatment of adults with paroxysmal nocturnal hemoglobinuria (PNH) in the United States, European Union, and other countries globally, and for the treatment of C3G and primary IC-MPGN in the European Union and other countries globally. EMPAVELI is being evaluated for the treatment of additional rare diseases. Sobi has commercial rights to 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/Aspaveli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outside the U.S.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C3 Glomerulopathy (C3G) and Primary Immune-Complex Membranoproliferative Glomerulonephritis (IC-MPGN)</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C3G and primary IC-MPGN are rare and debilitating kidney diseases that can lead to kidney failure. Excessive C3 deposits are a key marker of disease activity, which can lead to kidney inflammation, damage, and failure. Approximately 50% of people living with C3G and primary IC-MPGN suffer from kidney failure within five to 10 years of diagnosis, requiring lifelong dialysis therapy or a burdensome kidney transplant.</w:t>
      </w:r>
      <w:r>
        <w:rPr>
          <w:rFonts w:ascii="Times New Roman" w:cs="Times New Roman" w:eastAsia="Times New Roman" w:hAnsi="Times New Roman"/>
          <w:sz w:val="13"/>
          <w:szCs w:val="13"/>
          <w:color w:val="auto"/>
        </w:rPr>
        <w:t>4-6</w:t>
      </w:r>
      <w:r>
        <w:rPr>
          <w:rFonts w:ascii="Times New Roman" w:cs="Times New Roman" w:eastAsia="Times New Roman" w:hAnsi="Times New Roman"/>
          <w:sz w:val="18"/>
          <w:szCs w:val="18"/>
          <w:color w:val="auto"/>
        </w:rPr>
        <w:t xml:space="preserve"> Additionally, approximately 90% of patients who previously received a kidney transplant will experience disease recurrence.</w:t>
      </w:r>
      <w:r>
        <w:rPr>
          <w:rFonts w:ascii="Times New Roman" w:cs="Times New Roman" w:eastAsia="Times New Roman" w:hAnsi="Times New Roman"/>
          <w:sz w:val="26"/>
          <w:szCs w:val="26"/>
          <w:color w:val="auto"/>
          <w:vertAlign w:val="superscript"/>
        </w:rPr>
        <w:t>7</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Paroxysmal Nocturnal Hemoglobinuria (PNH)</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Paroxysmal nocturnal hemoglobinuria (PNH) is an acquired, rare, chronic, and potentially life-threatening blood disease that is associated with persistently low (below normal) hemoglobin levels, thrombosis, and debilitating symptoms. PNH can appear at any age and in any race or gender, and is most often diagnosed in people in their early 30s.</w:t>
      </w:r>
      <w:r>
        <w:rPr>
          <w:rFonts w:ascii="Times New Roman" w:cs="Times New Roman" w:eastAsia="Times New Roman" w:hAnsi="Times New Roman"/>
          <w:sz w:val="26"/>
          <w:szCs w:val="26"/>
          <w:color w:val="auto"/>
          <w:vertAlign w:val="superscript"/>
        </w:rPr>
        <w:t>8,9</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Important Safety Information for SYFOVRE</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 injection)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CONTRAINDICATIONS</w:t>
      </w:r>
    </w:p>
    <w:p>
      <w:pPr>
        <w:spacing w:after="0" w:line="111" w:lineRule="exact"/>
        <w:rPr>
          <w:sz w:val="20"/>
          <w:szCs w:val="20"/>
          <w:color w:val="auto"/>
        </w:rPr>
      </w:pPr>
    </w:p>
    <w:p>
      <w:pPr>
        <w:ind w:left="960" w:right="380" w:hanging="424"/>
        <w:spacing w:after="0" w:line="224" w:lineRule="auto"/>
        <w:tabs>
          <w:tab w:leader="none" w:pos="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contraindicated in patients with ocular or periocular infections, in patients with active intraocular inflammation, and in patients with hypersensitivity to pegcetacoplan or any of the excipients in SYFOVRE. Systemic hypersensitivity reactions (e.g., anaphylaxis, rash, urticaria) have occurred.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WARNINGS AND PRECAUTIONS</w:t>
      </w:r>
    </w:p>
    <w:p>
      <w:pPr>
        <w:spacing w:after="0" w:line="135" w:lineRule="exact"/>
        <w:rPr>
          <w:sz w:val="20"/>
          <w:szCs w:val="20"/>
          <w:color w:val="auto"/>
        </w:rPr>
      </w:pPr>
    </w:p>
    <w:p>
      <w:pPr>
        <w:ind w:left="960" w:hanging="424"/>
        <w:spacing w:after="0"/>
        <w:tabs>
          <w:tab w:leader="none" w:pos="9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Endophthalmitis and Retinal Detachments</w:t>
      </w:r>
    </w:p>
    <w:p>
      <w:pPr>
        <w:spacing w:after="0" w:line="130" w:lineRule="exact"/>
        <w:rPr>
          <w:rFonts w:ascii="Times New Roman" w:cs="Times New Roman" w:eastAsia="Times New Roman" w:hAnsi="Times New Roman"/>
          <w:sz w:val="18"/>
          <w:szCs w:val="18"/>
          <w:color w:val="auto"/>
        </w:rPr>
      </w:pPr>
    </w:p>
    <w:p>
      <w:pPr>
        <w:ind w:left="1420" w:right="260" w:hanging="331"/>
        <w:spacing w:after="0" w:line="261" w:lineRule="auto"/>
        <w:tabs>
          <w:tab w:leader="none" w:pos="14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Intravitreal injections, including those with SYFOVRE, may be associated with endophthalmitis and retinal detachments. Proper aseptic injection technique must always be used when administering SYFOVRE to minimize the risk of endophthalmitis. Patients should be instructed to report any symptoms suggestive of endophthalmitis or retinal detachment without delay and should be managed appropriately.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ectPr>
          <w:pgSz w:w="11900" w:h="16838" w:orient="portrait"/>
          <w:cols w:equalWidth="0" w:num="1">
            <w:col w:w="11000"/>
          </w:cols>
          <w:pgMar w:left="440" w:top="266" w:right="459" w:bottom="1440" w:gutter="0" w:footer="0" w:header="0"/>
        </w:sectPr>
      </w:pPr>
    </w:p>
    <w:bookmarkStart w:id="133" w:name="page134"/>
    <w:bookmarkEnd w:id="133"/>
    <w:p>
      <w:pPr>
        <w:ind w:left="960" w:hanging="424"/>
        <w:spacing w:after="0"/>
        <w:tabs>
          <w:tab w:leader="none" w:pos="9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Retinal Vasculitis and/or Retinal Vascular Occlusion</w:t>
      </w:r>
    </w:p>
    <w:p>
      <w:pPr>
        <w:spacing w:after="0" w:line="130"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Retinal vasculitis and/or retinal vascular occlusion, typically in the presence of intraocular inflammation, have been reported with the use of SYFOVRE. Cases may occur with the first dose of SYFOVRE and may result in severe vision loss. Discontinue treatment with SYFOVRE in patients who develop these events. Patients should be instructed to report any change in vision without delay.</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Neovascular Age-related Macular Degeneration (AMD)</w:t>
      </w:r>
    </w:p>
    <w:p>
      <w:pPr>
        <w:spacing w:after="0" w:line="130" w:lineRule="exact"/>
        <w:rPr>
          <w:rFonts w:ascii="Times New Roman" w:cs="Times New Roman" w:eastAsia="Times New Roman" w:hAnsi="Times New Roman"/>
          <w:sz w:val="18"/>
          <w:szCs w:val="18"/>
          <w:color w:val="auto"/>
        </w:rPr>
      </w:pPr>
    </w:p>
    <w:p>
      <w:pPr>
        <w:ind w:left="1420" w:right="200" w:hanging="331"/>
        <w:spacing w:after="0" w:line="261" w:lineRule="auto"/>
        <w:tabs>
          <w:tab w:leader="none" w:pos="1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clinical trials, use of SYFOVRE was associated with increased rates of neovascular (wet) AMD or choroidal neovascularization (12% when administered monthly, 7% when administered every other month and 3% in the control group) by Month 24. Patients receiving SYFOVRE should be monitored for signs of neovascular AMD. In case anti-Vascular Endothelial Growth Factor (anti-VEGF) is required, it should be given separately from SYFOVRE administration.</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Intraocular Inflammation</w:t>
      </w:r>
    </w:p>
    <w:p>
      <w:pPr>
        <w:spacing w:after="0" w:line="130" w:lineRule="exact"/>
        <w:rPr>
          <w:rFonts w:ascii="Times New Roman" w:cs="Times New Roman" w:eastAsia="Times New Roman" w:hAnsi="Times New Roman"/>
          <w:sz w:val="18"/>
          <w:szCs w:val="18"/>
          <w:color w:val="auto"/>
        </w:rPr>
      </w:pPr>
    </w:p>
    <w:p>
      <w:pPr>
        <w:ind w:left="1420" w:right="380" w:hanging="331"/>
        <w:spacing w:after="0" w:line="266" w:lineRule="auto"/>
        <w:tabs>
          <w:tab w:leader="none" w:pos="1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clinical trials, use of SYFOVRE was associated with episodes of intraocular inflammation including: vitritis, vitreal cells, iridocyclitis, uveitis, anterior chamber cells, iritis, and anterior chamber flare. After inflammation resolves, patients may resume treatment with SYFOVRE.</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Intraocular Pressure</w:t>
      </w:r>
    </w:p>
    <w:p>
      <w:pPr>
        <w:spacing w:after="0" w:line="130" w:lineRule="exact"/>
        <w:rPr>
          <w:rFonts w:ascii="Times New Roman" w:cs="Times New Roman" w:eastAsia="Times New Roman" w:hAnsi="Times New Roman"/>
          <w:sz w:val="18"/>
          <w:szCs w:val="18"/>
          <w:color w:val="auto"/>
        </w:rPr>
      </w:pPr>
    </w:p>
    <w:p>
      <w:pPr>
        <w:ind w:left="1420" w:right="180" w:hanging="331"/>
        <w:spacing w:after="0" w:line="282" w:lineRule="auto"/>
        <w:tabs>
          <w:tab w:leader="none" w:pos="1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Acute increase in intraocular pressure may occur within minutes of any intravitreal injection, including with SYFOVRE. Perfusion of the optic nerve head should be monitored following the injection and managed as needed.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ADVERSE REACTIONS</w:t>
      </w:r>
    </w:p>
    <w:p>
      <w:pPr>
        <w:spacing w:after="0" w:line="135" w:lineRule="exact"/>
        <w:rPr>
          <w:sz w:val="20"/>
          <w:szCs w:val="20"/>
          <w:color w:val="auto"/>
        </w:rPr>
      </w:pPr>
    </w:p>
    <w:p>
      <w:pPr>
        <w:ind w:left="960" w:right="200" w:hanging="424"/>
        <w:spacing w:after="0" w:line="282" w:lineRule="auto"/>
        <w:tabs>
          <w:tab w:leader="none" w:pos="9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common adverse reactions (incidence ≥5%) are ocular discomfort, neovascular age-related macular degeneration, vitreous floaters, conjunctival hemorrhage.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full Prescribing Information for more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Important Safety Information for EMPAVELI</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BOXED WARNING: SERIOUS INFECTIONS CAUSED BY ENCAPSULATED BACTERIA</w:t>
      </w:r>
    </w:p>
    <w:p>
      <w:pPr>
        <w:spacing w:after="0" w:line="93" w:lineRule="exact"/>
        <w:rPr>
          <w:sz w:val="20"/>
          <w:szCs w:val="20"/>
          <w:color w:val="auto"/>
        </w:rPr>
      </w:pPr>
    </w:p>
    <w:p>
      <w:pPr>
        <w:ind w:right="240"/>
        <w:spacing w:after="0" w:line="231" w:lineRule="auto"/>
        <w:rPr>
          <w:sz w:val="20"/>
          <w:szCs w:val="20"/>
          <w:color w:val="auto"/>
        </w:rPr>
      </w:pPr>
      <w:r>
        <w:rPr>
          <w:rFonts w:ascii="Times New Roman" w:cs="Times New Roman" w:eastAsia="Times New Roman" w:hAnsi="Times New Roman"/>
          <w:sz w:val="18"/>
          <w:szCs w:val="18"/>
          <w:b w:val="1"/>
          <w:bCs w:val="1"/>
          <w:color w:val="auto"/>
        </w:rPr>
        <w:t>EMPAVELI</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a complement inhibitor, increases the risk of serious infections, especially those caused by encapsulated bacteria, such as </w:t>
      </w:r>
      <w:r>
        <w:rPr>
          <w:rFonts w:ascii="Times New Roman" w:cs="Times New Roman" w:eastAsia="Times New Roman" w:hAnsi="Times New Roman"/>
          <w:sz w:val="18"/>
          <w:szCs w:val="18"/>
          <w:b w:val="1"/>
          <w:bCs w:val="1"/>
          <w:i w:val="1"/>
          <w:iCs w:val="1"/>
          <w:color w:val="auto"/>
        </w:rPr>
        <w:t>Streptococcus pneumoniae, Neisseria meningitidis</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Haemophilus influenzae</w:t>
      </w:r>
      <w:r>
        <w:rPr>
          <w:rFonts w:ascii="Times New Roman" w:cs="Times New Roman" w:eastAsia="Times New Roman" w:hAnsi="Times New Roman"/>
          <w:sz w:val="18"/>
          <w:szCs w:val="18"/>
          <w:b w:val="1"/>
          <w:bCs w:val="1"/>
          <w:color w:val="auto"/>
        </w:rPr>
        <w:t xml:space="preserve"> type B. Life-threatening and fatal infections with encapsulated bacteria have occurred in patients treated with complement inhibitors. These infections may become rapidly life-threatening or fatal if not recognized and treated early.</w:t>
      </w:r>
    </w:p>
    <w:p>
      <w:pPr>
        <w:spacing w:after="0" w:line="100" w:lineRule="exact"/>
        <w:rPr>
          <w:sz w:val="20"/>
          <w:szCs w:val="20"/>
          <w:color w:val="auto"/>
        </w:rPr>
      </w:pPr>
    </w:p>
    <w:p>
      <w:pPr>
        <w:ind w:left="960" w:right="80" w:hanging="424"/>
        <w:spacing w:after="0" w:line="262" w:lineRule="auto"/>
        <w:tabs>
          <w:tab w:leader="none" w:pos="9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Complete or update vaccination for encapsulated bacteria at least 2 weeks prior to the first dose of EMPAVELI, unless the risks of delaying therapy with EMPAVELI outweigh the risks of developing a serious infection. Comply with the most current Advisory Committee on Immunization Practices (ACIP) recommendations for vaccinations against encapsulated bacteria in patients receiving a complement inhibitor.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ectPr>
          <w:pgSz w:w="11900" w:h="16838" w:orient="portrait"/>
          <w:cols w:equalWidth="0" w:num="1">
            <w:col w:w="11020"/>
          </w:cols>
          <w:pgMar w:left="440" w:top="270" w:right="439" w:bottom="1440" w:gutter="0" w:footer="0" w:header="0"/>
        </w:sectPr>
      </w:pPr>
    </w:p>
    <w:bookmarkStart w:id="134" w:name="page135"/>
    <w:bookmarkEnd w:id="134"/>
    <w:p>
      <w:pPr>
        <w:ind w:left="960" w:right="160" w:hanging="424"/>
        <w:spacing w:after="0" w:line="268" w:lineRule="auto"/>
        <w:tabs>
          <w:tab w:leader="none" w:pos="9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Patients receiving EMPAVELI are at increased risk for invasive disease caused by encapsulated bacteria, even if they develop antibodies following vaccination. Monitor patients for early signs and symptoms of serious infections and evaluate immediately if infection is suspected.</w:t>
      </w:r>
    </w:p>
    <w:p>
      <w:pPr>
        <w:spacing w:after="0" w:line="2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Because of the risk of serious infections caused by encapsulated bacteria, EMPAVELI is available only through a restricted program under a Risk Evaluation and Mitigation Strategy (REMS) called the EMPAVELI REMS.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135" w:lineRule="exact"/>
        <w:rPr>
          <w:sz w:val="20"/>
          <w:szCs w:val="20"/>
          <w:color w:val="auto"/>
        </w:rPr>
      </w:pPr>
    </w:p>
    <w:p>
      <w:pPr>
        <w:ind w:left="960" w:hanging="424"/>
        <w:spacing w:after="0"/>
        <w:tabs>
          <w:tab w:leader="none" w:pos="9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Hypersensitivity to pegcetacoplan or to any of the excipients</w:t>
      </w:r>
    </w:p>
    <w:p>
      <w:pPr>
        <w:spacing w:after="0" w:line="128" w:lineRule="exact"/>
        <w:rPr>
          <w:rFonts w:ascii="Times New Roman" w:cs="Times New Roman" w:eastAsia="Times New Roman" w:hAnsi="Times New Roman"/>
          <w:sz w:val="18"/>
          <w:szCs w:val="18"/>
          <w:color w:val="auto"/>
        </w:rPr>
      </w:pPr>
    </w:p>
    <w:p>
      <w:pPr>
        <w:ind w:left="960" w:right="40" w:hanging="424"/>
        <w:spacing w:after="0" w:line="284" w:lineRule="auto"/>
        <w:tabs>
          <w:tab w:leader="none" w:pos="9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initiation in patients with unresolved serious infection caused by encapsulated bacteria including </w:t>
      </w:r>
      <w:r>
        <w:rPr>
          <w:rFonts w:ascii="Times New Roman" w:cs="Times New Roman" w:eastAsia="Times New Roman" w:hAnsi="Times New Roman"/>
          <w:sz w:val="18"/>
          <w:szCs w:val="18"/>
          <w:i w:val="1"/>
          <w:iCs w:val="1"/>
          <w:color w:val="auto"/>
        </w:rPr>
        <w:t>Streptococcus pneumoniae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Neisseria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meningitidis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Haemophilus influenzae </w:t>
      </w:r>
      <w:r>
        <w:rPr>
          <w:rFonts w:ascii="Times New Roman" w:cs="Times New Roman" w:eastAsia="Times New Roman" w:hAnsi="Times New Roman"/>
          <w:sz w:val="18"/>
          <w:szCs w:val="18"/>
          <w:color w:val="auto"/>
        </w:rPr>
        <w:t>type B</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Serious Infections Caused by Encapsulated Bacteria</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EMPAVELI, a complement inhibitor, increases a patient’s susceptibility to serious, life-threatening, or fatal infections caused by encapsulated bacteria including </w:t>
      </w:r>
      <w:r>
        <w:rPr>
          <w:rFonts w:ascii="Times New Roman" w:cs="Times New Roman" w:eastAsia="Times New Roman" w:hAnsi="Times New Roman"/>
          <w:sz w:val="18"/>
          <w:szCs w:val="18"/>
          <w:i w:val="1"/>
          <w:iCs w:val="1"/>
          <w:color w:val="auto"/>
        </w:rPr>
        <w:t>Streptococcus pneumoniae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Neisseria meningitidis</w:t>
      </w:r>
      <w:r>
        <w:rPr>
          <w:rFonts w:ascii="Times New Roman" w:cs="Times New Roman" w:eastAsia="Times New Roman" w:hAnsi="Times New Roman"/>
          <w:sz w:val="18"/>
          <w:szCs w:val="18"/>
          <w:color w:val="auto"/>
        </w:rPr>
        <w:t xml:space="preserve"> (caused by any serogroup, including non-groupable strains), and </w:t>
      </w:r>
      <w:r>
        <w:rPr>
          <w:rFonts w:ascii="Times New Roman" w:cs="Times New Roman" w:eastAsia="Times New Roman" w:hAnsi="Times New Roman"/>
          <w:sz w:val="18"/>
          <w:szCs w:val="18"/>
          <w:i w:val="1"/>
          <w:iCs w:val="1"/>
          <w:color w:val="auto"/>
        </w:rPr>
        <w:t>Haemophilus influenzae</w:t>
      </w:r>
      <w:r>
        <w:rPr>
          <w:rFonts w:ascii="Times New Roman" w:cs="Times New Roman" w:eastAsia="Times New Roman" w:hAnsi="Times New Roman"/>
          <w:sz w:val="18"/>
          <w:szCs w:val="18"/>
          <w:color w:val="auto"/>
        </w:rPr>
        <w:t xml:space="preserve"> type B. Life-threatening and fatal infections with encapsulated bacteria have occurred in both vaccinated and unvaccinated patients treated with complement inhibitors. The initiation of EMPAVELI treatment is contraindicated in patients with unresolved serious infection caused by encapsulated bacteria.</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Complete or update vaccination against encapsulated bacteria at least 2 weeks prior to administration of the first dose of EMPAVELI, according to the most current ACIP recommendations for patients receiving a complement inhibitor. Revaccinate patients in accordance with ACIP recommendations considering the duration of therapy with EMPAVELI. Note that ACIP recommends an administration schedule in patients receiving complement inhibitors that differs from the administration schedule in the vaccine prescribing information. If urgent EMPAVELI therapy is indicated in a patient who is not up to date with vaccines against encapsulated bacteria according to ACIP recommendations, provide the patient with antibacterial drug prophylaxis and administer these vaccines as soon as possible. The benefits and risks of treatment with EMPAVELI, as well as the benefits and risks of antibacterial drug prophylaxis in unvaccinated or vaccinated patients, must be considered against the known risks for serious infections caused by encapsulated bacteria.</w:t>
      </w:r>
    </w:p>
    <w:p>
      <w:pPr>
        <w:spacing w:after="0" w:line="19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Vaccination does not eliminate the risk of serious encapsulated bacterial infections, despite development of antibodies following vaccination. Closely monitor patients for early signs and symptoms of serious infection and evaluate patients immediately if an infection is suspected. Inform patients of these signs and symptoms and instruct patients to seek immediate medical care if these signs and symptoms occur. Promptly treat known infections. Serious infection may become rapidly life-threatening or fatal if not recognized and treated early. Consider interruption of EMPAVELI in patients who are undergoing treatment for serious infections.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EMPAVELI is available only through a restricted program under a REMS.</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More |</w:t>
      </w:r>
    </w:p>
    <w:p>
      <w:pPr>
        <w:sectPr>
          <w:pgSz w:w="11900" w:h="16838" w:orient="portrait"/>
          <w:cols w:equalWidth="0" w:num="1">
            <w:col w:w="11000"/>
          </w:cols>
          <w:pgMar w:left="440" w:top="266"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EMPAVELI REMS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EMPAVELI is available only through a restricted program under a REMS called EMPAVELI REMS, because of the risk of serious infections caused by encapsulated bacteria. Notable requirements of the EMPAVELI REMS include the following:</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EMPAVELI REMS, prescribers must enroll in the program. Prescribers must counsel patients about the risks, signs, and symptoms of serious infections caused by encapsulated bacteria, provide patients with the REMS educational materials, ensure patients are vaccinated against encapsulated bacteria at least 2 weeks prior to the first dose of EMPAVELI, prescribe antibacterial drug prophylaxis if patients’ vaccine status is not up to date and treatment must be started urgently, and provide instructions to always carry the Patient Safety Card both during treatment, as well as for 2 months following last dose of EMPAVELI. Pharmacies that dispense EMPAVELI must be certified in the EMPAVELI REMS and must verify prescribers are certified.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is available at </w:t>
      </w:r>
      <w:r>
        <w:rPr>
          <w:rFonts w:ascii="Times New Roman" w:cs="Times New Roman" w:eastAsia="Times New Roman" w:hAnsi="Times New Roman"/>
          <w:sz w:val="18"/>
          <w:szCs w:val="18"/>
          <w:u w:val="single" w:color="auto"/>
          <w:color w:val="auto"/>
        </w:rPr>
        <w:t>www.empavelirems.com</w:t>
      </w:r>
      <w:r>
        <w:rPr>
          <w:rFonts w:ascii="Times New Roman" w:cs="Times New Roman" w:eastAsia="Times New Roman" w:hAnsi="Times New Roman"/>
          <w:sz w:val="18"/>
          <w:szCs w:val="18"/>
          <w:color w:val="auto"/>
        </w:rPr>
        <w:t xml:space="preserve"> or 1-888-343-7073.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Infusion-Related Reactions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Systemic hypersensitivity reactions (e.g., facial swelling, rash, urticaria, pyrexia) have occurred in patients treated with EMPAVELI, which may resolve after treatment with antihistamines. Cases of anaphylaxis leading to treatment discontinuation have been reported. If a severe hypersensitivity reaction (including anaphylaxis) occurs, discontinue EMPAVELI infusion immediately, institute appropriate treatment, per standard of care, and monitor until signs and symptoms are resolved.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Monitoring Paroxysmal Nocturnal Hemoglobinuria (PNH) Manifestations after Discontinuation of EMPAVELI</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After discontinuing treatment with EMPAVELI, closely monitor for signs and symptoms of hemolysis, identified by elevated Lactate Dehydrogenase (LDH) levels along with sudden decrease in PNH clone size or hemoglobin, or reappearance of symptoms such as fatigue, hemoglobinuria, abdominal pain, dyspnea, major adverse vascular events (including thrombosis), dysphagia, or erectile dysfunction. Monitor any patient who discontinues EMPAVELI for at least 8 weeks to detect hemolysis and other reactions. If hemolysis, including elevated LDH, occurs after discontinuation of EMPAVELI, consider restarting treatment with EMPAVELI.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Interference with Laboratory Tests</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There may be interference between silica reagents in coagulation panels and EMPAVELI that results in artificially prolonged activated partial thromboplastin time (aPTT); therefore, avoid the use of silica reagents in coagulation panels.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REACTIONS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Most common adverse reactions in adult patients with PNH (incidence ≥10%) were injection site reactions, infections, diarrhea, abdominal pain, respiratory tract infection, pain in extremity, hypokalemia, fatigue, viral infection, cough, arthralgia, dizziness, headache, and rash.</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Most common adverse reactions in adult and pediatric patients 12 years of age and older with C3 glomerulopathy (C3G) or primary immune-complex membranoproliferative glomerulonephritis (IC-MPGN) (incidence ≥10%) were injection-site reactions, pyrexia, nasopharyngitis, influenza, cough, and nausea.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IN SPECIFIC POPULATIONS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Females of Reproductive Potential</w:t>
      </w:r>
    </w:p>
    <w:p>
      <w:pPr>
        <w:spacing w:after="0" w:line="12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EMPAVELI may cause embryo-fetal harm when administered to pregnant women. Pregnancy testing is recommended for females of reproductive potential prior to treatment with EMPAVELI. Advise female patients of reproductive potential to use effective contraception during treatment with EMPAVELI and for 40 days after the last dose.</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More |</w:t>
      </w:r>
    </w:p>
    <w:p>
      <w:pPr>
        <w:sectPr>
          <w:pgSz w:w="11900" w:h="16838" w:orient="portrait"/>
          <w:cols w:equalWidth="0" w:num="1">
            <w:col w:w="10940"/>
          </w:cols>
          <w:pgMar w:left="440" w:top="266" w:right="519" w:bottom="1440" w:gutter="0" w:footer="0" w:header="0"/>
        </w:sectPr>
      </w:pPr>
    </w:p>
    <w:bookmarkStart w:id="136" w:name="page137"/>
    <w:bookmarkEnd w:id="136"/>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Please see full </w:t>
      </w:r>
      <w:r>
        <w:rPr>
          <w:rFonts w:ascii="Times New Roman" w:cs="Times New Roman" w:eastAsia="Times New Roman" w:hAnsi="Times New Roman"/>
          <w:sz w:val="18"/>
          <w:szCs w:val="18"/>
          <w:b w:val="1"/>
          <w:bCs w:val="1"/>
          <w:u w:val="single" w:color="auto"/>
          <w:color w:val="auto"/>
        </w:rPr>
        <w:t>Prescribing Information</w:t>
      </w:r>
      <w:r>
        <w:rPr>
          <w:rFonts w:ascii="Times New Roman" w:cs="Times New Roman" w:eastAsia="Times New Roman" w:hAnsi="Times New Roman"/>
          <w:sz w:val="18"/>
          <w:szCs w:val="18"/>
          <w:b w:val="1"/>
          <w:bCs w:val="1"/>
          <w:color w:val="auto"/>
        </w:rPr>
        <w:t xml:space="preserve">, including Boxed WARNING regarding serious infections caused by encapsulated bacteria, and </w:t>
      </w:r>
      <w:r>
        <w:rPr>
          <w:rFonts w:ascii="Times New Roman" w:cs="Times New Roman" w:eastAsia="Times New Roman" w:hAnsi="Times New Roman"/>
          <w:sz w:val="18"/>
          <w:szCs w:val="18"/>
          <w:b w:val="1"/>
          <w:bCs w:val="1"/>
          <w:u w:val="single" w:color="auto"/>
          <w:color w:val="auto"/>
        </w:rPr>
        <w:t>Medication Guide</w:t>
      </w:r>
      <w:r>
        <w:rPr>
          <w:rFonts w:ascii="Times New Roman" w:cs="Times New Roman" w:eastAsia="Times New Roman" w:hAnsi="Times New Roman"/>
          <w:sz w:val="18"/>
          <w:szCs w:val="18"/>
          <w:b w:val="1"/>
          <w:bCs w:val="1"/>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Biogen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Founded in 1978, Biogen is a leading biotechnology company that pioneers innovative science to deliver new medicines to transform patients’ lives and to create value for shareholders and our communities. We apply deep understanding of human biology and leverage different modalities to advance first-in-class treatments or therapies that deliver superior outcomes. Our approach is to take bold risks, balanced with return on investment to deliver long-term growth. We routinely post information that may be important to investors on our website at </w:t>
      </w:r>
      <w:r>
        <w:rPr>
          <w:rFonts w:ascii="Times New Roman" w:cs="Times New Roman" w:eastAsia="Times New Roman" w:hAnsi="Times New Roman"/>
          <w:sz w:val="18"/>
          <w:szCs w:val="18"/>
          <w:u w:val="single" w:color="auto"/>
          <w:color w:val="auto"/>
        </w:rPr>
        <w:t>www.biogen.com</w:t>
      </w:r>
      <w:r>
        <w:rPr>
          <w:rFonts w:ascii="Times New Roman" w:cs="Times New Roman" w:eastAsia="Times New Roman" w:hAnsi="Times New Roman"/>
          <w:sz w:val="18"/>
          <w:szCs w:val="18"/>
          <w:color w:val="auto"/>
        </w:rPr>
        <w:t xml:space="preserve">. Follow us on social media -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Biogen Forward Looking Statements</w:t>
      </w:r>
    </w:p>
    <w:p>
      <w:pPr>
        <w:spacing w:after="0" w:line="12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are being made pursuant to the provisions of the Private Securities Litigation Reform Act of 1995 (the PSLRA) with the intention of obtaining the benefits of the “Safe Harbor” provisions of the PSLRA. This press release contains forward-looking statements, relating to: the anticipated benefits of the Apellis Pharmaceuticals, Inc. acquisition (the “Acquisition”), our strategy and our future financial and operating results, including with respect to launch readiness for felzartamab, costs and other anticipated financial impacts of the Acquisition, including Biogen revenue, non-GAAP EPS and non-GAAP EPS growth, and the expected revenue growth for 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following the Acquisition. These forward-looking statements may be accompanied by such words as “aim,” “anticipate,” “assume,” “believe,” “contemplate,” “continue,” “could,” “estimate,” “expect,” “forecast,” “goal,” “guidance,” “hope,” “intend,” “may,” “objective,” “outlook,” “plan,” “possible,” “potential,” “predict,” “project,” “prospect,” “should,” “target,” “will,” “would,” and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Given their forward-looking nature, these statements involve substantial risks and uncertainties that may be based on inaccurate assumptions and could cause actual results to differ materially from those reflected in such statements. These forward-looking statements are based on management’s current beliefs and assumptions and on information currently available to management. Given their nature, we cannot assure that any outcome expressed in these forward-looking statements will be realized in whole or in part.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caution that these statements are subject to risks and uncertainties, many of which are outside of our control and could cause future events or results to be materially different from those stated or implied in this document, including, among others, factors relating to: the possibility that the net sales thresholds for the CVR payments are never met; results of litigation, settlements and investigations; actions by third parties, including governmental agencies; unexpected costs, charges or expenses resulting from the Acquisition; potential adverse reactions or changes to business relationships resulting from the announcement or completion of the Acquisition; the risk that Biogen may not be able to successfully integrate the business of Apellis and realize the expected benefits of the Acquisition in a timely manner or at all; uncertainty of our long-term success in developing, licensing, or acquiring other product candidates or additional indications for existing products; expectations, plans, prospects and timing of actions relating to product approvals, approvals of additional indications for our existing products, sales, pricing, growth, reimbursement and launch of our marketed and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ectPr>
          <w:pgSz w:w="11900" w:h="16838" w:orient="portrait"/>
          <w:cols w:equalWidth="0" w:num="1">
            <w:col w:w="10980"/>
          </w:cols>
          <w:pgMar w:left="440" w:top="266" w:right="479" w:bottom="1440" w:gutter="0" w:footer="0" w:header="0"/>
        </w:sectPr>
      </w:pPr>
    </w:p>
    <w:bookmarkStart w:id="137" w:name="page138"/>
    <w:bookmarkEnd w:id="13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pipeline products; the potential impact of increased product competition in the biopharmaceutical and healthcare industry, as well as any other markets in which we compete, including increased competition from new originator therapies, generics, prodrugs and biosimilars of existing products and products approved under abbreviated regulatory pathways; our ability to effectively implement our corporate strategy; difficulties in obtaining and maintaining adequate coverage, pricing, and reimbursement for our products; the drivers for growing our business, including our dependence on collaborators and other third parties for the development, regulatory approval, and commercialization of products and other aspects of our business, which are outside of our full control; risks related to commercialization of biosimilars, which is subject to such risks related to our reliance on third-parties, intellectual property, competitive and market challenges and regulatory compliance; the risk that positive results in a clinical trial may not be replicated in subsequent or confirmatory trials or success in early stage clinical trials may not be predictive of results in later stage or large scale clinical trials or trials in other potential indications; risks associated with clinical trials, including our ability to adequately manage clinical activities, unexpected concerns that may arise from additional data or analysis obtained during clinical trials, regulatory authorities may require additional information or further studies, or may fail to approve or may delay approval of our drug candidates; and the occurrence of adverse safety events, restrictions on use with our products, or product liability claims; and any other risks and uncertainties that are described in other reports we have filed with the U.S. Securities and Exchange Commission, which are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These statements speak only as of the date of this presentation and the discussions during this conference call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in each case including in the sections thereof captioned “Note Regarding Forward-Looking Statements” and “Item 1A. Risk Factors,” and in our subsequent reports on Form 8-K. Except as required by law, we do not undertake any obligation to publicly update any forward-looking statements whether as a result of any new information, future events, changed circumstances or otherwise.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Biogen Digital Media Disclosure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From time to time, we have used, or expect in the future to use, our investor relations website (</w:t>
      </w:r>
      <w:r>
        <w:rPr>
          <w:rFonts w:ascii="Times New Roman" w:cs="Times New Roman" w:eastAsia="Times New Roman" w:hAnsi="Times New Roman"/>
          <w:sz w:val="18"/>
          <w:szCs w:val="18"/>
          <w:u w:val="single" w:color="auto"/>
          <w:color w:val="auto"/>
        </w:rPr>
        <w:t>investors.biogen.com</w:t>
      </w:r>
      <w:r>
        <w:rPr>
          <w:rFonts w:ascii="Times New Roman" w:cs="Times New Roman" w:eastAsia="Times New Roman" w:hAnsi="Times New Roman"/>
          <w:sz w:val="18"/>
          <w:szCs w:val="18"/>
          <w:color w:val="auto"/>
        </w:rPr>
        <w:t>), the Biogen LinkedIn account (</w:t>
      </w:r>
      <w:r>
        <w:rPr>
          <w:rFonts w:ascii="Times New Roman" w:cs="Times New Roman" w:eastAsia="Times New Roman" w:hAnsi="Times New Roman"/>
          <w:sz w:val="18"/>
          <w:szCs w:val="18"/>
          <w:u w:val="single" w:color="auto"/>
          <w:color w:val="auto"/>
        </w:rPr>
        <w:t>linkedin.com/company/biogen-</w:t>
      </w:r>
      <w:r>
        <w:rPr>
          <w:rFonts w:ascii="Times New Roman" w:cs="Times New Roman" w:eastAsia="Times New Roman" w:hAnsi="Times New Roman"/>
          <w:sz w:val="18"/>
          <w:szCs w:val="18"/>
          <w:color w:val="auto"/>
        </w:rPr>
        <w:t>) and the Biogen X account (</w:t>
      </w:r>
      <w:r>
        <w:rPr>
          <w:rFonts w:ascii="Times New Roman" w:cs="Times New Roman" w:eastAsia="Times New Roman" w:hAnsi="Times New Roman"/>
          <w:sz w:val="18"/>
          <w:szCs w:val="18"/>
          <w:u w:val="single" w:color="auto"/>
          <w:color w:val="auto"/>
        </w:rPr>
        <w:t>https://x.com/biogen</w:t>
      </w:r>
      <w:r>
        <w:rPr>
          <w:rFonts w:ascii="Times New Roman" w:cs="Times New Roman" w:eastAsia="Times New Roman" w:hAnsi="Times New Roman"/>
          <w:sz w:val="18"/>
          <w:szCs w:val="18"/>
          <w:color w:val="auto"/>
        </w:rPr>
        <w:t>) as a means of disclosing information to the public in a broad, non-exclusionary manner, including for purposes of the SEC’s Regulation Fair Disclosure (Reg FD). Accordingly, investors should monitor our investor relations website and these social media channels in addition to our press releases, SEC filings, public conference calls and websites, as the information posted on them could be material to investors.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References:</w:t>
      </w:r>
    </w:p>
    <w:p>
      <w:pPr>
        <w:spacing w:after="0" w:line="133" w:lineRule="exact"/>
        <w:rPr>
          <w:sz w:val="20"/>
          <w:szCs w:val="20"/>
          <w:color w:val="auto"/>
        </w:rPr>
      </w:pPr>
    </w:p>
    <w:p>
      <w:pPr>
        <w:ind w:left="960" w:right="360" w:hanging="532"/>
        <w:spacing w:after="0" w:line="282" w:lineRule="auto"/>
        <w:tabs>
          <w:tab w:leader="none" w:pos="9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Rudnicka AR, Jarrar Z, Wormald R, et al. Age and gender variations in age-related macular degeneration prevalence in populations of European ancestry: a meta analysis. Ophthalmology 2012;119:571–580.</w:t>
      </w:r>
    </w:p>
    <w:p>
      <w:pPr>
        <w:spacing w:after="0" w:line="67"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Wong WL, Su X, Li X, et al. Global prevalence of age-related macular degeneration and disease burden projection for 2020 and 2040: a systematic review and meta-analysis. Lancet Glob Health 2014;2:e106–116.</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Lindblad AS, et al, and AREDS Research Group. Arch Ophthalmol. 2009;127(9):1168-1174.</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ectPr>
          <w:pgSz w:w="11900" w:h="16838" w:orient="portrait"/>
          <w:cols w:equalWidth="0" w:num="1">
            <w:col w:w="10980"/>
          </w:cols>
          <w:pgMar w:left="440" w:top="270" w:right="479" w:bottom="1440" w:gutter="0" w:footer="0" w:header="0"/>
        </w:sectPr>
      </w:pPr>
    </w:p>
    <w:bookmarkStart w:id="138" w:name="page139"/>
    <w:bookmarkEnd w:id="138"/>
    <w:p>
      <w:pPr>
        <w:ind w:left="960" w:hanging="532"/>
        <w:spacing w:after="0"/>
        <w:tabs>
          <w:tab w:leader="none" w:pos="9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Smith RJH, et al. Nat Rev Nephrol. 2019;15(3):129-143.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Servais A, et al. Kidney Int. 2012;82(4):454-464.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Zand L, et al. J Am Soc Nephrol. 2014;25(5):1110-1117.</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Tarragón, B, et al. C3 Glomerulopathy Recurs Early after Kidney Transplantation in Serial Biopsies Performed within the First 2 Years after Transplantation. Clinical Journal of the American Society of Nephrology. August 2024; 19(8)1005-1015.</w:t>
      </w:r>
    </w:p>
    <w:p>
      <w:pPr>
        <w:spacing w:after="0" w:line="67" w:lineRule="exact"/>
        <w:rPr>
          <w:rFonts w:ascii="Times New Roman" w:cs="Times New Roman" w:eastAsia="Times New Roman" w:hAnsi="Times New Roman"/>
          <w:sz w:val="18"/>
          <w:szCs w:val="18"/>
          <w:color w:val="auto"/>
        </w:rPr>
      </w:pPr>
    </w:p>
    <w:p>
      <w:pPr>
        <w:ind w:left="960" w:right="120" w:hanging="532"/>
        <w:spacing w:after="0" w:line="266" w:lineRule="auto"/>
        <w:tabs>
          <w:tab w:leader="none" w:pos="9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Paroxysmal nocturnal hemoglobinuria (PNH). The Sidney Kimmel Comprehensive Cancer Center Web site. https://www.hopkinsmedicine.org/kimmel_cancer_center/types_cancer/paroxysmal_nocturnal_hemoglobinuria_PNH.html. Accessed November 20, 2019.</w:t>
      </w:r>
    </w:p>
    <w:p>
      <w:pPr>
        <w:spacing w:after="0" w:line="81"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Besa EC. Paroxysmal nocturnal hemoglobinuria (PNH). MedScape 2017; https://emedicine.medscape.com/article/207468-overview. Accessed November 20,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 CONTACT:</w:t>
            </w:r>
          </w:p>
        </w:tc>
        <w:tc>
          <w:tcPr>
            <w:tcW w:w="1680" w:type="dxa"/>
            <w:vAlign w:val="bottom"/>
          </w:tcPr>
          <w:p>
            <w:pPr>
              <w:spacing w:after="0"/>
              <w:rPr>
                <w:sz w:val="20"/>
                <w:szCs w:val="20"/>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INVESTOR CONTACT:</w:t>
            </w:r>
          </w:p>
        </w:tc>
      </w:tr>
      <w:tr>
        <w:trPr>
          <w:trHeight w:val="338"/>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Biogen</w:t>
            </w:r>
          </w:p>
        </w:tc>
        <w:tc>
          <w:tcPr>
            <w:tcW w:w="168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Biogen</w:t>
            </w:r>
          </w:p>
        </w:tc>
      </w:tr>
      <w:tr>
        <w:trPr>
          <w:trHeight w:val="319"/>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Madeleine Shin</w:t>
            </w:r>
          </w:p>
        </w:tc>
        <w:tc>
          <w:tcPr>
            <w:tcW w:w="168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 Power</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+ 1 781 464 3260</w:t>
            </w:r>
          </w:p>
        </w:tc>
        <w:tc>
          <w:tcPr>
            <w:tcW w:w="1640" w:type="dxa"/>
            <w:vAlign w:val="bottom"/>
          </w:tcPr>
          <w:p>
            <w:pPr>
              <w:spacing w:after="0"/>
              <w:rPr>
                <w:sz w:val="18"/>
                <w:szCs w:val="18"/>
                <w:color w:val="auto"/>
              </w:rPr>
            </w:pPr>
          </w:p>
        </w:tc>
        <w:tc>
          <w:tcPr>
            <w:tcW w:w="35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+1 781 464 2442</w:t>
            </w:r>
          </w:p>
        </w:tc>
      </w:tr>
      <w:tr>
        <w:trPr>
          <w:trHeight w:val="194"/>
        </w:trPr>
        <w:tc>
          <w:tcPr>
            <w:tcW w:w="19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public.affairs@biogen.com</w:t>
            </w:r>
          </w:p>
        </w:tc>
        <w:tc>
          <w:tcPr>
            <w:tcW w:w="1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IR@biogen.com</w:t>
            </w:r>
          </w:p>
        </w:tc>
        <w:tc>
          <w:tcPr>
            <w:tcW w:w="620" w:type="dxa"/>
            <w:vAlign w:val="bottom"/>
          </w:tcPr>
          <w:p>
            <w:pPr>
              <w:spacing w:after="0"/>
              <w:rPr>
                <w:sz w:val="16"/>
                <w:szCs w:val="16"/>
                <w:color w:val="auto"/>
              </w:rPr>
            </w:pPr>
          </w:p>
        </w:tc>
      </w:tr>
      <w:tr>
        <w:trPr>
          <w:trHeight w:val="398"/>
        </w:trPr>
        <w:tc>
          <w:tcPr>
            <w:tcW w:w="1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5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 More |</w:t>
            </w:r>
          </w:p>
        </w:tc>
      </w:tr>
    </w:tbl>
    <w:p>
      <w:pPr>
        <w:spacing w:after="0" w:line="1" w:lineRule="exact"/>
        <w:rPr>
          <w:sz w:val="20"/>
          <w:szCs w:val="20"/>
          <w:color w:val="auto"/>
        </w:rPr>
      </w:pPr>
    </w:p>
    <w:sectPr>
      <w:pgSz w:w="11900" w:h="16838" w:orient="portrait"/>
      <w:cols w:equalWidth="0" w:num="1">
        <w:col w:w="10680"/>
      </w:cols>
      <w:pgMar w:left="440" w:top="270"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1)"/>
      <w:numFmt w:val="lowerLetter"/>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1)"/>
      <w:numFmt w:val="lowerLetter"/>
      <w:start w:val="2"/>
    </w:lvl>
  </w:abstractNum>
  <w:abstractNum w:abstractNumId="5">
    <w:nsid w:val="68EB2F63"/>
    <w:multiLevelType w:val="hybridMultilevel"/>
    <w:lvl w:ilvl="0">
      <w:lvlJc w:val="left"/>
      <w:lvlText w:val="(%1)"/>
      <w:numFmt w:val="lowerLetter"/>
      <w:start w:val="1"/>
    </w:lvl>
  </w:abstractNum>
  <w:abstractNum w:abstractNumId="6">
    <w:nsid w:val="4962813B"/>
    <w:multiLevelType w:val="hybridMultilevel"/>
    <w:lvl w:ilvl="0">
      <w:lvlJc w:val="left"/>
      <w:lvlText w:val="(%1)"/>
      <w:numFmt w:val="lowerLetter"/>
      <w:start w:val="2"/>
    </w:lvl>
  </w:abstractNum>
  <w:abstractNum w:abstractNumId="7">
    <w:nsid w:val="60B6DF70"/>
    <w:multiLevelType w:val="hybridMultilevel"/>
    <w:lvl w:ilvl="0">
      <w:lvlJc w:val="left"/>
      <w:lvlText w:val="(%1)"/>
      <w:numFmt w:val="lowerLetter"/>
      <w:start w:val="1"/>
    </w:lvl>
  </w:abstractNum>
  <w:abstractNum w:abstractNumId="8">
    <w:nsid w:val="6A5EE64"/>
    <w:multiLevelType w:val="hybridMultilevel"/>
    <w:lvl w:ilvl="0">
      <w:lvlJc w:val="left"/>
      <w:lvlText w:val="(%1)"/>
      <w:numFmt w:val="lowerLetter"/>
      <w:start w:val="4"/>
    </w:lvl>
  </w:abstractNum>
  <w:abstractNum w:abstractNumId="9">
    <w:nsid w:val="14330624"/>
    <w:multiLevelType w:val="hybridMultilevel"/>
    <w:lvl w:ilvl="0">
      <w:lvlJc w:val="left"/>
      <w:lvlText w:val="(%1)"/>
      <w:numFmt w:val="lowerLetter"/>
      <w:start w:val="1"/>
    </w:lvl>
  </w:abstractNum>
  <w:abstractNum w:abstractNumId="10">
    <w:nsid w:val="7FFFCA11"/>
    <w:multiLevelType w:val="hybridMultilevel"/>
    <w:lvl w:ilvl="0">
      <w:lvlJc w:val="left"/>
      <w:lvlText w:val="(%1)"/>
      <w:numFmt w:val="lowerLetter"/>
      <w:start w:val="3"/>
    </w:lvl>
  </w:abstractNum>
  <w:abstractNum w:abstractNumId="11">
    <w:nsid w:val="1A27709E"/>
    <w:multiLevelType w:val="hybridMultilevel"/>
    <w:lvl w:ilvl="0">
      <w:lvlJc w:val="left"/>
      <w:lvlText w:val="(%1)"/>
      <w:numFmt w:val="lowerLetter"/>
      <w:start w:val="5"/>
    </w:lvl>
  </w:abstractNum>
  <w:abstractNum w:abstractNumId="12">
    <w:nsid w:val="71EA1109"/>
    <w:multiLevelType w:val="hybridMultilevel"/>
    <w:lvl w:ilvl="0">
      <w:lvlJc w:val="left"/>
      <w:lvlText w:val="(%1)"/>
      <w:numFmt w:val="lowerLetter"/>
      <w:start w:val="1"/>
    </w:lvl>
  </w:abstractNum>
  <w:abstractNum w:abstractNumId="13">
    <w:nsid w:val="100F59DC"/>
    <w:multiLevelType w:val="hybridMultilevel"/>
    <w:lvl w:ilvl="0">
      <w:lvlJc w:val="left"/>
      <w:lvlText w:val="(%1)"/>
      <w:numFmt w:val="lowerLetter"/>
      <w:start w:val="1"/>
    </w:lvl>
  </w:abstractNum>
  <w:abstractNum w:abstractNumId="14">
    <w:nsid w:val="7FB7E0AA"/>
    <w:multiLevelType w:val="hybridMultilevel"/>
    <w:lvl w:ilvl="0">
      <w:lvlJc w:val="left"/>
      <w:lvlText w:val="(%1)"/>
      <w:numFmt w:val="lowerLetter"/>
      <w:start w:val="7"/>
    </w:lvl>
  </w:abstractNum>
  <w:abstractNum w:abstractNumId="15">
    <w:nsid w:val="6EB5BD4"/>
    <w:multiLevelType w:val="hybridMultilevel"/>
    <w:lvl w:ilvl="0">
      <w:lvlJc w:val="left"/>
      <w:lvlText w:val="(%1)"/>
      <w:numFmt w:val="lowerLetter"/>
      <w:start w:val="1"/>
    </w:lvl>
  </w:abstractNum>
  <w:abstractNum w:abstractNumId="16">
    <w:nsid w:val="6F6DD9AC"/>
    <w:multiLevelType w:val="hybridMultilevel"/>
    <w:lvl w:ilvl="0">
      <w:lvlJc w:val="left"/>
      <w:lvlText w:val="(%1)"/>
      <w:numFmt w:val="lowerLetter"/>
      <w:start w:val="2"/>
    </w:lvl>
  </w:abstractNum>
  <w:abstractNum w:abstractNumId="17">
    <w:nsid w:val="94211F2"/>
    <w:multiLevelType w:val="hybridMultilevel"/>
    <w:lvl w:ilvl="0">
      <w:lvlJc w:val="left"/>
      <w:lvlText w:val="(%1)"/>
      <w:numFmt w:val="decimal"/>
      <w:start w:val="15"/>
    </w:lvl>
  </w:abstractNum>
  <w:abstractNum w:abstractNumId="18">
    <w:nsid w:val="885E1B"/>
    <w:multiLevelType w:val="hybridMultilevel"/>
    <w:lvl w:ilvl="0">
      <w:lvlJc w:val="left"/>
      <w:lvlText w:val="(%1)"/>
      <w:numFmt w:val="lowerLetter"/>
      <w:start w:val="1"/>
    </w:lvl>
  </w:abstractNum>
  <w:abstractNum w:abstractNumId="19">
    <w:nsid w:val="76272110"/>
    <w:multiLevelType w:val="hybridMultilevel"/>
    <w:lvl w:ilvl="0">
      <w:lvlJc w:val="left"/>
      <w:lvlText w:val="(%1)"/>
      <w:numFmt w:val="lowerLetter"/>
      <w:start w:val="1"/>
    </w:lvl>
  </w:abstractNum>
  <w:abstractNum w:abstractNumId="20">
    <w:nsid w:val="4C04A8AF"/>
    <w:multiLevelType w:val="hybridMultilevel"/>
    <w:lvl w:ilvl="0">
      <w:lvlJc w:val="left"/>
      <w:lvlText w:val="(%1)"/>
      <w:numFmt w:val="lowerLetter"/>
      <w:start w:val="3"/>
    </w:lvl>
  </w:abstractNum>
  <w:abstractNum w:abstractNumId="21">
    <w:nsid w:val="1716703B"/>
    <w:multiLevelType w:val="hybridMultilevel"/>
    <w:lvl w:ilvl="0">
      <w:lvlJc w:val="left"/>
      <w:lvlText w:val="(%1)"/>
      <w:numFmt w:val="lowerLetter"/>
      <w:start w:val="4"/>
    </w:lvl>
  </w:abstractNum>
  <w:abstractNum w:abstractNumId="22">
    <w:nsid w:val="14E17E33"/>
    <w:multiLevelType w:val="hybridMultilevel"/>
    <w:lvl w:ilvl="0">
      <w:lvlJc w:val="left"/>
      <w:lvlText w:val="(%1)"/>
      <w:numFmt w:val="lowerLetter"/>
      <w:start w:val="1"/>
    </w:lvl>
    <w:lvl w:ilvl="1">
      <w:lvlJc w:val="left"/>
      <w:lvlText w:val="(%2)"/>
      <w:numFmt w:val="lowerRoman"/>
      <w:start w:val="1"/>
    </w:lvl>
  </w:abstractNum>
  <w:abstractNum w:abstractNumId="23">
    <w:nsid w:val="3222E7CD"/>
    <w:multiLevelType w:val="hybridMultilevel"/>
    <w:lvl w:ilvl="0">
      <w:lvlJc w:val="left"/>
      <w:lvlText w:val="(%1)"/>
      <w:numFmt w:val="lowerLetter"/>
      <w:start w:val="3"/>
    </w:lvl>
  </w:abstractNum>
  <w:abstractNum w:abstractNumId="24">
    <w:nsid w:val="74DE0EE3"/>
    <w:multiLevelType w:val="hybridMultilevel"/>
    <w:lvl w:ilvl="0">
      <w:lvlJc w:val="left"/>
      <w:lvlText w:val="(%1)"/>
      <w:numFmt w:val="lowerLetter"/>
      <w:start w:val="1"/>
    </w:lvl>
    <w:lvl w:ilvl="1">
      <w:lvlJc w:val="left"/>
      <w:lvlText w:val="(%2)"/>
      <w:numFmt w:val="lowerRoman"/>
      <w:start w:val="1"/>
    </w:lvl>
  </w:abstractNum>
  <w:abstractNum w:abstractNumId="25">
    <w:nsid w:val="68EBC550"/>
    <w:multiLevelType w:val="hybridMultilevel"/>
    <w:lvl w:ilvl="0">
      <w:lvlJc w:val="left"/>
      <w:lvlText w:val=" "/>
      <w:numFmt w:val="bullet"/>
      <w:start w:val="1"/>
    </w:lvl>
  </w:abstractNum>
  <w:abstractNum w:abstractNumId="26">
    <w:nsid w:val="2DF6D648"/>
    <w:multiLevelType w:val="hybridMultilevel"/>
    <w:lvl w:ilvl="0">
      <w:lvlJc w:val="left"/>
      <w:lvlText w:val=" "/>
      <w:numFmt w:val="bullet"/>
      <w:start w:val="1"/>
    </w:lvl>
  </w:abstractNum>
  <w:abstractNum w:abstractNumId="27">
    <w:nsid w:val="46B7D447"/>
    <w:multiLevelType w:val="hybridMultilevel"/>
    <w:lvl w:ilvl="0">
      <w:lvlJc w:val="left"/>
      <w:lvlText w:val="(%1)"/>
      <w:numFmt w:val="lowerLetter"/>
      <w:start w:val="1"/>
    </w:lvl>
  </w:abstractNum>
  <w:abstractNum w:abstractNumId="28">
    <w:nsid w:val="4A2AC315"/>
    <w:multiLevelType w:val="hybridMultilevel"/>
    <w:lvl w:ilvl="0">
      <w:lvlJc w:val="left"/>
      <w:lvlText w:val="%1"/>
      <w:numFmt w:val="lowerLetter"/>
      <w:start w:val="1"/>
    </w:lvl>
    <w:lvl w:ilvl="1">
      <w:lvlJc w:val="left"/>
      <w:lvlText w:val="(%2)"/>
      <w:numFmt w:val="lowerLetter"/>
      <w:start w:val="2"/>
    </w:lvl>
  </w:abstractNum>
  <w:abstractNum w:abstractNumId="29">
    <w:nsid w:val="39EE015C"/>
    <w:multiLevelType w:val="hybridMultilevel"/>
    <w:lvl w:ilvl="0">
      <w:lvlJc w:val="left"/>
      <w:lvlText w:val="(%1)"/>
      <w:numFmt w:val="lowerLetter"/>
      <w:start w:val="9"/>
    </w:lvl>
    <w:lvl w:ilvl="1">
      <w:lvlJc w:val="left"/>
      <w:lvlText w:val="%2"/>
      <w:numFmt w:val="lowerLetter"/>
      <w:start w:val="1"/>
    </w:lvl>
  </w:abstractNum>
  <w:abstractNum w:abstractNumId="30">
    <w:nsid w:val="57FC4FBB"/>
    <w:multiLevelType w:val="hybridMultilevel"/>
    <w:lvl w:ilvl="0">
      <w:lvlJc w:val="left"/>
      <w:lvlText w:val="A"/>
      <w:numFmt w:val="bullet"/>
      <w:start w:val="1"/>
    </w:lvl>
  </w:abstractNum>
  <w:abstractNum w:abstractNumId="31">
    <w:nsid w:val="CC1016F"/>
    <w:multiLevelType w:val="hybridMultilevel"/>
    <w:lvl w:ilvl="0">
      <w:lvlJc w:val="left"/>
      <w:lvlText w:val="B"/>
      <w:numFmt w:val="bullet"/>
      <w:start w:val="1"/>
    </w:lvl>
  </w:abstractNum>
  <w:abstractNum w:abstractNumId="32">
    <w:nsid w:val="43F18422"/>
    <w:multiLevelType w:val="hybridMultilevel"/>
    <w:lvl w:ilvl="0">
      <w:lvlJc w:val="left"/>
      <w:lvlText w:val="C"/>
      <w:numFmt w:val="bullet"/>
      <w:start w:val="1"/>
    </w:lvl>
  </w:abstractNum>
  <w:abstractNum w:abstractNumId="33">
    <w:nsid w:val="60EF0119"/>
    <w:multiLevelType w:val="hybridMultilevel"/>
    <w:lvl w:ilvl="0">
      <w:lvlJc w:val="left"/>
      <w:lvlText w:val="D"/>
      <w:numFmt w:val="bullet"/>
      <w:start w:val="1"/>
    </w:lvl>
  </w:abstractNum>
  <w:abstractNum w:abstractNumId="34">
    <w:nsid w:val="26F324BA"/>
    <w:multiLevelType w:val="hybridMultilevel"/>
    <w:lvl w:ilvl="0">
      <w:lvlJc w:val="left"/>
      <w:lvlText w:val="E"/>
      <w:numFmt w:val="bullet"/>
      <w:start w:val="1"/>
    </w:lvl>
  </w:abstractNum>
  <w:abstractNum w:abstractNumId="35">
    <w:nsid w:val="7F01579B"/>
    <w:multiLevelType w:val="hybridMultilevel"/>
    <w:lvl w:ilvl="0">
      <w:lvlJc w:val="left"/>
      <w:lvlText w:val="%1"/>
      <w:numFmt w:val="lowerLetter"/>
      <w:start w:val="1"/>
    </w:lvl>
    <w:lvl w:ilvl="1">
      <w:lvlJc w:val="left"/>
      <w:lvlText w:val="(%2)"/>
      <w:numFmt w:val="lowerLetter"/>
      <w:start w:val="1"/>
    </w:lvl>
  </w:abstractNum>
  <w:abstractNum w:abstractNumId="36">
    <w:nsid w:val="49DA307D"/>
    <w:multiLevelType w:val="hybridMultilevel"/>
    <w:lvl w:ilvl="0">
      <w:lvlJc w:val="left"/>
      <w:lvlText w:val="(%1)"/>
      <w:numFmt w:val="lowerLetter"/>
      <w:start w:val="35"/>
    </w:lvl>
    <w:lvl w:ilvl="1">
      <w:lvlJc w:val="left"/>
      <w:lvlText w:val="%2"/>
      <w:numFmt w:val="lowerLetter"/>
      <w:start w:val="1"/>
    </w:lvl>
  </w:abstractNum>
  <w:abstractNum w:abstractNumId="37">
    <w:nsid w:val="7055A5F5"/>
    <w:multiLevelType w:val="hybridMultilevel"/>
    <w:lvl w:ilvl="0">
      <w:lvlJc w:val="left"/>
      <w:lvlText w:val="(%1)"/>
      <w:numFmt w:val="lowerRoman"/>
      <w:start w:val="1"/>
    </w:lvl>
  </w:abstractNum>
  <w:abstractNum w:abstractNumId="38">
    <w:nsid w:val="5FB8370B"/>
    <w:multiLevelType w:val="hybridMultilevel"/>
    <w:lvl w:ilvl="0">
      <w:lvlJc w:val="left"/>
      <w:lvlText w:val="(%1)"/>
      <w:numFmt w:val="decimal"/>
      <w:start w:val="4"/>
    </w:lvl>
  </w:abstractNum>
  <w:abstractNum w:abstractNumId="39">
    <w:nsid w:val="50801EE1"/>
    <w:multiLevelType w:val="hybridMultilevel"/>
    <w:lvl w:ilvl="0">
      <w:lvlJc w:val="left"/>
      <w:lvlText w:val="(%1)"/>
      <w:numFmt w:val="lowerLetter"/>
      <w:start w:val="1"/>
    </w:lvl>
  </w:abstractNum>
  <w:abstractNum w:abstractNumId="40">
    <w:nsid w:val="488AC1A"/>
    <w:multiLevelType w:val="hybridMultilevel"/>
    <w:lvl w:ilvl="0">
      <w:lvlJc w:val="left"/>
      <w:lvlText w:val="(%1)"/>
      <w:numFmt w:val="decimal"/>
      <w:start w:val="2"/>
    </w:lvl>
  </w:abstractNum>
  <w:abstractNum w:abstractNumId="41">
    <w:nsid w:val="5FB8011C"/>
    <w:multiLevelType w:val="hybridMultilevel"/>
    <w:lvl w:ilvl="0">
      <w:lvlJc w:val="left"/>
      <w:lvlText w:val="(%1)"/>
      <w:numFmt w:val="lowerRoman"/>
      <w:start w:val="1"/>
    </w:lvl>
  </w:abstractNum>
  <w:abstractNum w:abstractNumId="42">
    <w:nsid w:val="6AA78F7F"/>
    <w:multiLevelType w:val="hybridMultilevel"/>
    <w:lvl w:ilvl="0">
      <w:lvlJc w:val="left"/>
      <w:lvlText w:val="(%1)"/>
      <w:numFmt w:val="lowerLetter"/>
      <w:start w:val="6"/>
    </w:lvl>
  </w:abstractNum>
  <w:abstractNum w:abstractNumId="43">
    <w:nsid w:val="7672BD23"/>
    <w:multiLevelType w:val="hybridMultilevel"/>
    <w:lvl w:ilvl="0">
      <w:lvlJc w:val="left"/>
      <w:lvlText w:val="(%1)"/>
      <w:numFmt w:val="lowerLetter"/>
      <w:start w:val="1"/>
    </w:lvl>
  </w:abstractNum>
  <w:abstractNum w:abstractNumId="44">
    <w:nsid w:val="6FC75AF8"/>
    <w:multiLevelType w:val="hybridMultilevel"/>
    <w:lvl w:ilvl="0">
      <w:lvlJc w:val="left"/>
      <w:lvlText w:val="(%1)"/>
      <w:numFmt w:val="lowerLetter"/>
      <w:start w:val="2"/>
    </w:lvl>
  </w:abstractNum>
  <w:abstractNum w:abstractNumId="45">
    <w:nsid w:val="6A5F7029"/>
    <w:multiLevelType w:val="hybridMultilevel"/>
    <w:lvl w:ilvl="0">
      <w:lvlJc w:val="left"/>
      <w:lvlText w:val="(%1)"/>
      <w:numFmt w:val="decimal"/>
      <w:start w:val="2"/>
    </w:lvl>
  </w:abstractNum>
  <w:abstractNum w:abstractNumId="46">
    <w:nsid w:val="7D5E18F8"/>
    <w:multiLevelType w:val="hybridMultilevel"/>
    <w:lvl w:ilvl="0">
      <w:lvlJc w:val="left"/>
      <w:lvlText w:val="(%1)"/>
      <w:numFmt w:val="lowerLetter"/>
      <w:start w:val="1"/>
    </w:lvl>
  </w:abstractNum>
  <w:abstractNum w:abstractNumId="47">
    <w:nsid w:val="5F3534A4"/>
    <w:multiLevelType w:val="hybridMultilevel"/>
    <w:lvl w:ilvl="0">
      <w:lvlJc w:val="left"/>
      <w:lvlText w:val="(%1)"/>
      <w:numFmt w:val="lowerLetter"/>
      <w:start w:val="3"/>
    </w:lvl>
  </w:abstractNum>
  <w:abstractNum w:abstractNumId="48">
    <w:nsid w:val="73A1821B"/>
    <w:multiLevelType w:val="hybridMultilevel"/>
    <w:lvl w:ilvl="0">
      <w:lvlJc w:val="left"/>
      <w:lvlText w:val="(%1)"/>
      <w:numFmt w:val="lowerLetter"/>
      <w:start w:val="1"/>
    </w:lvl>
  </w:abstractNum>
  <w:abstractNum w:abstractNumId="49">
    <w:nsid w:val="7DE67713"/>
    <w:multiLevelType w:val="hybridMultilevel"/>
    <w:lvl w:ilvl="0">
      <w:lvlJc w:val="left"/>
      <w:lvlText w:val="(%1)"/>
      <w:numFmt w:val="lowerLetter"/>
      <w:start w:val="1"/>
    </w:lvl>
  </w:abstractNum>
  <w:abstractNum w:abstractNumId="50">
    <w:nsid w:val="555C55B5"/>
    <w:multiLevelType w:val="hybridMultilevel"/>
    <w:lvl w:ilvl="0">
      <w:lvlJc w:val="left"/>
      <w:lvlText w:val="(%1)"/>
      <w:numFmt w:val="upperLetter"/>
      <w:start w:val="6"/>
    </w:lvl>
    <w:lvl w:ilvl="1">
      <w:lvlJc w:val="left"/>
      <w:lvlText w:val="(%2)"/>
      <w:numFmt w:val="lowerLetter"/>
      <w:start w:val="2"/>
    </w:lvl>
  </w:abstractNum>
  <w:abstractNum w:abstractNumId="51">
    <w:nsid w:val="3FA62ACA"/>
    <w:multiLevelType w:val="hybridMultilevel"/>
    <w:lvl w:ilvl="0">
      <w:lvlJc w:val="left"/>
      <w:lvlText w:val="(%1)"/>
      <w:numFmt w:val="lowerLetter"/>
      <w:start w:val="6"/>
    </w:lvl>
  </w:abstractNum>
  <w:abstractNum w:abstractNumId="52">
    <w:nsid w:val="14FCE74E"/>
    <w:multiLevelType w:val="hybridMultilevel"/>
    <w:lvl w:ilvl="0">
      <w:lvlJc w:val="left"/>
      <w:lvlText w:val="%1"/>
      <w:numFmt w:val="lowerLetter"/>
      <w:start w:val="1"/>
    </w:lvl>
    <w:lvl w:ilvl="1">
      <w:lvlJc w:val="left"/>
      <w:lvlText w:val="(%2)"/>
      <w:numFmt w:val="lowerLetter"/>
      <w:start w:val="1"/>
    </w:lvl>
  </w:abstractNum>
  <w:abstractNum w:abstractNumId="53">
    <w:nsid w:val="6A3DD3E8"/>
    <w:multiLevelType w:val="hybridMultilevel"/>
    <w:lvl w:ilvl="0">
      <w:lvlJc w:val="left"/>
      <w:lvlText w:val="(%1)"/>
      <w:numFmt w:val="lowerLetter"/>
      <w:start w:val="35"/>
    </w:lvl>
    <w:lvl w:ilvl="1">
      <w:lvlJc w:val="left"/>
      <w:lvlText w:val="(%2)"/>
      <w:numFmt w:val="lowerLetter"/>
      <w:start w:val="2"/>
    </w:lvl>
  </w:abstractNum>
  <w:abstractNum w:abstractNumId="54">
    <w:nsid w:val="71C91298"/>
    <w:multiLevelType w:val="hybridMultilevel"/>
    <w:lvl w:ilvl="0">
      <w:lvlJc w:val="left"/>
      <w:lvlText w:val="(%1)"/>
      <w:numFmt w:val="lowerLetter"/>
      <w:start w:val="1"/>
    </w:lvl>
  </w:abstractNum>
  <w:abstractNum w:abstractNumId="55">
    <w:nsid w:val="9DAF632"/>
    <w:multiLevelType w:val="hybridMultilevel"/>
    <w:lvl w:ilvl="0">
      <w:lvlJc w:val="left"/>
      <w:lvlText w:val="(%1)"/>
      <w:numFmt w:val="lowerLetter"/>
      <w:start w:val="1"/>
    </w:lvl>
    <w:lvl w:ilvl="1">
      <w:lvlJc w:val="left"/>
      <w:lvlText w:val="(%2)"/>
      <w:numFmt w:val="lowerRoman"/>
      <w:start w:val="2"/>
    </w:lvl>
  </w:abstractNum>
  <w:abstractNum w:abstractNumId="56">
    <w:nsid w:val="53299938"/>
    <w:multiLevelType w:val="hybridMultilevel"/>
    <w:lvl w:ilvl="0">
      <w:lvlJc w:val="left"/>
      <w:lvlText w:val="(%1)"/>
      <w:numFmt w:val="lowerLetter"/>
      <w:start w:val="1"/>
    </w:lvl>
  </w:abstractNum>
  <w:abstractNum w:abstractNumId="57">
    <w:nsid w:val="1FBFE8E0"/>
    <w:multiLevelType w:val="hybridMultilevel"/>
    <w:lvl w:ilvl="0">
      <w:lvlJc w:val="left"/>
      <w:lvlText w:val="(%1)"/>
      <w:numFmt w:val="lowerRoman"/>
      <w:start w:val="1"/>
    </w:lvl>
  </w:abstractNum>
  <w:abstractNum w:abstractNumId="58">
    <w:nsid w:val="5092CA79"/>
    <w:multiLevelType w:val="hybridMultilevel"/>
    <w:lvl w:ilvl="0">
      <w:lvlJc w:val="left"/>
      <w:lvlText w:val="(%1)"/>
      <w:numFmt w:val="lowerLetter"/>
      <w:start w:val="1"/>
    </w:lvl>
  </w:abstractNum>
  <w:abstractNum w:abstractNumId="59">
    <w:nsid w:val="1D545C4D"/>
    <w:multiLevelType w:val="hybridMultilevel"/>
    <w:lvl w:ilvl="0">
      <w:lvlJc w:val="left"/>
      <w:lvlText w:val="(%1)"/>
      <w:numFmt w:val="lowerLetter"/>
      <w:start w:val="2"/>
    </w:lvl>
    <w:lvl w:ilvl="1">
      <w:lvlJc w:val="left"/>
      <w:lvlText w:val="(%2)"/>
      <w:numFmt w:val="lowerLetter"/>
      <w:start w:val="35"/>
    </w:lvl>
  </w:abstractNum>
  <w:abstractNum w:abstractNumId="60">
    <w:nsid w:val="59ADEA3D"/>
    <w:multiLevelType w:val="hybridMultilevel"/>
    <w:lvl w:ilvl="0">
      <w:lvlJc w:val="left"/>
      <w:lvlText w:val="(%1)"/>
      <w:numFmt w:val="lowerLetter"/>
      <w:start w:val="3"/>
    </w:lvl>
  </w:abstractNum>
  <w:abstractNum w:abstractNumId="61">
    <w:nsid w:val="288F1A34"/>
    <w:multiLevelType w:val="hybridMultilevel"/>
    <w:lvl w:ilvl="0">
      <w:lvlJc w:val="left"/>
      <w:lvlText w:val="(%1)"/>
      <w:numFmt w:val="lowerLetter"/>
      <w:start w:val="4"/>
    </w:lvl>
  </w:abstractNum>
  <w:abstractNum w:abstractNumId="62">
    <w:nsid w:val="2A155DBC"/>
    <w:multiLevelType w:val="hybridMultilevel"/>
    <w:lvl w:ilvl="0">
      <w:lvlJc w:val="left"/>
      <w:lvlText w:val="(%1)"/>
      <w:numFmt w:val="lowerRoman"/>
      <w:start w:val="1"/>
    </w:lvl>
  </w:abstractNum>
  <w:abstractNum w:abstractNumId="63">
    <w:nsid w:val="1D9F6E5F"/>
    <w:multiLevelType w:val="hybridMultilevel"/>
    <w:lvl w:ilvl="0">
      <w:lvlJc w:val="left"/>
      <w:lvlText w:val="(%1)"/>
      <w:numFmt w:val="lowerLetter"/>
      <w:start w:val="1"/>
    </w:lvl>
    <w:lvl w:ilvl="1">
      <w:lvlJc w:val="left"/>
      <w:lvlText w:val="(%2)"/>
      <w:numFmt w:val="lowerRoman"/>
      <w:start w:val="1"/>
    </w:lvl>
  </w:abstractNum>
  <w:abstractNum w:abstractNumId="64">
    <w:nsid w:val="97E1B4E"/>
    <w:multiLevelType w:val="hybridMultilevel"/>
    <w:lvl w:ilvl="0">
      <w:lvlJc w:val="left"/>
      <w:lvlText w:val="(%1)"/>
      <w:numFmt w:val="lowerLetter"/>
      <w:start w:val="1"/>
    </w:lvl>
    <w:lvl w:ilvl="1">
      <w:lvlJc w:val="left"/>
      <w:lvlText w:val="(%2)"/>
      <w:numFmt w:val="lowerRoman"/>
      <w:start w:val="1"/>
    </w:lvl>
  </w:abstractNum>
  <w:abstractNum w:abstractNumId="65">
    <w:nsid w:val="51088277"/>
    <w:multiLevelType w:val="hybridMultilevel"/>
    <w:lvl w:ilvl="0">
      <w:lvlJc w:val="left"/>
      <w:lvlText w:val="%1"/>
      <w:numFmt w:val="lowerLetter"/>
      <w:start w:val="1"/>
    </w:lvl>
    <w:lvl w:ilvl="1">
      <w:lvlJc w:val="left"/>
      <w:lvlText w:val="(%2)"/>
      <w:numFmt w:val="lowerRoman"/>
      <w:start w:val="1"/>
    </w:lvl>
  </w:abstractNum>
  <w:abstractNum w:abstractNumId="66">
    <w:nsid w:val="1CA0C5FA"/>
    <w:multiLevelType w:val="hybridMultilevel"/>
    <w:lvl w:ilvl="0">
      <w:lvlJc w:val="left"/>
      <w:lvlText w:val="(%1)"/>
      <w:numFmt w:val="lowerLetter"/>
      <w:start w:val="4"/>
    </w:lvl>
    <w:lvl w:ilvl="1">
      <w:lvlJc w:val="left"/>
      <w:lvlText w:val="%2"/>
      <w:numFmt w:val="lowerRoman"/>
      <w:start w:val="1"/>
    </w:lvl>
  </w:abstractNum>
  <w:abstractNum w:abstractNumId="67">
    <w:nsid w:val="53584BCB"/>
    <w:multiLevelType w:val="hybridMultilevel"/>
    <w:lvl w:ilvl="0">
      <w:lvlJc w:val="left"/>
      <w:lvlText w:val="(%1)"/>
      <w:numFmt w:val="lowerRoman"/>
      <w:start w:val="1"/>
    </w:lvl>
    <w:lvl w:ilvl="1">
      <w:lvlJc w:val="left"/>
      <w:lvlText w:val="(%2)"/>
      <w:numFmt w:val="upperLetter"/>
      <w:start w:val="1"/>
    </w:lvl>
  </w:abstractNum>
  <w:abstractNum w:abstractNumId="68">
    <w:nsid w:val="415E286C"/>
    <w:multiLevelType w:val="hybridMultilevel"/>
    <w:lvl w:ilvl="0">
      <w:lvlJc w:val="left"/>
      <w:lvlText w:val="%1"/>
      <w:numFmt w:val="lowerLetter"/>
      <w:start w:val="1"/>
    </w:lvl>
    <w:lvl w:ilvl="1">
      <w:lvlJc w:val="left"/>
      <w:lvlText w:val="(%2)"/>
      <w:numFmt w:val="upperLetter"/>
      <w:start w:val="9"/>
    </w:lvl>
  </w:abstractNum>
  <w:abstractNum w:abstractNumId="69">
    <w:nsid w:val="7C58FD05"/>
    <w:multiLevelType w:val="hybridMultilevel"/>
    <w:lvl w:ilvl="0">
      <w:lvlJc w:val="left"/>
      <w:lvlText w:val="(%1)"/>
      <w:numFmt w:val="lowerLetter"/>
      <w:start w:val="25"/>
    </w:lvl>
    <w:lvl w:ilvl="1">
      <w:lvlJc w:val="left"/>
      <w:lvlText w:val="(%2)"/>
      <w:numFmt w:val="upperLetter"/>
      <w:start w:val="35"/>
    </w:lvl>
  </w:abstractNum>
  <w:abstractNum w:abstractNumId="70">
    <w:nsid w:val="23D86AAC"/>
    <w:multiLevelType w:val="hybridMultilevel"/>
    <w:lvl w:ilvl="0">
      <w:lvlJc w:val="left"/>
      <w:lvlText w:val="(%1)"/>
      <w:numFmt w:val="upperLetter"/>
      <w:start w:val="61"/>
    </w:lvl>
  </w:abstractNum>
  <w:abstractNum w:abstractNumId="71">
    <w:nsid w:val="45E6D48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upperLetter"/>
      <w:start w:val="4"/>
    </w:lvl>
  </w:abstractNum>
  <w:abstractNum w:abstractNumId="72">
    <w:nsid w:val="5C10FE21"/>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upperLetter"/>
      <w:start w:val="1"/>
    </w:lvl>
  </w:abstractNum>
  <w:abstractNum w:abstractNumId="73">
    <w:nsid w:val="E7FFA2B"/>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lvl w:ilvl="3">
      <w:lvlJc w:val="left"/>
      <w:lvlText w:val="%4"/>
      <w:numFmt w:val="upperLetter"/>
      <w:start w:val="1"/>
    </w:lvl>
  </w:abstractNum>
  <w:abstractNum w:abstractNumId="74">
    <w:nsid w:val="3C5991AA"/>
    <w:multiLevelType w:val="hybridMultilevel"/>
    <w:lvl w:ilvl="0">
      <w:lvlJc w:val="left"/>
      <w:lvlText w:val="(%1)"/>
      <w:numFmt w:val="lowerLetter"/>
      <w:start w:val="7"/>
    </w:lvl>
  </w:abstractNum>
  <w:abstractNum w:abstractNumId="75">
    <w:nsid w:val="4BD8591A"/>
    <w:multiLevelType w:val="hybridMultilevel"/>
    <w:lvl w:ilvl="0">
      <w:lvlJc w:val="left"/>
      <w:lvlText w:val="(%1)"/>
      <w:numFmt w:val="lowerLetter"/>
      <w:start w:val="1"/>
    </w:lvl>
  </w:abstractNum>
  <w:abstractNum w:abstractNumId="76">
    <w:nsid w:val="78DF6A55"/>
    <w:multiLevelType w:val="hybridMultilevel"/>
    <w:lvl w:ilvl="0">
      <w:lvlJc w:val="left"/>
      <w:lvlText w:val="(%1)"/>
      <w:numFmt w:val="lowerLetter"/>
      <w:start w:val="1"/>
    </w:lvl>
    <w:lvl w:ilvl="1">
      <w:lvlJc w:val="left"/>
      <w:lvlText w:val="(%2)"/>
      <w:numFmt w:val="lowerRoman"/>
      <w:start w:val="1"/>
    </w:lvl>
  </w:abstractNum>
  <w:abstractNum w:abstractNumId="77">
    <w:nsid w:val="39B7AAA2"/>
    <w:multiLevelType w:val="hybridMultilevel"/>
    <w:lvl w:ilvl="0">
      <w:lvlJc w:val="left"/>
      <w:lvlText w:val="(%1)"/>
      <w:numFmt w:val="lowerRoman"/>
      <w:start w:val="3"/>
    </w:lvl>
  </w:abstractNum>
  <w:abstractNum w:abstractNumId="78">
    <w:nsid w:val="2B0D8DBE"/>
    <w:multiLevelType w:val="hybridMultilevel"/>
    <w:lvl w:ilvl="0">
      <w:lvlJc w:val="left"/>
      <w:lvlText w:val="%1"/>
      <w:numFmt w:val="decimal"/>
      <w:start w:val="1"/>
    </w:lvl>
    <w:lvl w:ilvl="1">
      <w:lvlJc w:val="left"/>
      <w:lvlText w:val="(%2)"/>
      <w:numFmt w:val="lowerLetter"/>
      <w:start w:val="2"/>
    </w:lvl>
  </w:abstractNum>
  <w:abstractNum w:abstractNumId="79">
    <w:nsid w:val="6C80EC70"/>
    <w:multiLevelType w:val="hybridMultilevel"/>
    <w:lvl w:ilvl="0">
      <w:lvlJc w:val="left"/>
      <w:lvlText w:val="(%1)"/>
      <w:numFmt w:val="decimal"/>
      <w:start w:val="10"/>
    </w:lvl>
    <w:lvl w:ilvl="1">
      <w:lvlJc w:val="left"/>
      <w:lvlText w:val="(%2)"/>
      <w:numFmt w:val="lowerLetter"/>
      <w:start w:val="4"/>
    </w:lvl>
  </w:abstractNum>
  <w:abstractNum w:abstractNumId="80">
    <w:nsid w:val="379E21B5"/>
    <w:multiLevelType w:val="hybridMultilevel"/>
    <w:lvl w:ilvl="0">
      <w:lvlJc w:val="left"/>
      <w:lvlText w:val="(%1)"/>
      <w:numFmt w:val="decimal"/>
      <w:start w:val="6"/>
    </w:lvl>
  </w:abstractNum>
  <w:abstractNum w:abstractNumId="81">
    <w:nsid w:val="69E373"/>
    <w:multiLevelType w:val="hybridMultilevel"/>
    <w:lvl w:ilvl="0">
      <w:lvlJc w:val="left"/>
      <w:lvlText w:val="(%1)"/>
      <w:numFmt w:val="lowerLetter"/>
      <w:start w:val="1"/>
    </w:lvl>
  </w:abstractNum>
  <w:abstractNum w:abstractNumId="82">
    <w:nsid w:val="2C27173B"/>
    <w:multiLevelType w:val="hybridMultilevel"/>
    <w:lvl w:ilvl="0">
      <w:lvlJc w:val="left"/>
      <w:lvlText w:val="(%1)"/>
      <w:numFmt w:val="lowerLetter"/>
      <w:start w:val="3"/>
    </w:lvl>
  </w:abstractNum>
  <w:abstractNum w:abstractNumId="83">
    <w:nsid w:val="4C9B0904"/>
    <w:multiLevelType w:val="hybridMultilevel"/>
    <w:lvl w:ilvl="0">
      <w:lvlJc w:val="left"/>
      <w:lvlText w:val="(%1)"/>
      <w:numFmt w:val="lowerLetter"/>
      <w:start w:val="1"/>
    </w:lvl>
  </w:abstractNum>
  <w:abstractNum w:abstractNumId="84">
    <w:nsid w:val="6AA7B75C"/>
    <w:multiLevelType w:val="hybridMultilevel"/>
    <w:lvl w:ilvl="0">
      <w:lvlJc w:val="left"/>
      <w:lvlText w:val="(%1)"/>
      <w:numFmt w:val="lowerLetter"/>
      <w:start w:val="1"/>
    </w:lvl>
    <w:lvl w:ilvl="1">
      <w:lvlJc w:val="left"/>
      <w:lvlText w:val="(%2)"/>
      <w:numFmt w:val="lowerRoman"/>
      <w:start w:val="1"/>
    </w:lvl>
  </w:abstractNum>
  <w:abstractNum w:abstractNumId="85">
    <w:nsid w:val="1DF029D3"/>
    <w:multiLevelType w:val="hybridMultilevel"/>
    <w:lvl w:ilvl="0">
      <w:lvlJc w:val="left"/>
      <w:lvlText w:val="%1"/>
      <w:numFmt w:val="lowerLetter"/>
      <w:start w:val="1"/>
    </w:lvl>
    <w:lvl w:ilvl="1">
      <w:lvlJc w:val="left"/>
      <w:lvlText w:val="(%2)"/>
      <w:numFmt w:val="lowerRoman"/>
      <w:start w:val="3"/>
    </w:lvl>
  </w:abstractNum>
  <w:abstractNum w:abstractNumId="86">
    <w:nsid w:val="5675FF36"/>
    <w:multiLevelType w:val="hybridMultilevel"/>
    <w:lvl w:ilvl="0">
      <w:lvlJc w:val="left"/>
      <w:lvlText w:val="(%1)"/>
      <w:numFmt w:val="lowerLetter"/>
      <w:start w:val="2"/>
    </w:lvl>
    <w:lvl w:ilvl="1">
      <w:lvlJc w:val="left"/>
      <w:lvlText w:val="%2"/>
      <w:numFmt w:val="lowerRoman"/>
      <w:start w:val="1"/>
    </w:lvl>
  </w:abstractNum>
  <w:abstractNum w:abstractNumId="87">
    <w:nsid w:val="3DD15094"/>
    <w:multiLevelType w:val="hybridMultilevel"/>
    <w:lvl w:ilvl="0">
      <w:lvlJc w:val="left"/>
      <w:lvlText w:val="(%1)"/>
      <w:numFmt w:val="lowerLetter"/>
      <w:start w:val="1"/>
    </w:lvl>
  </w:abstractNum>
  <w:abstractNum w:abstractNumId="88">
    <w:nsid w:val="3DB012B3"/>
    <w:multiLevelType w:val="hybridMultilevel"/>
    <w:lvl w:ilvl="0">
      <w:lvlJc w:val="left"/>
      <w:lvlText w:val="(%1)"/>
      <w:numFmt w:val="lowerLetter"/>
      <w:start w:val="1"/>
    </w:lvl>
  </w:abstractNum>
  <w:abstractNum w:abstractNumId="89">
    <w:nsid w:val="2708C9AF"/>
    <w:multiLevelType w:val="hybridMultilevel"/>
    <w:lvl w:ilvl="0">
      <w:lvlJc w:val="left"/>
      <w:lvlText w:val="(%1)"/>
      <w:numFmt w:val="lowerLetter"/>
      <w:start w:val="1"/>
    </w:lvl>
  </w:abstractNum>
  <w:abstractNum w:abstractNumId="90">
    <w:nsid w:val="5B25ACE2"/>
    <w:multiLevelType w:val="hybridMultilevel"/>
    <w:lvl w:ilvl="0">
      <w:lvlJc w:val="left"/>
      <w:lvlText w:val="(%1)"/>
      <w:numFmt w:val="lowerLetter"/>
      <w:start w:val="3"/>
    </w:lvl>
  </w:abstractNum>
  <w:abstractNum w:abstractNumId="91">
    <w:nsid w:val="175DFCF0"/>
    <w:multiLevelType w:val="hybridMultilevel"/>
    <w:lvl w:ilvl="0">
      <w:lvlJc w:val="left"/>
      <w:lvlText w:val="(%1)"/>
      <w:numFmt w:val="lowerLetter"/>
      <w:start w:val="1"/>
    </w:lvl>
  </w:abstractNum>
  <w:abstractNum w:abstractNumId="92">
    <w:nsid w:val="4F97E3E4"/>
    <w:multiLevelType w:val="hybridMultilevel"/>
    <w:lvl w:ilvl="0">
      <w:lvlJc w:val="left"/>
      <w:lvlText w:val="(%1)"/>
      <w:numFmt w:val="lowerLetter"/>
      <w:start w:val="1"/>
    </w:lvl>
  </w:abstractNum>
  <w:abstractNum w:abstractNumId="93">
    <w:nsid w:val="53B0A9E"/>
    <w:multiLevelType w:val="hybridMultilevel"/>
    <w:lvl w:ilvl="0">
      <w:lvlJc w:val="left"/>
      <w:lvlText w:val="(%1)"/>
      <w:numFmt w:val="lowerLetter"/>
      <w:start w:val="3"/>
    </w:lvl>
  </w:abstractNum>
  <w:abstractNum w:abstractNumId="94">
    <w:nsid w:val="34FD6B4F"/>
    <w:multiLevelType w:val="hybridMultilevel"/>
    <w:lvl w:ilvl="0">
      <w:lvlJc w:val="left"/>
      <w:lvlText w:val="(%1)"/>
      <w:numFmt w:val="lowerLetter"/>
      <w:start w:val="1"/>
    </w:lvl>
  </w:abstractNum>
  <w:abstractNum w:abstractNumId="95">
    <w:nsid w:val="5915FF32"/>
    <w:multiLevelType w:val="hybridMultilevel"/>
    <w:lvl w:ilvl="0">
      <w:lvlJc w:val="left"/>
      <w:lvlText w:val="(%1)"/>
      <w:numFmt w:val="lowerLetter"/>
      <w:start w:val="1"/>
    </w:lvl>
  </w:abstractNum>
  <w:abstractNum w:abstractNumId="96">
    <w:nsid w:val="56438D15"/>
    <w:multiLevelType w:val="hybridMultilevel"/>
    <w:lvl w:ilvl="0">
      <w:lvlJc w:val="left"/>
      <w:lvlText w:val="(%1)"/>
      <w:numFmt w:val="upperLetter"/>
      <w:start w:val="1"/>
    </w:lvl>
  </w:abstractNum>
  <w:abstractNum w:abstractNumId="97">
    <w:nsid w:val="519E3149"/>
    <w:multiLevelType w:val="hybridMultilevel"/>
    <w:lvl w:ilvl="0">
      <w:lvlJc w:val="left"/>
      <w:lvlText w:val="%1"/>
      <w:numFmt w:val="lowerLetter"/>
      <w:start w:val="1"/>
    </w:lvl>
    <w:lvl w:ilvl="1">
      <w:lvlJc w:val="left"/>
      <w:lvlText w:val="(%2)"/>
      <w:numFmt w:val="lowerLetter"/>
      <w:start w:val="1"/>
    </w:lvl>
  </w:abstractNum>
  <w:abstractNum w:abstractNumId="98">
    <w:nsid w:val="2C6E4AFD"/>
    <w:multiLevelType w:val="hybridMultilevel"/>
    <w:lvl w:ilvl="0">
      <w:lvlJc w:val="left"/>
      <w:lvlText w:val="(%1)"/>
      <w:numFmt w:val="lowerLetter"/>
      <w:start w:val="9"/>
    </w:lvl>
    <w:lvl w:ilvl="1">
      <w:lvlJc w:val="left"/>
      <w:lvlText w:val="(%2)"/>
      <w:numFmt w:val="lowerLetter"/>
      <w:start w:val="3"/>
    </w:lvl>
  </w:abstractNum>
  <w:abstractNum w:abstractNumId="99">
    <w:nsid w:val="17A1B582"/>
    <w:multiLevelType w:val="hybridMultilevel"/>
    <w:lvl w:ilvl="0">
      <w:lvlJc w:val="left"/>
      <w:lvlText w:val="(%1)"/>
      <w:numFmt w:val="lowerLetter"/>
      <w:start w:val="1"/>
    </w:lvl>
  </w:abstractNum>
  <w:abstractNum w:abstractNumId="100">
    <w:nsid w:val="4DF72E4E"/>
    <w:multiLevelType w:val="hybridMultilevel"/>
    <w:lvl w:ilvl="0">
      <w:lvlJc w:val="left"/>
      <w:lvlText w:val="(%1)"/>
      <w:numFmt w:val="lowerLetter"/>
      <w:start w:val="4"/>
    </w:lvl>
  </w:abstractNum>
  <w:abstractNum w:abstractNumId="101">
    <w:nsid w:val="5046B5A9"/>
    <w:multiLevelType w:val="hybridMultilevel"/>
    <w:lvl w:ilvl="0">
      <w:lvlJc w:val="left"/>
      <w:lvlText w:val="(%1)"/>
      <w:numFmt w:val="lowerLetter"/>
      <w:start w:val="1"/>
    </w:lvl>
  </w:abstractNum>
  <w:abstractNum w:abstractNumId="102">
    <w:nsid w:val="5D888A08"/>
    <w:multiLevelType w:val="hybridMultilevel"/>
    <w:lvl w:ilvl="0">
      <w:lvlJc w:val="left"/>
      <w:lvlText w:val="(%1)"/>
      <w:numFmt w:val="lowerLetter"/>
      <w:start w:val="10"/>
    </w:lvl>
  </w:abstractNum>
  <w:abstractNum w:abstractNumId="103">
    <w:nsid w:val="2A082C70"/>
    <w:multiLevelType w:val="hybridMultilevel"/>
    <w:lvl w:ilvl="0">
      <w:lvlJc w:val="left"/>
      <w:lvlText w:val="(%1)"/>
      <w:numFmt w:val="lowerLetter"/>
      <w:start w:val="2"/>
    </w:lvl>
  </w:abstractNum>
  <w:abstractNum w:abstractNumId="104">
    <w:nsid w:val="5EC6AFD4"/>
    <w:multiLevelType w:val="hybridMultilevel"/>
    <w:lvl w:ilvl="0">
      <w:lvlJc w:val="left"/>
      <w:lvlText w:val="(%1)"/>
      <w:numFmt w:val="lowerLetter"/>
      <w:start w:val="1"/>
    </w:lvl>
  </w:abstractNum>
  <w:abstractNum w:abstractNumId="105">
    <w:nsid w:val="19E21BB2"/>
    <w:multiLevelType w:val="hybridMultilevel"/>
    <w:lvl w:ilvl="0">
      <w:lvlJc w:val="left"/>
      <w:lvlText w:val="(%1)"/>
      <w:numFmt w:val="lowerLetter"/>
      <w:start w:val="2"/>
    </w:lvl>
  </w:abstractNum>
  <w:abstractNum w:abstractNumId="106">
    <w:nsid w:val="75E0858A"/>
    <w:multiLevelType w:val="hybridMultilevel"/>
    <w:lvl w:ilvl="0">
      <w:lvlJc w:val="left"/>
      <w:lvlText w:val="%1"/>
      <w:numFmt w:val="decimal"/>
      <w:start w:val="1"/>
    </w:lvl>
    <w:lvl w:ilvl="1">
      <w:lvlJc w:val="left"/>
      <w:lvlText w:val="(%2)"/>
      <w:numFmt w:val="lowerLetter"/>
      <w:start w:val="1"/>
    </w:lvl>
  </w:abstractNum>
  <w:abstractNum w:abstractNumId="107">
    <w:nsid w:val="57A61A29"/>
    <w:multiLevelType w:val="hybridMultilevel"/>
    <w:lvl w:ilvl="0">
      <w:lvlJc w:val="left"/>
      <w:lvlText w:val="(%1)"/>
      <w:numFmt w:val="decimal"/>
      <w:start w:val="5"/>
    </w:lvl>
    <w:lvl w:ilvl="1">
      <w:lvlJc w:val="left"/>
      <w:lvlText w:val="(%2)"/>
      <w:numFmt w:val="lowerLetter"/>
      <w:start w:val="2"/>
    </w:lvl>
  </w:abstractNum>
  <w:abstractNum w:abstractNumId="108">
    <w:nsid w:val="5399C654"/>
    <w:multiLevelType w:val="hybridMultilevel"/>
    <w:lvl w:ilvl="0">
      <w:lvlJc w:val="left"/>
      <w:lvlText w:val="%1"/>
      <w:numFmt w:val="lowerLetter"/>
      <w:start w:val="1"/>
    </w:lvl>
    <w:lvl w:ilvl="1">
      <w:lvlJc w:val="left"/>
      <w:lvlText w:val="(%2)"/>
      <w:numFmt w:val="lowerLetter"/>
      <w:start w:val="6"/>
    </w:lvl>
  </w:abstractNum>
  <w:abstractNum w:abstractNumId="109">
    <w:nsid w:val="20EE1348"/>
    <w:multiLevelType w:val="hybridMultilevel"/>
    <w:lvl w:ilvl="0">
      <w:lvlJc w:val="left"/>
      <w:lvlText w:val="(%1)"/>
      <w:numFmt w:val="lowerLetter"/>
      <w:start w:val="35"/>
    </w:lvl>
    <w:lvl w:ilvl="1">
      <w:lvlJc w:val="left"/>
      <w:lvlText w:val="(%2)"/>
      <w:numFmt w:val="lowerLetter"/>
      <w:start w:val="9"/>
    </w:lvl>
  </w:abstractNum>
  <w:abstractNum w:abstractNumId="110">
    <w:nsid w:val="4427069A"/>
    <w:multiLevelType w:val="hybridMultilevel"/>
    <w:lvl w:ilvl="0">
      <w:lvlJc w:val="left"/>
      <w:lvlText w:val="(%1)"/>
      <w:numFmt w:val="lowerLetter"/>
      <w:start w:val="1"/>
    </w:lvl>
  </w:abstractNum>
  <w:abstractNum w:abstractNumId="111">
    <w:nsid w:val="B37E80A"/>
    <w:multiLevelType w:val="hybridMultilevel"/>
    <w:lvl w:ilvl="0">
      <w:lvlJc w:val="left"/>
      <w:lvlText w:val="(%1)"/>
      <w:numFmt w:val="lowerLetter"/>
      <w:start w:val="1"/>
    </w:lvl>
  </w:abstractNum>
  <w:abstractNum w:abstractNumId="112">
    <w:nsid w:val="2157F6BC"/>
    <w:multiLevelType w:val="hybridMultilevel"/>
    <w:lvl w:ilvl="0">
      <w:lvlJc w:val="left"/>
      <w:lvlText w:val="(%1)"/>
      <w:numFmt w:val="lowerLetter"/>
      <w:start w:val="1"/>
    </w:lvl>
  </w:abstractNum>
  <w:abstractNum w:abstractNumId="113">
    <w:nsid w:val="704E1DD5"/>
    <w:multiLevelType w:val="hybridMultilevel"/>
    <w:lvl w:ilvl="0">
      <w:lvlJc w:val="left"/>
      <w:lvlText w:val="(%1)"/>
      <w:numFmt w:val="lowerLetter"/>
      <w:start w:val="1"/>
    </w:lvl>
  </w:abstractNum>
  <w:abstractNum w:abstractNumId="114">
    <w:nsid w:val="57D2F10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5">
    <w:nsid w:val="BFFAE1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16">
    <w:nsid w:val="E3E47A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17">
    <w:nsid w:val="2E48F044"/>
    <w:multiLevelType w:val="hybridMultilevel"/>
    <w:lvl w:ilvl="0">
      <w:lvlJc w:val="left"/>
      <w:lvlText w:val="(%1)"/>
      <w:numFmt w:val="lowerLetter"/>
      <w:start w:val="1"/>
    </w:lvl>
    <w:lvl w:ilvl="1">
      <w:lvlJc w:val="left"/>
      <w:lvlText w:val="(%2)"/>
      <w:numFmt w:val="lowerRoman"/>
      <w:start w:val="1"/>
    </w:lvl>
  </w:abstractNum>
  <w:abstractNum w:abstractNumId="118">
    <w:nsid w:val="49D0FEAC"/>
    <w:multiLevelType w:val="hybridMultilevel"/>
    <w:lvl w:ilvl="0">
      <w:lvlJc w:val="left"/>
      <w:lvlText w:val="(%1)"/>
      <w:numFmt w:val="lowerRoman"/>
      <w:start w:val="4"/>
    </w:lvl>
  </w:abstractNum>
  <w:abstractNum w:abstractNumId="119">
    <w:nsid w:val="4BEE5A5B"/>
    <w:multiLevelType w:val="hybridMultilevel"/>
    <w:lvl w:ilvl="0">
      <w:lvlJc w:val="left"/>
      <w:lvlText w:val="(%1)"/>
      <w:numFmt w:val="lowerRoman"/>
      <w:start w:val="5"/>
    </w:lvl>
  </w:abstractNum>
  <w:abstractNum w:abstractNumId="120">
    <w:nsid w:val="5551B9F3"/>
    <w:multiLevelType w:val="hybridMultilevel"/>
    <w:lvl w:ilvl="0">
      <w:lvlJc w:val="left"/>
      <w:lvlText w:val="(%1)"/>
      <w:numFmt w:val="upperLetter"/>
      <w:start w:val="6"/>
    </w:lvl>
    <w:lvl w:ilvl="1">
      <w:lvlJc w:val="left"/>
      <w:lvlText w:val="(%2)"/>
      <w:numFmt w:val="lowerLetter"/>
      <w:start w:val="2"/>
    </w:lvl>
  </w:abstractNum>
  <w:abstractNum w:abstractNumId="121">
    <w:nsid w:val="24F6AB8E"/>
    <w:multiLevelType w:val="hybridMultilevel"/>
    <w:lvl w:ilvl="0">
      <w:lvlJc w:val="left"/>
      <w:lvlText w:val="(%1)"/>
      <w:numFmt w:val="decimal"/>
      <w:start w:val="5"/>
    </w:lvl>
    <w:lvl w:ilvl="1">
      <w:lvlJc w:val="left"/>
      <w:lvlText w:val="(%2)"/>
      <w:numFmt w:val="lowerLetter"/>
      <w:start w:val="4"/>
    </w:lvl>
  </w:abstractNum>
  <w:abstractNum w:abstractNumId="122">
    <w:nsid w:val="634C574C"/>
    <w:multiLevelType w:val="hybridMultilevel"/>
    <w:lvl w:ilvl="0">
      <w:lvlJc w:val="left"/>
      <w:lvlText w:val="(%1)"/>
      <w:numFmt w:val="lowerLetter"/>
      <w:start w:val="1"/>
    </w:lvl>
    <w:lvl w:ilvl="1">
      <w:lvlJc w:val="left"/>
      <w:lvlText w:val="(%2)"/>
      <w:numFmt w:val="lowerRoman"/>
      <w:start w:val="1"/>
    </w:lvl>
  </w:abstractNum>
  <w:abstractNum w:abstractNumId="123">
    <w:nsid w:val="24E99DD7"/>
    <w:multiLevelType w:val="hybridMultilevel"/>
    <w:lvl w:ilvl="0">
      <w:lvlJc w:val="left"/>
      <w:lvlText w:val="(%1)"/>
      <w:numFmt w:val="lowerLetter"/>
      <w:start w:val="2"/>
    </w:lvl>
  </w:abstractNum>
  <w:abstractNum w:abstractNumId="124">
    <w:nsid w:val="2A31B62D"/>
    <w:multiLevelType w:val="hybridMultilevel"/>
    <w:lvl w:ilvl="0">
      <w:lvlJc w:val="left"/>
      <w:lvlText w:val="(%1)"/>
      <w:numFmt w:val="lowerLetter"/>
      <w:start w:val="3"/>
    </w:lvl>
  </w:abstractNum>
  <w:abstractNum w:abstractNumId="125">
    <w:nsid w:val="1849C29B"/>
    <w:multiLevelType w:val="hybridMultilevel"/>
    <w:lvl w:ilvl="0">
      <w:lvlJc w:val="left"/>
      <w:lvlText w:val="(%1)"/>
      <w:numFmt w:val="lowerLetter"/>
      <w:start w:val="5"/>
    </w:lvl>
  </w:abstractNum>
  <w:abstractNum w:abstractNumId="126">
    <w:nsid w:val="7DFF9D09"/>
    <w:multiLevelType w:val="hybridMultilevel"/>
    <w:lvl w:ilvl="0">
      <w:lvlJc w:val="left"/>
      <w:lvlText w:val="(%1)"/>
      <w:numFmt w:val="lowerLetter"/>
      <w:start w:val="1"/>
    </w:lvl>
  </w:abstractNum>
  <w:abstractNum w:abstractNumId="127">
    <w:nsid w:val="754342"/>
    <w:multiLevelType w:val="hybridMultilevel"/>
    <w:lvl w:ilvl="0">
      <w:lvlJc w:val="left"/>
      <w:lvlText w:val="(%1)"/>
      <w:numFmt w:val="lowerLetter"/>
      <w:start w:val="25"/>
    </w:lvl>
    <w:lvl w:ilvl="1">
      <w:lvlJc w:val="left"/>
      <w:lvlText w:val="(%2)"/>
      <w:numFmt w:val="lowerLetter"/>
      <w:start w:val="2"/>
    </w:lvl>
  </w:abstractNum>
  <w:abstractNum w:abstractNumId="128">
    <w:nsid w:val="69E7F3E5"/>
    <w:multiLevelType w:val="hybridMultilevel"/>
    <w:lvl w:ilvl="0">
      <w:lvlJc w:val="left"/>
      <w:lvlText w:val="(%1)"/>
      <w:numFmt w:val="lowerLetter"/>
      <w:start w:val="35"/>
    </w:lvl>
    <w:lvl w:ilvl="1">
      <w:lvlJc w:val="left"/>
      <w:lvlText w:val="%2"/>
      <w:numFmt w:val="lowerLetter"/>
      <w:start w:val="1"/>
    </w:lvl>
  </w:abstractNum>
  <w:abstractNum w:abstractNumId="129">
    <w:nsid w:val="2A6DE806"/>
    <w:multiLevelType w:val="hybridMultilevel"/>
    <w:lvl w:ilvl="0">
      <w:lvlJc w:val="left"/>
      <w:lvlText w:val="%1"/>
      <w:numFmt w:val="lowerLetter"/>
      <w:start w:val="1"/>
    </w:lvl>
    <w:lvl w:ilvl="1">
      <w:lvlJc w:val="left"/>
      <w:lvlText w:val="(%2)"/>
      <w:numFmt w:val="lowerLetter"/>
      <w:start w:val="3"/>
    </w:lvl>
  </w:abstractNum>
  <w:abstractNum w:abstractNumId="130">
    <w:nsid w:val="1816F8C4"/>
    <w:multiLevelType w:val="hybridMultilevel"/>
    <w:lvl w:ilvl="0">
      <w:lvlJc w:val="left"/>
      <w:lvlText w:val="(%1)"/>
      <w:numFmt w:val="lowerLetter"/>
      <w:start w:val="1"/>
    </w:lvl>
    <w:lvl w:ilvl="1">
      <w:lvlJc w:val="left"/>
      <w:lvlText w:val="(%2)"/>
      <w:numFmt w:val="lowerLetter"/>
      <w:start w:val="4"/>
    </w:lvl>
  </w:abstractNum>
  <w:abstractNum w:abstractNumId="131">
    <w:nsid w:val="37DF223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2">
    <w:nsid w:val="7AB49DAF"/>
    <w:multiLevelType w:val="hybridMultilevel"/>
    <w:lvl w:ilvl="0">
      <w:lvlJc w:val="left"/>
      <w:lvlText w:val="(%1)"/>
      <w:numFmt w:val="lowerRoman"/>
      <w:start w:val="3"/>
    </w:lvl>
    <w:lvl w:ilvl="1">
      <w:lvlJc w:val="left"/>
      <w:lvlText w:val="(%2)"/>
      <w:numFmt w:val="decimal"/>
      <w:start w:val="9"/>
    </w:lvl>
    <w:lvl w:ilvl="2">
      <w:lvlJc w:val="left"/>
      <w:lvlText w:val="(%3)"/>
      <w:numFmt w:val="upperLetter"/>
      <w:start w:val="1"/>
    </w:lvl>
  </w:abstractNum>
  <w:abstractNum w:abstractNumId="133">
    <w:nsid w:val="759F82CD"/>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134">
    <w:nsid w:val="61E74EA3"/>
    <w:multiLevelType w:val="hybridMultilevel"/>
    <w:lvl w:ilvl="0">
      <w:lvlJc w:val="left"/>
      <w:lvlText w:val="(%1)"/>
      <w:numFmt w:val="lowerRoman"/>
      <w:start w:val="4"/>
    </w:lvl>
    <w:lvl w:ilvl="1">
      <w:lvlJc w:val="left"/>
      <w:lvlText w:val="%2"/>
      <w:numFmt w:val="decimal"/>
      <w:start w:val="1"/>
    </w:lvl>
    <w:lvl w:ilvl="2">
      <w:lvlJc w:val="left"/>
      <w:lvlText w:val="%3"/>
      <w:numFmt w:val="upperLetter"/>
      <w:start w:val="1"/>
    </w:lvl>
  </w:abstractNum>
  <w:abstractNum w:abstractNumId="135">
    <w:nsid w:val="597B4D84"/>
    <w:multiLevelType w:val="hybridMultilevel"/>
    <w:lvl w:ilvl="0">
      <w:lvlJc w:val="left"/>
      <w:lvlText w:val="(%1)"/>
      <w:numFmt w:val="lowerLetter"/>
      <w:start w:val="3"/>
    </w:lvl>
  </w:abstractNum>
  <w:abstractNum w:abstractNumId="136">
    <w:nsid w:val="F819E7F"/>
    <w:multiLevelType w:val="hybridMultilevel"/>
    <w:lvl w:ilvl="0">
      <w:lvlJc w:val="left"/>
      <w:lvlText w:val="(%1)"/>
      <w:numFmt w:val="upperLetter"/>
      <w:start w:val="1"/>
    </w:lvl>
  </w:abstractNum>
  <w:abstractNum w:abstractNumId="137">
    <w:nsid w:val="57C7D42D"/>
    <w:multiLevelType w:val="hybridMultilevel"/>
    <w:lvl w:ilvl="0">
      <w:lvlJc w:val="left"/>
      <w:lvlText w:val="(%1)"/>
      <w:numFmt w:val="lowerLetter"/>
      <w:start w:val="5"/>
    </w:lvl>
  </w:abstractNum>
  <w:abstractNum w:abstractNumId="138">
    <w:nsid w:val="312167AD"/>
    <w:multiLevelType w:val="hybridMultilevel"/>
    <w:lvl w:ilvl="0">
      <w:lvlJc w:val="left"/>
      <w:lvlText w:val="(%1)"/>
      <w:numFmt w:val="lowerLetter"/>
      <w:start w:val="1"/>
    </w:lvl>
  </w:abstractNum>
  <w:abstractNum w:abstractNumId="139">
    <w:nsid w:val="631B64D4"/>
    <w:multiLevelType w:val="hybridMultilevel"/>
    <w:lvl w:ilvl="0">
      <w:lvlJc w:val="left"/>
      <w:lvlText w:val="(%1)"/>
      <w:numFmt w:val="lowerLetter"/>
      <w:start w:val="1"/>
    </w:lvl>
  </w:abstractNum>
  <w:abstractNum w:abstractNumId="140">
    <w:nsid w:val="78B5E776"/>
    <w:multiLevelType w:val="hybridMultilevel"/>
    <w:lvl w:ilvl="0">
      <w:lvlJc w:val="left"/>
      <w:lvlText w:val="(%1)"/>
      <w:numFmt w:val="lowerLetter"/>
      <w:start w:val="3"/>
    </w:lvl>
  </w:abstractNum>
  <w:abstractNum w:abstractNumId="141">
    <w:nsid w:val="75486E47"/>
    <w:multiLevelType w:val="hybridMultilevel"/>
    <w:lvl w:ilvl="0">
      <w:lvlJc w:val="left"/>
      <w:lvlText w:val="(%1)"/>
      <w:numFmt w:val="lowerLetter"/>
      <w:start w:val="1"/>
    </w:lvl>
  </w:abstractNum>
  <w:abstractNum w:abstractNumId="142">
    <w:nsid w:val="6E534CDE"/>
    <w:multiLevelType w:val="hybridMultilevel"/>
    <w:lvl w:ilvl="0">
      <w:lvlJc w:val="left"/>
      <w:lvlText w:val="(%1)"/>
      <w:numFmt w:val="lowerLetter"/>
      <w:start w:val="3"/>
    </w:lvl>
  </w:abstractNum>
  <w:abstractNum w:abstractNumId="143">
    <w:nsid w:val="1A0DDE32"/>
    <w:multiLevelType w:val="hybridMultilevel"/>
    <w:lvl w:ilvl="0">
      <w:lvlJc w:val="left"/>
      <w:lvlText w:val="(%1)"/>
      <w:numFmt w:val="lowerLetter"/>
      <w:start w:val="2"/>
    </w:lvl>
  </w:abstractNum>
  <w:abstractNum w:abstractNumId="144">
    <w:nsid w:val="65968C1C"/>
    <w:multiLevelType w:val="hybridMultilevel"/>
    <w:lvl w:ilvl="0">
      <w:lvlJc w:val="left"/>
      <w:lvlText w:val="(%1)"/>
      <w:numFmt w:val="lowerLetter"/>
      <w:start w:val="1"/>
    </w:lvl>
  </w:abstractNum>
  <w:abstractNum w:abstractNumId="145">
    <w:nsid w:val="46263DEC"/>
    <w:multiLevelType w:val="hybridMultilevel"/>
    <w:lvl w:ilvl="0">
      <w:lvlJc w:val="left"/>
      <w:lvlText w:val="•"/>
      <w:numFmt w:val="bullet"/>
      <w:start w:val="1"/>
    </w:lvl>
  </w:abstractNum>
  <w:abstractNum w:abstractNumId="146">
    <w:nsid w:val="260D8C4A"/>
    <w:multiLevelType w:val="hybridMultilevel"/>
    <w:lvl w:ilvl="0">
      <w:lvlJc w:val="left"/>
      <w:lvlText w:val="•"/>
      <w:numFmt w:val="bullet"/>
      <w:start w:val="1"/>
    </w:lvl>
    <w:lvl w:ilvl="1">
      <w:lvlJc w:val="left"/>
      <w:lvlText w:val="•"/>
      <w:numFmt w:val="bullet"/>
      <w:start w:val="1"/>
    </w:lvl>
  </w:abstractNum>
  <w:abstractNum w:abstractNumId="147">
    <w:nsid w:val="73D4D3C4"/>
    <w:multiLevelType w:val="hybridMultilevel"/>
    <w:lvl w:ilvl="0">
      <w:lvlJc w:val="left"/>
      <w:lvlText w:val="•"/>
      <w:numFmt w:val="bullet"/>
      <w:start w:val="1"/>
    </w:lvl>
    <w:lvl w:ilvl="1">
      <w:lvlJc w:val="left"/>
      <w:lvlText w:val="•"/>
      <w:numFmt w:val="bullet"/>
      <w:start w:val="1"/>
    </w:lvl>
  </w:abstractNum>
  <w:abstractNum w:abstractNumId="148">
    <w:nsid w:val="746F2E30"/>
    <w:multiLevelType w:val="hybridMultilevel"/>
    <w:lvl w:ilvl="0">
      <w:lvlJc w:val="left"/>
      <w:lvlText w:val="•"/>
      <w:numFmt w:val="bullet"/>
      <w:start w:val="1"/>
    </w:lvl>
  </w:abstractNum>
  <w:abstractNum w:abstractNumId="149">
    <w:nsid w:val="6FDE8AF6"/>
    <w:multiLevelType w:val="hybridMultilevel"/>
    <w:lvl w:ilvl="0">
      <w:lvlJc w:val="left"/>
      <w:lvlText w:val="•"/>
      <w:numFmt w:val="bullet"/>
      <w:start w:val="1"/>
    </w:lvl>
  </w:abstractNum>
  <w:abstractNum w:abstractNumId="150">
    <w:nsid w:val="3FC32E20"/>
    <w:multiLevelType w:val="hybridMultilevel"/>
    <w:lvl w:ilvl="0">
      <w:lvlJc w:val="left"/>
      <w:lvlText w:val="•"/>
      <w:numFmt w:val="bullet"/>
      <w:start w:val="1"/>
    </w:lvl>
  </w:abstractNum>
  <w:abstractNum w:abstractNumId="151">
    <w:nsid w:val="49C0E823"/>
    <w:multiLevelType w:val="hybridMultilevel"/>
    <w:lvl w:ilvl="0">
      <w:lvlJc w:val="left"/>
      <w:lvlText w:val="•"/>
      <w:numFmt w:val="bullet"/>
      <w:start w:val="1"/>
    </w:lvl>
  </w:abstractNum>
  <w:abstractNum w:abstractNumId="152">
    <w:nsid w:val="14D53685"/>
    <w:multiLevelType w:val="hybridMultilevel"/>
    <w:lvl w:ilvl="0">
      <w:lvlJc w:val="left"/>
      <w:lvlText w:val="%1."/>
      <w:numFmt w:val="decimal"/>
      <w:start w:val="1"/>
    </w:lvl>
  </w:abstractNum>
  <w:abstractNum w:abstractNumId="153">
    <w:nsid w:val="230F856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jpeg"/><Relationship Id="rId172" Type="http://schemas.openxmlformats.org/officeDocument/2006/relationships/image" Target="media/image162.jpe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22" Type="http://schemas.openxmlformats.org/officeDocument/2006/relationships/hyperlink" Target="http://www.sec.gov/Archives/edgar/data/875045/000119312526134889/d14986dex21.htm" TargetMode="External"/><Relationship Id="rId23" Type="http://schemas.openxmlformats.org/officeDocument/2006/relationships/hyperlink" Target="http://www.sec.gov/ix?doc=/Archives/edgar/data/1492422/000119312526065179/apls-20251231.htm" TargetMode="External"/><Relationship Id="rId24" Type="http://schemas.openxmlformats.org/officeDocument/2006/relationships/hyperlink" Target="http://www.sec.gov/ix?doc=/Archives/edgar/data/1492422/000149242226000108/apls-2026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2026-05-14T07:34:01Z</dcterms:created>
  <dcterms:modified xsi:type="dcterms:W3CDTF">2026-05-14T07:34:01Z</dcterms:modified>
</cp:coreProperties>
</file>